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ascii="宋体" w:cs="宋体" w:hAnsi="宋体"/>
          <w:b/>
          <w:i w:val="0"/>
          <w:caps w:val="0"/>
          <w:smallCaps w:val="0"/>
          <w:color w:val="333333"/>
          <w:sz w:val="36"/>
          <w:szCs w:val="36"/>
          <w:shd w:val="clear" w:color="auto" w:fill="FFFFFF"/>
          <w:lang w:eastAsia="zh-CN"/>
        </w:rPr>
      </w:pPr>
      <w:r>
        <w:rPr>
          <w:rFonts w:ascii="宋体" w:cs="宋体" w:hAnsi="宋体"/>
          <w:b/>
          <w:i w:val="0"/>
          <w:caps w:val="0"/>
          <w:smallCaps w:val="0"/>
          <w:color w:val="333333"/>
          <w:spacing w:val="0"/>
          <w:sz w:val="36"/>
          <w:szCs w:val="36"/>
          <w:shd w:val="clear" w:color="auto" w:fill="FFFFFF"/>
          <w:lang w:eastAsia="zh-CN"/>
        </w:rPr>
        <w:t>河北宁晋经济开发区（大曹庄管理区）</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adjustRightInd/>
        <w:snapToGrid/>
        <w:spacing w:before="0" w:beforeAutospacing="0" w:after="0" w:afterAutospacing="0" w:line="560" w:lineRule="exact"/>
        <w:ind w:left="0" w:firstLine="0"/>
        <w:jc w:val="center"/>
        <w:rPr>
          <w:rFonts w:ascii="宋体" w:cs="宋体" w:hAnsi="宋体" w:hint="eastAsia"/>
          <w:b/>
          <w:color w:val="333333"/>
          <w:sz w:val="36"/>
          <w:szCs w:val="36"/>
          <w:shd w:val="clear" w:color="auto" w:fill="FFFFFF"/>
        </w:rPr>
      </w:pPr>
      <w:r>
        <w:rPr>
          <w:rFonts w:ascii="宋体" w:cs="宋体" w:hAnsi="宋体" w:hint="eastAsia"/>
          <w:b/>
          <w:i w:val="0"/>
          <w:caps w:val="0"/>
          <w:smallCaps w:val="0"/>
          <w:color w:val="333333"/>
          <w:spacing w:val="0"/>
          <w:sz w:val="36"/>
          <w:szCs w:val="36"/>
          <w:shd w:val="clear" w:color="auto" w:fill="FFFFFF"/>
          <w:lang w:val="en-US" w:eastAsia="zh-CN"/>
        </w:rPr>
        <w:t>2024年</w:t>
      </w:r>
      <w:r>
        <w:rPr>
          <w:rFonts w:ascii="宋体" w:eastAsia="宋体" w:cs="宋体" w:hAnsi="宋体" w:hint="eastAsia"/>
          <w:b/>
          <w:i w:val="0"/>
          <w:caps w:val="0"/>
          <w:smallCaps w:val="0"/>
          <w:color w:val="333333"/>
          <w:spacing w:val="0"/>
          <w:sz w:val="36"/>
          <w:szCs w:val="36"/>
          <w:shd w:val="clear" w:color="auto" w:fill="FFFFFF"/>
        </w:rPr>
        <w:t>政府信息公开工作年度报告</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0"/>
        <w:jc w:val="center"/>
        <w:rPr>
          <w:rFonts w:ascii="宋体" w:eastAsia="宋体" w:cs="宋体" w:hAnsi="宋体"/>
          <w:i w:val="0"/>
          <w:iCs w:val="0"/>
          <w:caps w:val="0"/>
          <w:smallCaps w:val="0"/>
          <w:color w:val="333333"/>
          <w:sz w:val="24"/>
          <w:szCs w:val="24"/>
        </w:rPr>
      </w:pP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0"/>
        <w:jc w:val="both"/>
        <w:rPr>
          <w:rFonts w:ascii="宋体" w:eastAsia="宋体" w:cs="宋体" w:hAnsi="宋体" w:hint="eastAsia"/>
          <w:i w:val="0"/>
          <w:iCs w:val="0"/>
          <w:caps w:val="0"/>
          <w:smallCaps w:val="0"/>
          <w:color w:val="333333"/>
          <w:spacing w:val="0"/>
          <w:sz w:val="24"/>
          <w:szCs w:val="24"/>
        </w:rPr>
      </w:pP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r>
        <w:rPr>
          <w:rFonts w:ascii="仿宋_GB2312" w:eastAsia="仿宋_GB2312" w:cs="仿宋_GB2312" w:hAnsi="仿宋_GB2312"/>
          <w:b w:val="0"/>
          <w:bCs w:val="0"/>
          <w:i w:val="0"/>
          <w:iCs w:val="0"/>
          <w:caps w:val="0"/>
          <w:smallCaps w:val="0"/>
          <w:color w:val="333333"/>
          <w:spacing w:val="0"/>
          <w:sz w:val="24"/>
          <w:szCs w:val="24"/>
          <w:shd w:val="clear" w:color="auto" w:fill="FFFFFF"/>
        </w:rPr>
        <w:t>本年度报告依据</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《中华人民共和国政府信息公开条例》《河北省实施〈中华人民共和国政府信息公开条例〉办法》</w:t>
      </w:r>
      <w:r>
        <w:rPr>
          <w:rFonts w:ascii="仿宋_GB2312" w:eastAsia="仿宋_GB2312" w:cs="仿宋_GB2312" w:hAnsi="仿宋_GB2312"/>
          <w:b w:val="0"/>
          <w:bCs w:val="0"/>
          <w:i w:val="0"/>
          <w:iCs w:val="0"/>
          <w:caps w:val="0"/>
          <w:smallCaps w:val="0"/>
          <w:color w:val="333333"/>
          <w:spacing w:val="0"/>
          <w:sz w:val="24"/>
          <w:szCs w:val="24"/>
          <w:shd w:val="clear" w:color="auto" w:fill="FFFFFF"/>
        </w:rPr>
        <w:t>和省、市、县政务公开工作要求编制而成</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w:t>
      </w:r>
      <w:r>
        <w:rPr>
          <w:rFonts w:ascii="仿宋_GB2312" w:eastAsia="仿宋_GB2312" w:cs="仿宋_GB2312" w:hAnsi="仿宋_GB2312"/>
          <w:b w:val="0"/>
          <w:bCs w:val="0"/>
          <w:i w:val="0"/>
          <w:iCs w:val="0"/>
          <w:caps w:val="0"/>
          <w:smallCaps w:val="0"/>
          <w:color w:val="333333"/>
          <w:spacing w:val="0"/>
          <w:sz w:val="24"/>
          <w:szCs w:val="24"/>
          <w:shd w:val="clear" w:color="auto" w:fill="FFFFFF"/>
        </w:rPr>
        <w:t>本</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报告中所列数据</w:t>
      </w:r>
      <w:r>
        <w:rPr>
          <w:rFonts w:ascii="仿宋_GB2312" w:eastAsia="仿宋_GB2312" w:cs="仿宋_GB2312" w:hAnsi="仿宋_GB2312"/>
          <w:b w:val="0"/>
          <w:bCs w:val="0"/>
          <w:i w:val="0"/>
          <w:iCs w:val="0"/>
          <w:caps w:val="0"/>
          <w:smallCaps w:val="0"/>
          <w:color w:val="333333"/>
          <w:spacing w:val="0"/>
          <w:sz w:val="24"/>
          <w:szCs w:val="24"/>
          <w:shd w:val="clear" w:color="auto" w:fill="FFFFFF"/>
        </w:rPr>
        <w:t>的</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统计期限为202</w:t>
      </w:r>
      <w:r>
        <w:rPr>
          <w:rFonts w:ascii="仿宋_GB2312" w:eastAsia="仿宋_GB2312" w:cs="仿宋_GB2312" w:hAnsi="仿宋_GB2312"/>
          <w:b w:val="0"/>
          <w:bCs w:val="0"/>
          <w:i w:val="0"/>
          <w:iCs w:val="0"/>
          <w:caps w:val="0"/>
          <w:smallCaps w:val="0"/>
          <w:color w:val="333333"/>
          <w:spacing w:val="0"/>
          <w:sz w:val="24"/>
          <w:szCs w:val="24"/>
          <w:shd w:val="clear" w:color="auto" w:fill="FFFFFF"/>
        </w:rPr>
        <w:t>4</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年1月1日至12月31日。</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r>
        <w:rPr>
          <w:rFonts w:ascii="宋体" w:eastAsia="宋体" w:cs="宋体" w:hAnsi="宋体" w:hint="eastAsia"/>
          <w:b/>
          <w:bCs/>
          <w:i w:val="0"/>
          <w:iCs w:val="0"/>
          <w:caps w:val="0"/>
          <w:smallCaps w:val="0"/>
          <w:color w:val="333333"/>
          <w:spacing w:val="0"/>
          <w:sz w:val="24"/>
          <w:szCs w:val="24"/>
          <w:shd w:val="clear" w:color="auto" w:fill="FFFFFF"/>
        </w:rPr>
        <w:t>一、总体情况</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Chars="200" w:firstLine="480"/>
        <w:jc w:val="both"/>
        <w:rPr>
          <w:rFonts w:ascii="仿宋_GB2312" w:eastAsia="仿宋_GB2312" w:cs="仿宋_GB2312" w:hAnsi="仿宋_GB2312" w:hint="eastAsia"/>
          <w:b w:val="0"/>
          <w:bCs w:val="0"/>
          <w:i w:val="0"/>
          <w:iCs w:val="0"/>
          <w:caps w:val="0"/>
          <w:smallCaps w:val="0"/>
          <w:color w:val="333333"/>
          <w:spacing w:val="0"/>
          <w:sz w:val="24"/>
          <w:szCs w:val="24"/>
          <w:shd w:val="clear" w:color="auto" w:fill="FFFFFF"/>
        </w:rPr>
      </w:pP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202</w:t>
      </w:r>
      <w:r>
        <w:rPr>
          <w:rFonts w:ascii="仿宋_GB2312" w:eastAsia="仿宋_GB2312" w:cs="仿宋_GB2312" w:hAnsi="仿宋_GB2312"/>
          <w:b w:val="0"/>
          <w:bCs w:val="0"/>
          <w:i w:val="0"/>
          <w:iCs w:val="0"/>
          <w:caps w:val="0"/>
          <w:smallCaps w:val="0"/>
          <w:color w:val="333333"/>
          <w:spacing w:val="0"/>
          <w:sz w:val="24"/>
          <w:szCs w:val="24"/>
          <w:shd w:val="clear" w:color="auto" w:fill="FFFFFF"/>
        </w:rPr>
        <w:t>4</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年，</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lang w:val="en-US" w:eastAsia="zh-CN"/>
        </w:rPr>
        <w:t>河北宁晋经济开发区</w:t>
      </w:r>
      <w:r>
        <w:rPr>
          <w:rFonts w:ascii="仿宋_GB2312" w:eastAsia="仿宋_GB2312" w:cs="仿宋_GB2312" w:hAnsi="仿宋_GB2312"/>
          <w:b w:val="0"/>
          <w:bCs w:val="0"/>
          <w:i w:val="0"/>
          <w:iCs w:val="0"/>
          <w:caps w:val="0"/>
          <w:smallCaps w:val="0"/>
          <w:color w:val="333333"/>
          <w:spacing w:val="0"/>
          <w:sz w:val="24"/>
          <w:szCs w:val="24"/>
          <w:shd w:val="clear" w:color="auto" w:fill="FFFFFF"/>
          <w:lang w:val="en-US" w:eastAsia="zh-CN"/>
        </w:rPr>
        <w:t>（大曹庄管理区）</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认真贯彻落实党中央、国务院</w:t>
      </w:r>
      <w:r>
        <w:rPr>
          <w:rFonts w:ascii="仿宋_GB2312" w:eastAsia="仿宋_GB2312" w:cs="仿宋_GB2312" w:hAnsi="仿宋_GB2312"/>
          <w:b w:val="0"/>
          <w:bCs w:val="0"/>
          <w:i w:val="0"/>
          <w:iCs w:val="0"/>
          <w:caps w:val="0"/>
          <w:smallCaps w:val="0"/>
          <w:color w:val="333333"/>
          <w:spacing w:val="0"/>
          <w:sz w:val="24"/>
          <w:szCs w:val="24"/>
          <w:shd w:val="clear" w:color="auto" w:fill="FFFFFF"/>
        </w:rPr>
        <w:t>决策部署和</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省委、省政府、市委、市政府以及县委、县政府</w:t>
      </w:r>
      <w:r>
        <w:rPr>
          <w:rFonts w:ascii="仿宋_GB2312" w:eastAsia="仿宋_GB2312" w:cs="仿宋_GB2312" w:hAnsi="仿宋_GB2312"/>
          <w:b w:val="0"/>
          <w:bCs w:val="0"/>
          <w:i w:val="0"/>
          <w:iCs w:val="0"/>
          <w:caps w:val="0"/>
          <w:smallCaps w:val="0"/>
          <w:color w:val="333333"/>
          <w:spacing w:val="0"/>
          <w:sz w:val="24"/>
          <w:szCs w:val="24"/>
          <w:shd w:val="clear" w:color="auto" w:fill="FFFFFF"/>
        </w:rPr>
        <w:t>工作安排</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w:t>
      </w:r>
      <w:r>
        <w:rPr>
          <w:rFonts w:ascii="仿宋_GB2312" w:eastAsia="仿宋_GB2312" w:cs="仿宋_GB2312" w:hAnsi="仿宋_GB2312"/>
          <w:b w:val="0"/>
          <w:bCs w:val="0"/>
          <w:i w:val="0"/>
          <w:iCs w:val="0"/>
          <w:caps w:val="0"/>
          <w:smallCaps w:val="0"/>
          <w:color w:val="333333"/>
          <w:spacing w:val="0"/>
          <w:sz w:val="24"/>
          <w:szCs w:val="24"/>
          <w:shd w:val="clear" w:color="auto" w:fill="FFFFFF"/>
        </w:rPr>
        <w:t>紧紧</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围绕</w:t>
      </w:r>
      <w:r>
        <w:rPr>
          <w:rFonts w:ascii="仿宋_GB2312" w:eastAsia="仿宋_GB2312" w:cs="仿宋_GB2312" w:hAnsi="仿宋_GB2312"/>
          <w:b w:val="0"/>
          <w:bCs w:val="0"/>
          <w:i w:val="0"/>
          <w:iCs w:val="0"/>
          <w:caps w:val="0"/>
          <w:smallCaps w:val="0"/>
          <w:color w:val="333333"/>
          <w:spacing w:val="0"/>
          <w:sz w:val="24"/>
          <w:szCs w:val="24"/>
          <w:shd w:val="clear" w:color="auto" w:fill="FFFFFF"/>
        </w:rPr>
        <w:t>依法</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主动公开、依申请公开、</w:t>
      </w:r>
      <w:r>
        <w:rPr>
          <w:rFonts w:ascii="仿宋_GB2312" w:eastAsia="仿宋_GB2312" w:cs="仿宋_GB2312" w:hAnsi="仿宋_GB2312"/>
          <w:b w:val="0"/>
          <w:bCs w:val="0"/>
          <w:i w:val="0"/>
          <w:iCs w:val="0"/>
          <w:caps w:val="0"/>
          <w:smallCaps w:val="0"/>
          <w:color w:val="333333"/>
          <w:spacing w:val="0"/>
          <w:sz w:val="24"/>
          <w:szCs w:val="24"/>
          <w:shd w:val="clear" w:color="auto" w:fill="FFFFFF"/>
        </w:rPr>
        <w:t>政府信息管理</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w:t>
      </w:r>
      <w:r>
        <w:rPr>
          <w:rFonts w:ascii="仿宋_GB2312" w:eastAsia="仿宋_GB2312" w:cs="仿宋_GB2312" w:hAnsi="仿宋_GB2312"/>
          <w:b w:val="0"/>
          <w:bCs w:val="0"/>
          <w:i w:val="0"/>
          <w:iCs w:val="0"/>
          <w:caps w:val="0"/>
          <w:smallCaps w:val="0"/>
          <w:color w:val="333333"/>
          <w:spacing w:val="0"/>
          <w:sz w:val="24"/>
          <w:szCs w:val="24"/>
          <w:shd w:val="clear" w:color="auto" w:fill="FFFFFF"/>
        </w:rPr>
        <w:t>政府信息平台建设、监督保障</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等重点</w:t>
      </w:r>
      <w:r>
        <w:rPr>
          <w:rFonts w:ascii="仿宋_GB2312" w:eastAsia="仿宋_GB2312" w:cs="仿宋_GB2312" w:hAnsi="仿宋_GB2312"/>
          <w:b w:val="0"/>
          <w:bCs w:val="0"/>
          <w:i w:val="0"/>
          <w:iCs w:val="0"/>
          <w:caps w:val="0"/>
          <w:smallCaps w:val="0"/>
          <w:color w:val="333333"/>
          <w:spacing w:val="0"/>
          <w:sz w:val="24"/>
          <w:szCs w:val="24"/>
          <w:shd w:val="clear" w:color="auto" w:fill="FFFFFF"/>
        </w:rPr>
        <w:t>工作</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任务，</w:t>
      </w:r>
      <w:r>
        <w:rPr>
          <w:rFonts w:ascii="仿宋_GB2312" w:eastAsia="仿宋_GB2312" w:cs="仿宋_GB2312" w:hAnsi="仿宋_GB2312"/>
          <w:b w:val="0"/>
          <w:bCs w:val="0"/>
          <w:i w:val="0"/>
          <w:iCs w:val="0"/>
          <w:caps w:val="0"/>
          <w:smallCaps w:val="0"/>
          <w:color w:val="333333"/>
          <w:spacing w:val="0"/>
          <w:sz w:val="24"/>
          <w:szCs w:val="24"/>
          <w:shd w:val="clear" w:color="auto" w:fill="FFFFFF"/>
        </w:rPr>
        <w:t>不断完善政务信息</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公开</w:t>
      </w:r>
      <w:r>
        <w:rPr>
          <w:rFonts w:ascii="仿宋_GB2312" w:eastAsia="仿宋_GB2312" w:cs="仿宋_GB2312" w:hAnsi="仿宋_GB2312"/>
          <w:b w:val="0"/>
          <w:bCs w:val="0"/>
          <w:i w:val="0"/>
          <w:iCs w:val="0"/>
          <w:caps w:val="0"/>
          <w:smallCaps w:val="0"/>
          <w:color w:val="333333"/>
          <w:spacing w:val="0"/>
          <w:sz w:val="24"/>
          <w:szCs w:val="24"/>
          <w:shd w:val="clear" w:color="auto" w:fill="FFFFFF"/>
        </w:rPr>
        <w:t>制度</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w:t>
      </w:r>
      <w:r>
        <w:rPr>
          <w:rFonts w:ascii="仿宋_GB2312" w:eastAsia="仿宋_GB2312" w:cs="仿宋_GB2312" w:hAnsi="仿宋_GB2312"/>
          <w:b w:val="0"/>
          <w:bCs w:val="0"/>
          <w:i w:val="0"/>
          <w:iCs w:val="0"/>
          <w:caps w:val="0"/>
          <w:smallCaps w:val="0"/>
          <w:color w:val="333333"/>
          <w:spacing w:val="0"/>
          <w:sz w:val="24"/>
          <w:szCs w:val="24"/>
          <w:shd w:val="clear" w:color="auto" w:fill="FFFFFF"/>
        </w:rPr>
        <w:t>确保政府信息公开工作顺利开展</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rPr>
        <w:t>。</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420"/>
        <w:jc w:val="both"/>
        <w:rPr>
          <w:rFonts w:ascii="楷体_GB2312" w:eastAsia="楷体_GB2312" w:cs="楷体_GB2312" w:hAnsi="楷体_GB2312"/>
          <w:b w:val="0"/>
          <w:bCs w:val="0"/>
          <w:i w:val="0"/>
          <w:iCs w:val="0"/>
          <w:caps w:val="0"/>
          <w:smallCaps w:val="0"/>
          <w:color w:val="333333"/>
          <w:sz w:val="24"/>
          <w:szCs w:val="24"/>
          <w:shd w:val="clear" w:color="auto" w:fill="FFFFFF"/>
        </w:rPr>
      </w:pP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（一）</w:t>
      </w:r>
      <w:r>
        <w:rPr>
          <w:rFonts w:ascii="楷体_GB2312" w:eastAsia="楷体_GB2312" w:cs="楷体_GB2312" w:hAnsi="楷体_GB2312"/>
          <w:b w:val="0"/>
          <w:bCs w:val="0"/>
          <w:i w:val="0"/>
          <w:iCs w:val="0"/>
          <w:caps w:val="0"/>
          <w:smallCaps w:val="0"/>
          <w:color w:val="333333"/>
          <w:spacing w:val="0"/>
          <w:sz w:val="24"/>
          <w:szCs w:val="24"/>
          <w:shd w:val="clear" w:color="auto" w:fill="FFFFFF"/>
        </w:rPr>
        <w:t>依法</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主动公开。</w:t>
      </w:r>
      <w:r>
        <w:rPr>
          <w:rFonts w:ascii="仿宋_GB2312" w:eastAsia="仿宋_GB2312" w:cs="仿宋_GB2312" w:hAnsi="仿宋_GB2312" w:hint="eastAsia"/>
          <w:color w:val="333333"/>
          <w:shd w:val="clear" w:color="auto" w:fill="FFFFFF"/>
        </w:rPr>
        <w:t>为保障人民群众依法获取政府信息，开发区不断推进依法主动公开工作，持续提升政府信息公开力度，主动及时公开包括机构设置、惠企政策、行政审批服务流程等在内的各项政务信息。</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420"/>
        <w:jc w:val="both"/>
        <w:rPr>
          <w:rFonts w:ascii="仿宋_GB2312" w:eastAsia="仿宋_GB2312" w:cs="仿宋_GB2312" w:hAnsi="仿宋_GB2312" w:hint="eastAsia"/>
          <w:b w:val="0"/>
          <w:bCs w:val="0"/>
          <w:i w:val="0"/>
          <w:iCs w:val="0"/>
          <w:caps w:val="0"/>
          <w:smallCaps w:val="0"/>
          <w:color w:val="333333"/>
          <w:spacing w:val="0"/>
          <w:sz w:val="24"/>
          <w:szCs w:val="24"/>
          <w:shd w:val="clear" w:color="auto" w:fill="FFFFFF"/>
        </w:rPr>
      </w:pP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（二）</w:t>
      </w:r>
      <w:r>
        <w:rPr>
          <w:rFonts w:ascii="楷体_GB2312" w:eastAsia="楷体_GB2312" w:cs="楷体_GB2312" w:hAnsi="楷体_GB2312"/>
          <w:b w:val="0"/>
          <w:bCs w:val="0"/>
          <w:i w:val="0"/>
          <w:iCs w:val="0"/>
          <w:caps w:val="0"/>
          <w:smallCaps w:val="0"/>
          <w:color w:val="333333"/>
          <w:spacing w:val="0"/>
          <w:sz w:val="24"/>
          <w:szCs w:val="24"/>
          <w:shd w:val="clear" w:color="auto" w:fill="FFFFFF"/>
        </w:rPr>
        <w:t>加强</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依申请公开</w:t>
      </w:r>
      <w:r>
        <w:rPr>
          <w:rFonts w:ascii="楷体_GB2312" w:eastAsia="楷体_GB2312" w:cs="楷体_GB2312" w:hAnsi="楷体_GB2312"/>
          <w:b w:val="0"/>
          <w:bCs w:val="0"/>
          <w:i w:val="0"/>
          <w:iCs w:val="0"/>
          <w:caps w:val="0"/>
          <w:smallCaps w:val="0"/>
          <w:color w:val="333333"/>
          <w:spacing w:val="0"/>
          <w:sz w:val="24"/>
          <w:szCs w:val="24"/>
          <w:shd w:val="clear" w:color="auto" w:fill="FFFFFF"/>
        </w:rPr>
        <w:t>工作规范</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w:t>
      </w:r>
      <w:r>
        <w:rPr>
          <w:rFonts w:ascii="仿宋_GB2312" w:eastAsia="仿宋_GB2312" w:cs="仿宋_GB2312" w:hAnsi="仿宋_GB2312" w:hint="eastAsia"/>
          <w:color w:val="333333"/>
          <w:shd w:val="clear" w:color="auto" w:fill="FFFFFF"/>
        </w:rPr>
        <w:t>依据上级部门出台的文件要求，开发区持续推进依申请公开工作制度化规范化，不断完善政府信息公开申请渠道，进一步健全政府信息公开申请登记、审核、办理、答复、归档的工作规范。</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420"/>
        <w:jc w:val="both"/>
        <w:rPr>
          <w:rFonts w:ascii="楷体_GB2312" w:eastAsia="楷体_GB2312" w:cs="楷体_GB2312" w:hAnsi="楷体_GB2312"/>
          <w:b w:val="0"/>
          <w:bCs w:val="0"/>
          <w:i w:val="0"/>
          <w:iCs w:val="0"/>
          <w:caps w:val="0"/>
          <w:smallCaps w:val="0"/>
          <w:color w:val="333333"/>
          <w:sz w:val="24"/>
          <w:szCs w:val="24"/>
          <w:shd w:val="clear" w:color="auto" w:fill="FFFFFF"/>
        </w:rPr>
      </w:pP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（三）</w:t>
      </w:r>
      <w:r>
        <w:rPr>
          <w:rFonts w:ascii="楷体_GB2312" w:eastAsia="楷体_GB2312" w:cs="楷体_GB2312" w:hAnsi="楷体_GB2312"/>
          <w:b w:val="0"/>
          <w:bCs w:val="0"/>
          <w:i w:val="0"/>
          <w:iCs w:val="0"/>
          <w:caps w:val="0"/>
          <w:smallCaps w:val="0"/>
          <w:color w:val="333333"/>
          <w:spacing w:val="0"/>
          <w:sz w:val="24"/>
          <w:szCs w:val="24"/>
          <w:shd w:val="clear" w:color="auto" w:fill="FFFFFF"/>
        </w:rPr>
        <w:t>完善</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政府信息管理</w:t>
      </w:r>
      <w:r>
        <w:rPr>
          <w:rFonts w:ascii="楷体_GB2312" w:eastAsia="楷体_GB2312" w:cs="楷体_GB2312" w:hAnsi="楷体_GB2312"/>
          <w:b w:val="0"/>
          <w:bCs w:val="0"/>
          <w:i w:val="0"/>
          <w:iCs w:val="0"/>
          <w:caps w:val="0"/>
          <w:smallCaps w:val="0"/>
          <w:color w:val="333333"/>
          <w:spacing w:val="0"/>
          <w:sz w:val="24"/>
          <w:szCs w:val="24"/>
          <w:shd w:val="clear" w:color="auto" w:fill="FFFFFF"/>
        </w:rPr>
        <w:t>职能</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w:t>
      </w:r>
      <w:r>
        <w:rPr>
          <w:rFonts w:ascii="仿宋_GB2312" w:eastAsia="仿宋_GB2312" w:cs="仿宋_GB2312" w:hAnsi="仿宋_GB2312" w:hint="eastAsia"/>
          <w:color w:val="333333"/>
          <w:shd w:val="clear" w:color="auto" w:fill="FFFFFF"/>
        </w:rPr>
        <w:t>从信息采集存储到信息审核发布，开发区不断提升信息管理水平，严格落实相关保密工作制度，确保信息安全</w:t>
      </w:r>
      <w:r>
        <w:rPr>
          <w:rFonts w:ascii="仿宋_GB2312" w:eastAsia="仿宋_GB2312" w:cs="仿宋_GB2312" w:hAnsi="仿宋_GB2312"/>
          <w:color w:val="333333"/>
          <w:shd w:val="clear" w:color="auto" w:fill="FFFFFF"/>
        </w:rPr>
        <w:t>，</w:t>
      </w:r>
      <w:r>
        <w:rPr>
          <w:rFonts w:ascii="仿宋_GB2312" w:eastAsia="仿宋_GB2312" w:cs="仿宋_GB2312" w:hAnsi="仿宋_GB2312" w:hint="eastAsia"/>
          <w:color w:val="333333"/>
          <w:shd w:val="clear" w:color="auto" w:fill="FFFFFF"/>
        </w:rPr>
        <w:t>有效履行信息管理职能。</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420"/>
        <w:jc w:val="both"/>
        <w:rPr>
          <w:rFonts w:ascii="楷体_GB2312" w:eastAsia="楷体_GB2312" w:cs="楷体_GB2312" w:hAnsi="楷体_GB2312" w:hint="eastAsia"/>
          <w:color w:val="333333"/>
          <w:shd w:val="clear" w:color="auto" w:fill="FFFFFF"/>
        </w:rPr>
      </w:pP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lang w:val="en-US" w:eastAsia="zh-CN"/>
        </w:rPr>
        <w:t>四</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）推进政府信息公开平台建设。</w:t>
      </w:r>
      <w:r>
        <w:rPr>
          <w:rFonts w:ascii="仿宋_GB2312" w:eastAsia="仿宋_GB2312" w:cs="仿宋_GB2312" w:hAnsi="仿宋_GB2312"/>
          <w:color w:val="333333"/>
          <w:shd w:val="clear" w:color="auto" w:fill="FFFFFF"/>
        </w:rPr>
        <w:t>能主动公开的信息一律主动公开，</w:t>
      </w:r>
      <w:r>
        <w:rPr>
          <w:rFonts w:ascii="仿宋_GB2312" w:eastAsia="仿宋_GB2312" w:cs="仿宋_GB2312" w:hAnsi="仿宋_GB2312" w:hint="eastAsia"/>
          <w:color w:val="333333"/>
          <w:shd w:val="clear" w:color="auto" w:fill="FFFFFF"/>
        </w:rPr>
        <w:t>不断优化政府信息公开数量与</w:t>
      </w:r>
      <w:r>
        <w:rPr>
          <w:rFonts w:ascii="仿宋_GB2312" w:eastAsia="仿宋_GB2312" w:cs="仿宋_GB2312" w:hAnsi="仿宋_GB2312"/>
          <w:color w:val="333333"/>
          <w:shd w:val="clear" w:color="auto" w:fill="FFFFFF"/>
        </w:rPr>
        <w:t>信息</w:t>
      </w:r>
      <w:r>
        <w:rPr>
          <w:rFonts w:ascii="仿宋_GB2312" w:eastAsia="仿宋_GB2312" w:cs="仿宋_GB2312" w:hAnsi="仿宋_GB2312" w:hint="eastAsia"/>
          <w:color w:val="333333"/>
          <w:shd w:val="clear" w:color="auto" w:fill="FFFFFF"/>
        </w:rPr>
        <w:t>公开质量，</w:t>
      </w:r>
      <w:r>
        <w:rPr>
          <w:rFonts w:ascii="仿宋_GB2312" w:eastAsia="仿宋_GB2312" w:cs="仿宋_GB2312" w:hAnsi="仿宋_GB2312"/>
          <w:color w:val="333333"/>
          <w:shd w:val="clear" w:color="auto" w:fill="FFFFFF"/>
        </w:rPr>
        <w:t>更多地为人民群众提供便利，切实提升信息公开实效。</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420"/>
        <w:jc w:val="both"/>
        <w:rPr>
          <w:rFonts w:ascii="仿宋_GB2312" w:eastAsia="仿宋_GB2312" w:cs="仿宋_GB2312" w:hAnsi="仿宋_GB2312" w:hint="eastAsia"/>
          <w:b w:val="0"/>
          <w:bCs w:val="0"/>
          <w:i w:val="0"/>
          <w:iCs w:val="0"/>
          <w:caps w:val="0"/>
          <w:smallCaps w:val="0"/>
          <w:color w:val="333333"/>
          <w:spacing w:val="0"/>
          <w:sz w:val="24"/>
          <w:szCs w:val="24"/>
          <w:shd w:val="clear" w:color="auto" w:fill="FFFFFF"/>
          <w:lang w:val="en-US" w:eastAsia="zh-CN"/>
        </w:rPr>
      </w:pP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lang w:val="en-US" w:eastAsia="zh-CN"/>
        </w:rPr>
        <w:t>五</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）强化监督保障</w:t>
      </w:r>
      <w:r>
        <w:rPr>
          <w:rFonts w:ascii="楷体_GB2312" w:eastAsia="楷体_GB2312" w:cs="楷体_GB2312" w:hAnsi="楷体_GB2312"/>
          <w:b w:val="0"/>
          <w:bCs w:val="0"/>
          <w:i w:val="0"/>
          <w:iCs w:val="0"/>
          <w:caps w:val="0"/>
          <w:smallCaps w:val="0"/>
          <w:color w:val="333333"/>
          <w:spacing w:val="0"/>
          <w:sz w:val="24"/>
          <w:szCs w:val="24"/>
          <w:shd w:val="clear" w:color="auto" w:fill="FFFFFF"/>
        </w:rPr>
        <w:t>作用</w:t>
      </w:r>
      <w:r>
        <w:rPr>
          <w:rFonts w:ascii="楷体_GB2312" w:eastAsia="楷体_GB2312" w:cs="楷体_GB2312" w:hAnsi="楷体_GB2312" w:hint="eastAsia"/>
          <w:b w:val="0"/>
          <w:bCs w:val="0"/>
          <w:i w:val="0"/>
          <w:iCs w:val="0"/>
          <w:caps w:val="0"/>
          <w:smallCaps w:val="0"/>
          <w:color w:val="333333"/>
          <w:spacing w:val="0"/>
          <w:sz w:val="24"/>
          <w:szCs w:val="24"/>
          <w:shd w:val="clear" w:color="auto" w:fill="FFFFFF"/>
        </w:rPr>
        <w:t>。</w:t>
      </w:r>
      <w:r>
        <w:rPr>
          <w:rFonts w:ascii="仿宋_GB2312" w:eastAsia="仿宋_GB2312" w:cs="仿宋_GB2312" w:hAnsi="仿宋_GB2312" w:hint="eastAsia"/>
          <w:color w:val="333333"/>
          <w:shd w:val="clear" w:color="auto" w:fill="FFFFFF"/>
        </w:rPr>
        <w:t>严格落实责任追究要求，</w:t>
      </w:r>
      <w:r>
        <w:rPr>
          <w:rFonts w:ascii="仿宋_GB2312" w:eastAsia="仿宋_GB2312" w:cs="仿宋_GB2312" w:hAnsi="仿宋_GB2312"/>
          <w:color w:val="333333"/>
          <w:shd w:val="clear" w:color="auto" w:fill="FFFFFF"/>
        </w:rPr>
        <w:t>配合主管部门加强</w:t>
      </w:r>
      <w:r>
        <w:rPr>
          <w:rFonts w:ascii="仿宋_GB2312" w:eastAsia="仿宋_GB2312" w:cs="仿宋_GB2312" w:hAnsi="仿宋_GB2312" w:hint="eastAsia"/>
          <w:color w:val="333333"/>
          <w:shd w:val="clear" w:color="auto" w:fill="FFFFFF"/>
        </w:rPr>
        <w:t>对信息公开工作</w:t>
      </w:r>
      <w:r>
        <w:rPr>
          <w:rFonts w:ascii="仿宋_GB2312" w:eastAsia="仿宋_GB2312" w:cs="仿宋_GB2312" w:hAnsi="仿宋_GB2312"/>
          <w:color w:val="333333"/>
          <w:shd w:val="clear" w:color="auto" w:fill="FFFFFF"/>
        </w:rPr>
        <w:t>的日常指导和监督检查</w:t>
      </w:r>
      <w:r>
        <w:rPr>
          <w:rFonts w:ascii="仿宋_GB2312" w:eastAsia="仿宋_GB2312" w:cs="仿宋_GB2312" w:hAnsi="仿宋_GB2312" w:hint="eastAsia"/>
          <w:color w:val="333333"/>
          <w:shd w:val="clear" w:color="auto" w:fill="FFFFFF"/>
        </w:rPr>
        <w:t>，更好回应社会关切</w:t>
      </w:r>
      <w:r>
        <w:rPr>
          <w:rFonts w:ascii="仿宋_GB2312" w:eastAsia="仿宋_GB2312" w:cs="仿宋_GB2312" w:hAnsi="仿宋_GB2312"/>
          <w:color w:val="333333"/>
          <w:shd w:val="clear" w:color="auto" w:fill="FFFFFF"/>
        </w:rPr>
        <w:t>，</w:t>
      </w:r>
      <w:r>
        <w:rPr>
          <w:rFonts w:ascii="仿宋_GB2312" w:eastAsia="仿宋_GB2312" w:cs="仿宋_GB2312" w:hAnsi="仿宋_GB2312" w:hint="eastAsia"/>
          <w:color w:val="333333"/>
          <w:shd w:val="clear" w:color="auto" w:fill="FFFFFF"/>
        </w:rPr>
        <w:t>切实保障人民群众依法获取政府信息。</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jc w:val="both"/>
        <w:rPr>
          <w:rFonts w:ascii="宋体" w:eastAsia="宋体" w:cs="宋体" w:hAnsi="宋体" w:hint="eastAsia"/>
          <w:i w:val="0"/>
          <w:iCs w:val="0"/>
          <w:caps w:val="0"/>
          <w:smallCaps w:val="0"/>
          <w:color w:val="333333"/>
          <w:spacing w:val="0"/>
          <w:sz w:val="24"/>
          <w:szCs w:val="24"/>
        </w:rPr>
      </w:pP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r>
        <w:rPr>
          <w:rFonts w:ascii="宋体" w:eastAsia="宋体" w:cs="宋体" w:hAnsi="宋体" w:hint="eastAsia"/>
          <w:b/>
          <w:bCs/>
          <w:i w:val="0"/>
          <w:iCs w:val="0"/>
          <w:caps w:val="0"/>
          <w:smallCaps w:val="0"/>
          <w:color w:val="333333"/>
          <w:spacing w:val="0"/>
          <w:sz w:val="24"/>
          <w:szCs w:val="24"/>
          <w:shd w:val="clear" w:color="auto" w:fill="FFFFFF"/>
        </w:rPr>
        <w:t>二、主动公开政府信息情况</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p>
    <w:tbl>
      <w:tblPr>
        <w:jc w:val="center"/>
        <w:tblW w:w="9740" w:type="dxa"/>
        <w:tblBorders>
          <w:top w:val="none" w:sz="0" w:space="0" w:color="auto"/>
          <w:left w:val="none" w:sz="0" w:space="0" w:color="auto"/>
          <w:bottom w:val="none" w:sz="0" w:space="0" w:color="auto"/>
          <w:right w:val="none" w:sz="0"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2435"/>
        <w:gridCol w:w="2435"/>
        <w:gridCol w:w="2435"/>
        <w:gridCol w:w="2435"/>
      </w:tblGrid>
      <w:tr>
        <w:trPr>
          <w:trHeight w:val="340"/>
        </w:trPr>
        <w:tc>
          <w:tcPr>
            <w:tcW w:w="9740" w:type="dxa"/>
            <w:gridSpan w:val="4"/>
            <w:tcBorders>
              <w:top w:val="single" w:sz="8" w:space="0" w:color="auto"/>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第二十条第（一）项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信息内容</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本年</w:t>
            </w:r>
            <w:r>
              <w:rPr>
                <w:rFonts w:ascii="宋体" w:eastAsia="宋体" w:cs="宋体" w:hAnsi="宋体" w:hint="eastAsia"/>
                <w:kern w:val="0"/>
                <w:sz w:val="20"/>
                <w:szCs w:val="20"/>
                <w:lang w:val="en-US" w:eastAsia="zh-CN"/>
              </w:rPr>
              <w:t>制发件数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本年废止件数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现行有效件</w:t>
            </w:r>
            <w:r>
              <w:rPr>
                <w:rFonts w:ascii="宋体" w:eastAsia="宋体" w:cs="宋体" w:hAnsi="宋体" w:hint="eastAsia"/>
                <w:kern w:val="0"/>
                <w:sz w:val="20"/>
                <w:szCs w:val="20"/>
                <w:lang w:val="en-US" w:eastAsia="zh-CN"/>
              </w:rPr>
              <w:t>数</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规章</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color w:val="000000"/>
                <w:kern w:val="0"/>
                <w:sz w:val="20"/>
                <w:szCs w:val="20"/>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color w:val="000000"/>
                <w:kern w:val="0"/>
                <w:sz w:val="20"/>
                <w:szCs w:val="20"/>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1"/>
                <w:szCs w:val="21"/>
                <w:lang w:val="en-US" w:eastAsia="zh-CN"/>
              </w:rPr>
              <w:t> 0</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行政规范性文件</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color w:val="000000"/>
                <w:kern w:val="0"/>
                <w:sz w:val="20"/>
                <w:szCs w:val="20"/>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color w:val="000000"/>
                <w:kern w:val="0"/>
                <w:sz w:val="20"/>
                <w:szCs w:val="20"/>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1"/>
                <w:szCs w:val="21"/>
                <w:lang w:val="en-US" w:eastAsia="zh-CN"/>
              </w:rPr>
              <w:t> 0</w:t>
            </w:r>
          </w:p>
        </w:tc>
      </w:tr>
      <w:tr>
        <w:trPr>
          <w:trHeight w:val="340"/>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第二十条第（五）项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信息内容</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本年处理决定数量</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行政许可</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宋体" w:cs="宋体" w:hAnsi="宋体" w:hint="eastAsia"/>
              </w:rPr>
            </w:pPr>
            <w:r>
              <w:rPr>
                <w:rFonts w:ascii="宋体" w:cs="宋体" w:hAnsi="宋体" w:hint="eastAsia"/>
                <w:kern w:val="0"/>
                <w:sz w:val="21"/>
                <w:szCs w:val="21"/>
                <w:lang w:val="en-US" w:eastAsia="zh-CN"/>
              </w:rPr>
              <w:t> 553</w:t>
            </w:r>
            <w:bookmarkStart w:id="0" w:name="_GoBack"/>
            <w:bookmarkEnd w:id="0"/>
          </w:p>
        </w:tc>
      </w:tr>
      <w:tr>
        <w:trPr>
          <w:trHeight w:val="340"/>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第二十条第（六）项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信息内容</w:t>
            </w:r>
          </w:p>
        </w:tc>
        <w:tc>
          <w:tcPr>
            <w:tcW w:w="7305" w:type="dxa"/>
            <w:gridSpan w:val="3"/>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本年处理决定数量</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行政处罚</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color w:val="000000"/>
                <w:kern w:val="0"/>
                <w:sz w:val="20"/>
                <w:szCs w:val="20"/>
                <w:lang w:val="en-US" w:eastAsia="zh-CN"/>
              </w:rPr>
              <w:t>0</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行政强制</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color w:val="000000"/>
                <w:kern w:val="0"/>
                <w:sz w:val="20"/>
                <w:szCs w:val="20"/>
                <w:lang w:val="en-US" w:eastAsia="zh-CN"/>
              </w:rPr>
              <w:t>0</w:t>
            </w:r>
          </w:p>
        </w:tc>
      </w:tr>
      <w:tr>
        <w:trPr>
          <w:trHeight w:val="340"/>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第二十条第（八）项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信息内容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本年收费金额（单位：万元）</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行政事业性收费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ascii="宋体" w:hint="eastAsia"/>
                <w:sz w:val="24"/>
                <w:szCs w:val="24"/>
              </w:rPr>
            </w:pPr>
            <w:r>
              <w:rPr>
                <w:rFonts w:ascii="宋体" w:cs="宋体" w:hAnsi="宋体"/>
                <w:color w:val="000000"/>
                <w:kern w:val="0"/>
                <w:sz w:val="20"/>
                <w:szCs w:val="20"/>
              </w:rPr>
              <w:t>0</w:t>
            </w:r>
          </w:p>
        </w:tc>
      </w:tr>
    </w:tbl>
    <w:p>
      <w:pPr>
        <w:keepNext w:val="0"/>
        <w:keepLines w:val="0"/>
        <w:widowControl/>
        <w:suppressLineNumbers w:val="0"/>
        <w:jc w:val="left"/>
      </w:pP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r>
        <w:rPr>
          <w:rFonts w:ascii="宋体" w:eastAsia="宋体" w:cs="宋体" w:hAnsi="宋体" w:hint="eastAsia"/>
          <w:b/>
          <w:bCs/>
          <w:i w:val="0"/>
          <w:iCs w:val="0"/>
          <w:caps w:val="0"/>
          <w:smallCaps w:val="0"/>
          <w:color w:val="333333"/>
          <w:spacing w:val="0"/>
          <w:sz w:val="24"/>
          <w:szCs w:val="24"/>
          <w:shd w:val="clear" w:color="auto" w:fill="FFFFFF"/>
        </w:rPr>
        <w:t>三、收到和处理政府信息公开申请情况</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p>
    <w:tbl>
      <w:tblPr>
        <w:jc w:val="center"/>
        <w:tblW w:w="9748"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754"/>
        <w:gridCol w:w="921"/>
        <w:gridCol w:w="3272"/>
        <w:gridCol w:w="686"/>
        <w:gridCol w:w="686"/>
        <w:gridCol w:w="686"/>
        <w:gridCol w:w="686"/>
        <w:gridCol w:w="686"/>
        <w:gridCol w:w="686"/>
        <w:gridCol w:w="686"/>
      </w:tblGrid>
      <w:tr>
        <w:tc>
          <w:tcPr>
            <w:tcW w:w="5150" w:type="dxa"/>
            <w:gridSpan w:val="3"/>
            <w:vMerge w:val="restart"/>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楷体" w:eastAsia="楷体" w:cs="楷体" w:hAnsi="楷体" w:hint="eastAsia"/>
                <w:kern w:val="0"/>
                <w:sz w:val="20"/>
                <w:szCs w:val="20"/>
                <w:lang w:val="en-US" w:eastAsia="zh-CN"/>
              </w:rPr>
              <w:t>（本列数据的勾稽关系为：第一项加第二项之和，等于第三项加第四项之和）</w:t>
            </w:r>
          </w:p>
        </w:tc>
        <w:tc>
          <w:tcPr>
            <w:tcW w:w="4998" w:type="dxa"/>
            <w:gridSpan w:val="7"/>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申请人情况</w:t>
            </w:r>
          </w:p>
        </w:tc>
      </w:tr>
      <w:tr>
        <w:tc>
          <w:tcPr>
            <w:tcW w:w="5150"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tc>
        <w:tc>
          <w:tcPr>
            <w:tcW w:w="714" w:type="dxa"/>
            <w:vMerge w:val="restart"/>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自然人</w:t>
            </w:r>
          </w:p>
        </w:tc>
        <w:tc>
          <w:tcPr>
            <w:tcW w:w="3570" w:type="dxa"/>
            <w:gridSpan w:val="5"/>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法人或其他组织</w:t>
            </w:r>
          </w:p>
        </w:tc>
        <w:tc>
          <w:tcPr>
            <w:tcW w:w="714" w:type="dxa"/>
            <w:vMerge w:val="restart"/>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总计</w:t>
            </w:r>
          </w:p>
        </w:tc>
      </w:tr>
      <w:tr>
        <w:tc>
          <w:tcPr>
            <w:tcW w:w="5150"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tc>
        <w:tc>
          <w:tcPr>
            <w:tcW w:w="714" w:type="dxa"/>
            <w:vMerge/>
            <w:tcBorders>
              <w:top w:val="nil"/>
              <w:left w:val="nil"/>
              <w:bottom w:val="single" w:sz="8" w:space="0" w:color="auto"/>
              <w:right w:val="single" w:sz="8" w:space="0" w:color="auto"/>
            </w:tcBorders>
            <w:shd w:val="clear" w:color="auto" w:fill="auto"/>
            <w:tcMar>
              <w:left w:w="57" w:type="dxa"/>
              <w:right w:w="57" w:type="dxa"/>
            </w:tcMar>
            <w:vAlign w:val="center"/>
          </w:tcP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商业</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企业</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科研</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机构</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社会公益组织</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法律服务机构</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其他</w:t>
            </w:r>
          </w:p>
        </w:tc>
        <w:tc>
          <w:tcPr>
            <w:tcW w:w="714" w:type="dxa"/>
            <w:vMerge/>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tc>
      </w:tr>
      <w:tr>
        <w:tc>
          <w:tcPr>
            <w:tcW w:w="5150"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一、本年新收政府信息公开申请数量</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5150"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二、上年结转政府信息公开申请数量</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val="restart"/>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三、本年度办理结果</w:t>
            </w:r>
          </w:p>
        </w:tc>
        <w:tc>
          <w:tcPr>
            <w:tcW w:w="4365"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（一）予以公开</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rPr>
          <w:trHeight w:val="708"/>
        </w:trP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4365"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（二）部分公开</w:t>
            </w:r>
            <w:r>
              <w:rPr>
                <w:rFonts w:ascii="楷体" w:eastAsia="楷体" w:cs="楷体" w:hAnsi="楷体" w:hint="eastAsia"/>
                <w:kern w:val="0"/>
                <w:sz w:val="20"/>
                <w:szCs w:val="20"/>
                <w:lang w:val="en-US" w:eastAsia="zh-CN"/>
              </w:rPr>
              <w:t>（区分处理的，只计这一情形，不计其他情形）</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Pr>
                <w:rFonts w:cs="Calibri"/>
                <w:kern w:val="0"/>
                <w:sz w:val="20"/>
                <w:szCs w:val="20"/>
              </w:rPr>
            </w:pP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（三）不予公开</w:t>
            </w: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1.属于国家秘密</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2.其他法律行政法规禁止公开</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3.危及“三安全一稳定”</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4.保护第三方合法权益</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5.属于三类内部事务信息</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6.属于四类过程性信息</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7.属于行政执法案卷</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8.属于行政查询事项</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（四）无法提供</w:t>
            </w: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1.本机关不掌握相关政府信息</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2.没有现成信息需要另行制作</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3.补正后申请内容仍不明确</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（五）不予处理</w:t>
            </w: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1.信访举报投诉类申请</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2.重复申请</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3.要求提供公开出版物</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4.无正当理由大量反复申请</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rPr>
          <w:trHeight w:val="779"/>
        </w:trP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both"/>
            </w:pPr>
            <w:r>
              <w:rPr>
                <w:rFonts w:ascii="宋体" w:eastAsia="宋体" w:cs="宋体" w:hAnsi="宋体" w:hint="eastAsia"/>
                <w:kern w:val="0"/>
                <w:sz w:val="20"/>
                <w:szCs w:val="20"/>
                <w:lang w:val="en-US" w:eastAsia="zh-CN"/>
              </w:rPr>
              <w:t>5.要求行政机关确认或重新出具已获取信息</w:t>
            </w:r>
          </w:p>
        </w:tc>
        <w:tc>
          <w:tcPr>
            <w:tcW w:w="714" w:type="dxa"/>
            <w:tcBorders>
              <w:top w:val="nil"/>
              <w:left w:val="nil"/>
              <w:bottom w:val="outset"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outset"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outset"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outset"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tc>
        <w:tc>
          <w:tcPr>
            <w:tcW w:w="714" w:type="dxa"/>
            <w:tcBorders>
              <w:top w:val="nil"/>
              <w:left w:val="nil"/>
              <w:bottom w:val="outset"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tc>
        <w:tc>
          <w:tcPr>
            <w:tcW w:w="714" w:type="dxa"/>
            <w:tcBorders>
              <w:top w:val="nil"/>
              <w:left w:val="nil"/>
              <w:bottom w:val="outset"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tc>
        <w:tc>
          <w:tcPr>
            <w:tcW w:w="714" w:type="dxa"/>
            <w:tcBorders>
              <w:top w:val="nil"/>
              <w:left w:val="nil"/>
              <w:bottom w:val="outset"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firstLineChars="100" w:firstLine="200"/>
              <w:rPr>
                <w:rFonts w:cs="Calibri"/>
                <w:kern w:val="0"/>
                <w:sz w:val="20"/>
                <w:szCs w:val="20"/>
              </w:rPr>
            </w:pP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val="restart"/>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（六）其他处理</w:t>
            </w:r>
          </w:p>
        </w:tc>
        <w:tc>
          <w:tcPr>
            <w:tcW w:w="3406"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both"/>
            </w:pPr>
            <w:r>
              <w:rPr>
                <w:rFonts w:ascii="宋体" w:eastAsia="宋体" w:cs="宋体" w:hAnsi="宋体" w:hint="eastAsia"/>
                <w:kern w:val="0"/>
                <w:sz w:val="20"/>
                <w:szCs w:val="20"/>
                <w:lang w:val="en-US" w:eastAsia="zh-CN"/>
              </w:rPr>
              <w:t>1.申请人无正当理由逾期不补正、行政机关不再处理其政府信息公开申请</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both"/>
            </w:pPr>
            <w:r>
              <w:rPr>
                <w:rFonts w:ascii="宋体" w:eastAsia="宋体" w:cs="宋体" w:hAnsi="宋体" w:hint="eastAsia"/>
                <w:kern w:val="0"/>
                <w:sz w:val="20"/>
                <w:szCs w:val="20"/>
                <w:lang w:val="en-US" w:eastAsia="zh-CN"/>
              </w:rPr>
              <w:t>2.申请人逾期未按收费通知要求缴纳费用、行政机关不再处理其政府信息公开申请</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3.其他</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4365"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（七）总计</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r>
      <w:tr>
        <w:tc>
          <w:tcPr>
            <w:tcW w:w="5150"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四、结转下年度继续办理</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 0</w:t>
            </w:r>
          </w:p>
        </w:tc>
        <w:tc>
          <w:tcPr>
            <w:tcW w:w="714"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tc>
      </w:tr>
    </w:tbl>
    <w:p>
      <w:pPr>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0"/>
        <w:jc w:val="center"/>
        <w:rPr>
          <w:rFonts w:ascii="宋体" w:eastAsia="宋体" w:cs="宋体" w:hAnsi="宋体" w:hint="eastAsia"/>
          <w:i w:val="0"/>
          <w:iCs w:val="0"/>
          <w:caps w:val="0"/>
          <w:smallCaps w:val="0"/>
          <w:color w:val="333333"/>
          <w:spacing w:val="0"/>
          <w:sz w:val="24"/>
          <w:szCs w:val="24"/>
        </w:rPr>
      </w:pP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r>
        <w:rPr>
          <w:rFonts w:ascii="宋体" w:eastAsia="宋体" w:cs="宋体" w:hAnsi="宋体" w:hint="eastAsia"/>
          <w:b/>
          <w:bCs/>
          <w:i w:val="0"/>
          <w:iCs w:val="0"/>
          <w:caps w:val="0"/>
          <w:smallCaps w:val="0"/>
          <w:color w:val="333333"/>
          <w:spacing w:val="0"/>
          <w:sz w:val="24"/>
          <w:szCs w:val="24"/>
          <w:shd w:val="clear" w:color="auto" w:fill="FFFFFF"/>
        </w:rPr>
        <w:t>四、政府信息公开行政复议、行政诉讼情况</w:t>
      </w:r>
    </w:p>
    <w:p>
      <w:pPr>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0"/>
        <w:jc w:val="center"/>
        <w:rPr>
          <w:rFonts w:ascii="宋体" w:eastAsia="宋体" w:cs="宋体" w:hAnsi="宋体" w:hint="eastAsia"/>
          <w:i w:val="0"/>
          <w:iCs w:val="0"/>
          <w:caps w:val="0"/>
          <w:smallCaps w:val="0"/>
          <w:color w:val="333333"/>
          <w:spacing w:val="0"/>
          <w:sz w:val="24"/>
          <w:szCs w:val="24"/>
        </w:rPr>
      </w:pPr>
    </w:p>
    <w:tbl>
      <w:tblPr>
        <w:jc w:val="center"/>
        <w:tblW w:w="9748"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649"/>
        <w:gridCol w:w="649"/>
        <w:gridCol w:w="649"/>
        <w:gridCol w:w="649"/>
        <w:gridCol w:w="649"/>
        <w:gridCol w:w="649"/>
        <w:gridCol w:w="649"/>
        <w:gridCol w:w="650"/>
        <w:gridCol w:w="650"/>
        <w:gridCol w:w="650"/>
        <w:gridCol w:w="650"/>
        <w:gridCol w:w="650"/>
        <w:gridCol w:w="650"/>
        <w:gridCol w:w="650"/>
        <w:gridCol w:w="650"/>
      </w:tblGrid>
      <w:tr>
        <w:tc>
          <w:tcPr>
            <w:tcW w:w="3210"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行政复议</w:t>
            </w:r>
          </w:p>
        </w:tc>
        <w:tc>
          <w:tcPr>
            <w:tcW w:w="6428" w:type="dxa"/>
            <w:gridSpan w:val="10"/>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行政诉讼</w:t>
            </w:r>
          </w:p>
        </w:tc>
      </w:tr>
      <w:tr>
        <w:tc>
          <w:tcPr>
            <w:tcW w:w="642"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结果维持</w:t>
            </w:r>
          </w:p>
        </w:tc>
        <w:tc>
          <w:tcPr>
            <w:tcW w:w="642"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纠正</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其他</w:t>
              <w:br/>
              <w:t>结果</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尚未</w:t>
              <w:br/>
              <w:t>审结</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总计</w:t>
            </w:r>
          </w:p>
        </w:tc>
        <w:tc>
          <w:tcPr>
            <w:tcW w:w="3213"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未经复议直接起诉</w:t>
            </w:r>
          </w:p>
        </w:tc>
        <w:tc>
          <w:tcPr>
            <w:tcW w:w="3215"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复议后起诉</w:t>
            </w:r>
          </w:p>
        </w:tc>
      </w:tr>
      <w:tr>
        <w:tc>
          <w:tcPr>
            <w:tcW w:w="642"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维持</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纠正</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其他</w:t>
              <w:br/>
              <w:t>结果</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尚未</w:t>
              <w:br/>
              <w:t>审结</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总计</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维持</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纠正</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其他</w:t>
              <w:br/>
              <w:t>结果</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尚未</w:t>
              <w:br/>
              <w:t>审结</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总计</w:t>
            </w:r>
          </w:p>
        </w:tc>
      </w:tr>
      <w:tr>
        <w:trPr>
          <w:trHeight w:val="672"/>
        </w:trPr>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xml:space="preserve"> 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ind w:left="0" w:firstLineChars="100" w:firstLine="200"/>
              <w:rPr>
                <w:rFonts w:ascii="宋体" w:hint="eastAsia"/>
                <w:sz w:val="24"/>
                <w:szCs w:val="24"/>
              </w:rPr>
            </w:pPr>
            <w:r>
              <w:rPr>
                <w:rFonts w:ascii="黑体" w:eastAsia="黑体" w:cs="黑体" w:hAnsi="宋体"/>
                <w:kern w:val="0"/>
                <w:sz w:val="20"/>
                <w:szCs w:val="20"/>
              </w:rPr>
              <w:t>0</w:t>
            </w:r>
          </w:p>
        </w:tc>
      </w:tr>
    </w:tbl>
    <w:p>
      <w:pPr>
        <w:keepNext w:val="0"/>
        <w:keepLines w:val="0"/>
        <w:widowControl/>
        <w:suppressLineNumbers w:val="0"/>
        <w:jc w:val="left"/>
      </w:pP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r>
        <w:rPr>
          <w:rFonts w:ascii="宋体" w:eastAsia="宋体" w:cs="宋体" w:hAnsi="宋体" w:hint="eastAsia"/>
          <w:b/>
          <w:bCs/>
          <w:i w:val="0"/>
          <w:iCs w:val="0"/>
          <w:caps w:val="0"/>
          <w:smallCaps w:val="0"/>
          <w:color w:val="333333"/>
          <w:spacing w:val="0"/>
          <w:sz w:val="24"/>
          <w:szCs w:val="24"/>
          <w:shd w:val="clear" w:color="auto" w:fill="FFFFFF"/>
        </w:rPr>
        <w:t>五、存在的主要问题及改进情况</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仿宋_GB2312" w:eastAsia="仿宋_GB2312" w:cs="仿宋_GB2312" w:hAnsi="仿宋_GB2312"/>
          <w:b w:val="0"/>
          <w:bCs w:val="0"/>
          <w:i w:val="0"/>
          <w:iCs w:val="0"/>
          <w:caps w:val="0"/>
          <w:smallCaps w:val="0"/>
          <w:color w:val="333333"/>
          <w:sz w:val="24"/>
          <w:szCs w:val="24"/>
          <w:shd w:val="clear" w:color="auto" w:fill="FFFFFF"/>
        </w:rPr>
      </w:pPr>
      <w:r>
        <w:rPr>
          <w:rFonts w:ascii="仿宋_GB2312" w:eastAsia="仿宋_GB2312" w:cs="仿宋_GB2312" w:hAnsi="仿宋_GB2312"/>
          <w:b w:val="0"/>
          <w:bCs w:val="0"/>
          <w:i w:val="0"/>
          <w:iCs w:val="0"/>
          <w:caps w:val="0"/>
          <w:smallCaps w:val="0"/>
          <w:color w:val="333333"/>
          <w:spacing w:val="0"/>
          <w:sz w:val="24"/>
          <w:szCs w:val="24"/>
          <w:shd w:val="clear" w:color="auto" w:fill="FFFFFF"/>
        </w:rPr>
        <w:t>政府信息公开形式缺乏创新性，在政府信息公开工作方式方法上有待优化提升。</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420"/>
        <w:jc w:val="both"/>
        <w:rPr>
          <w:rFonts w:ascii="仿宋_GB2312" w:eastAsia="仿宋_GB2312" w:cs="仿宋_GB2312" w:hAnsi="仿宋_GB2312" w:hint="eastAsia"/>
          <w:color w:val="333333"/>
          <w:shd w:val="clear" w:color="auto" w:fill="FFFFFF"/>
        </w:rPr>
      </w:pPr>
      <w:r>
        <w:rPr>
          <w:rFonts w:ascii="仿宋_GB2312" w:eastAsia="仿宋_GB2312" w:cs="仿宋_GB2312" w:hAnsi="仿宋_GB2312"/>
          <w:b w:val="0"/>
          <w:bCs w:val="0"/>
          <w:i w:val="0"/>
          <w:iCs w:val="0"/>
          <w:caps w:val="0"/>
          <w:smallCaps w:val="0"/>
          <w:color w:val="333333"/>
          <w:sz w:val="24"/>
          <w:szCs w:val="24"/>
          <w:shd w:val="clear" w:color="auto" w:fill="FFFFFF"/>
        </w:rPr>
        <w:t>下一步，开发区将进一步加强对于政府信息公开有关文件精神的学习领悟，严格贯彻落实上级对于政府信息公开工作的有关决策部署与各项规范要求，通过开展政务公开工作系统化业务培训，切实提升工作人员队伍整体素质，不断优化工作人员信息公开工作方式方法，满足人民群众获取政府信息的需求。</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r>
        <w:rPr>
          <w:rFonts w:ascii="宋体" w:eastAsia="宋体" w:cs="宋体" w:hAnsi="宋体" w:hint="eastAsia"/>
          <w:b/>
          <w:bCs/>
          <w:i w:val="0"/>
          <w:iCs w:val="0"/>
          <w:caps w:val="0"/>
          <w:smallCaps w:val="0"/>
          <w:color w:val="333333"/>
          <w:spacing w:val="0"/>
          <w:sz w:val="24"/>
          <w:szCs w:val="24"/>
          <w:shd w:val="clear" w:color="auto" w:fill="FFFFFF"/>
        </w:rPr>
        <w:t>六、其他需要报告的事项</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420"/>
        <w:rPr>
          <w:rFonts w:ascii="宋体" w:cs="宋体" w:hAnsi="宋体" w:hint="eastAsia"/>
          <w:color w:val="333333"/>
        </w:rPr>
      </w:pPr>
      <w:r>
        <w:rPr>
          <w:rFonts w:ascii="仿宋_GB2312" w:eastAsia="仿宋_GB2312" w:cs="仿宋_GB2312" w:hAnsi="仿宋_GB2312" w:hint="eastAsia"/>
          <w:b w:val="0"/>
          <w:bCs w:val="0"/>
          <w:i w:val="0"/>
          <w:iCs w:val="0"/>
          <w:caps w:val="0"/>
          <w:smallCaps w:val="0"/>
          <w:color w:val="333333"/>
          <w:spacing w:val="0"/>
          <w:sz w:val="24"/>
          <w:szCs w:val="24"/>
          <w:shd w:val="clear" w:color="auto" w:fill="FFFFFF"/>
          <w:lang w:val="en-US" w:eastAsia="zh-CN"/>
        </w:rPr>
        <w:t>202</w:t>
      </w:r>
      <w:r>
        <w:rPr>
          <w:rFonts w:ascii="仿宋_GB2312" w:eastAsia="仿宋_GB2312" w:cs="仿宋_GB2312" w:hAnsi="仿宋_GB2312"/>
          <w:b w:val="0"/>
          <w:bCs w:val="0"/>
          <w:i w:val="0"/>
          <w:iCs w:val="0"/>
          <w:caps w:val="0"/>
          <w:smallCaps w:val="0"/>
          <w:color w:val="333333"/>
          <w:spacing w:val="0"/>
          <w:sz w:val="24"/>
          <w:szCs w:val="24"/>
          <w:shd w:val="clear" w:color="auto" w:fill="FFFFFF"/>
          <w:lang w:val="en-US" w:eastAsia="zh-CN"/>
        </w:rPr>
        <w:t>4</w:t>
      </w:r>
      <w:r>
        <w:rPr>
          <w:rFonts w:ascii="仿宋_GB2312" w:eastAsia="仿宋_GB2312" w:cs="仿宋_GB2312" w:hAnsi="仿宋_GB2312" w:hint="eastAsia"/>
          <w:b w:val="0"/>
          <w:bCs w:val="0"/>
          <w:i w:val="0"/>
          <w:iCs w:val="0"/>
          <w:caps w:val="0"/>
          <w:smallCaps w:val="0"/>
          <w:color w:val="333333"/>
          <w:spacing w:val="0"/>
          <w:sz w:val="24"/>
          <w:szCs w:val="24"/>
          <w:shd w:val="clear" w:color="auto" w:fill="FFFFFF"/>
          <w:lang w:val="en-US" w:eastAsia="zh-CN"/>
        </w:rPr>
        <w:t>年，我区没有收取信息处理费。无其他需要报告事项。</w:t>
      </w:r>
    </w:p>
    <w:sectPr>
      <w:pgSz w:w="11906" w:h="16838"/>
      <w:pgMar w:top="1440" w:right="1800" w:bottom="1440" w:left="1800" w:header="851" w:footer="992" w:gutter="0"/>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宋体">
    <w:panose1 w:val="02010600030101010101"/>
    <w:charset w:val="86"/>
    <w:family w:val="auto"/>
    <w:pitch w:val="variable"/>
    <w:sig w:usb0="00000003" w:usb1="288F0000" w:usb2="00000006" w:usb3="00000000" w:csb0="00040001" w:csb1="00000000"/>
  </w:font>
  <w:font w:name="仿宋_GB2312">
    <w:panose1 w:val="02010609030101010101"/>
    <w:charset w:val="86"/>
    <w:family w:val="auto"/>
    <w:pitch w:val="variable"/>
    <w:sig w:usb0="00000001" w:usb1="080E0000" w:usb2="00000000" w:usb3="00000000" w:csb0="00040000" w:csb1="00000000"/>
  </w:font>
  <w:font w:name="楷体_GB2312">
    <w:panose1 w:val="02010609030101010101"/>
    <w:charset w:val="86"/>
    <w:family w:val="auto"/>
    <w:pitch w:val="variable"/>
    <w:sig w:usb0="00000001" w:usb1="080E0000" w:usb2="00000000" w:usb3="00000000" w:csb0="00040000" w:csb1="00000000"/>
  </w:font>
  <w:font w:name="Calibri">
    <w:panose1 w:val="020F0502020204030204"/>
    <w:charset w:val="00"/>
    <w:family w:val="swiss"/>
    <w:pitch w:val="variable"/>
    <w:sig w:usb0="E00002FF" w:usb1="4000ACFF" w:usb2="00000001" w:usb3="00000000" w:csb0="2000019F" w:csb1="00000000"/>
  </w:font>
  <w:font w:name="楷体">
    <w:panose1 w:val="02010609060101010101"/>
    <w:charset w:val="86"/>
    <w:family w:val="auto"/>
    <w:pitch w:val="variable"/>
    <w:sig w:usb0="800002BF" w:usb1="38CF7CFA" w:usb2="00000016" w:usb3="00000000" w:csb0="00040001" w:csb1="00000000"/>
  </w:font>
  <w:font w:name="黑体">
    <w:panose1 w:val="02010609060101010101"/>
    <w:charset w:val="86"/>
    <w:family w:val="auto"/>
    <w:pitch w:val="variable"/>
    <w:sig w:usb0="800002BF" w:usb1="38CF7CFA" w:usb2="00000016" w:usb3="00000000" w:csb0="00040001" w:csb1="00000000"/>
  </w:font>
  <w:font w:name="Times New Roman">
    <w:panose1 w:val="02020603050405020304"/>
    <w:charset w:val="50"/>
    <w:family w:val="auto"/>
    <w:pitch w:val="variable"/>
    <w:sig w:usb0="E0002AFF" w:usb1="C0007841" w:usb2="00000009" w:usb3="00000000" w:csb0="400001FF" w:csb1="FFFF0000"/>
  </w:font>
  <w:font w:name="Arial">
    <w:panose1 w:val="020B0604020202020204"/>
    <w:charset w:val="01"/>
    <w:family w:val="swiss"/>
    <w:pitch w:val="variable"/>
    <w:sig w:usb0="E0002AFF" w:usb1="C0007843" w:usb2="00000009" w:usb3="00000000" w:csb0="400001FF" w:csb1="FFFF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drawingGridHorizontalSpacing w:val="105"/>
  <w:drawingGridVerticalSpacing w:val="156"/>
  <w:displayHorizontalDrawingGridEvery w:val="1"/>
  <w:displayVerticalDrawingGridEvery w:val="1"/>
  <w:noPunctuationKerning/>
  <w:characterSpacingControl w:val="compressPunctuation"/>
  <w:compat>
    <w:spaceForUL/>
    <w:balanceSingleByteDoubleByteWidth/>
    <w:ulTrailSpace/>
    <w:doNotExpandShiftReturn/>
    <w:adjustLineHeightInTable/>
    <w:doNotUseIndentAsNumberingTabStop/>
    <w:compatSetting w:name="compatibilityMode" w:uri="http://schemas.microsoft.com/office/word" w:val="14"/>
  </w:compat>
  <w:docVars>
    <w:docVar w:name="commondata" w:val="eyJoZGlkIjoiOTQyODQ4M2E5MTJjMmI5MWNmMzZkOTBjNmY4NWJjMzMifQ=="/>
  </w:docVars>
  <m:mathPr>
    <m:mathFont m:val="Cambria Math"/>
    <m:brkBin m:val="before"/>
    <m:brkBinSub m:val="--"/>
    <m:smallFrac m:val="0"/>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Normal (Web)"/>
    <w:qFormat/>
    <w:basedOn w:val="0"/>
    <w:pPr>
      <w:spacing w:before="0" w:beforeAutospacing="1" w:after="0" w:afterAutospacing="1"/>
      <w:ind w:left="0" w:right="0"/>
      <w:jc w:val="left"/>
    </w:pPr>
    <w:rPr>
      <w:kern w:val="0"/>
      <w:sz w:val="24"/>
      <w:lang w:val="en-US" w:eastAsia="zh-CN"/>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styles.xml" Type="http://schemas.openxmlformats.org/officeDocument/2006/relationships/styles"/><Relationship Id="rId3" Target="fontTable.xml" Type="http://schemas.openxmlformats.org/officeDocument/2006/relationships/fontTable"/><Relationship Id="rId4" Target="../customXml/item1.xml" Type="http://schemas.openxmlformats.org/officeDocument/2006/relationships/customXml"/><Relationship Id="rId5" Target="theme/theme1.xml" Type="http://schemas.openxmlformats.org/officeDocument/2006/relationships/theme"/></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0CE3118-1E55-4B47-9A54-C9E4B641433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3831</TotalTime>
  <Application>WPS_Yozo_Office9.0.5727.102ZH.HE32</Application>
  <Pages>3</Pages>
  <Words>0</Words>
  <Characters>1792</Characters>
  <Lines>0</Lines>
  <Paragraphs>30</Paragraphs>
  <CharactersWithSpaces>2390</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13578</cp:lastModifiedBy>
  <cp:lastPrinted>2025-01-15T06:51:31Z</cp:lastPrinted>
  <dcterms:modified xsi:type="dcterms:W3CDTF">2025-01-20T07:27:47Z</dcterms:modified>
  <cp:revision>21</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2052-11.8.2.11500</vt:lpwstr>
  </property>
  <property fmtid="{D5CDD505-2E9C-101B-9397-08002B2CF9AE}" pid="3" name="ICV">
    <vt:lpwstr>1157CE926B71424ABCEDD46E97C11597</vt:lpwstr>
  </property>
</Properties>
</file>