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宁晋县</w:t>
      </w:r>
      <w:r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行政审批局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政府信息公开工作年度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</w:rPr>
      </w:pPr>
      <w:r>
        <w:rPr>
          <w:rFonts w:ascii="黑体" w:eastAsia="黑体" w:cs="黑体" w:hAnsi="黑体" w:hint="eastAsia"/>
          <w:b w:val="0"/>
          <w:bCs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报告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right="0" w:firstLineChars="200" w:firstLine="640"/>
        <w:jc w:val="both"/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行政审批局以习近平新时代中国特色社会主义思想为指导，多措并举积极打造阳光、公正、透明、高效的政务公开平台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。根据《中华人民共和国政府信息公开条例》等规定，发布本年度报告，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本年报中所列数据的统计期限为202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年1月1日至12月31日。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2024年以来，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行政审批局严格落实《中华人民共和国政府信息公开条例》和全县政务公开工作要点精神，以公开促公正、以公开促服务，认真做好主动公开、依申请公开、政策解读、政府网站等政务公开工作。现报告如下：</w:t>
      </w:r>
    </w:p>
    <w:p>
      <w:pPr>
        <w:ind w:firstLineChars="200" w:firstLine="640"/>
        <w:rPr>
          <w:rFonts w:ascii="楷体" w:eastAsia="楷体" w:cs="楷体" w:hAnsi="楷体" w:hint="eastAsia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楷体" w:eastAsia="楷体" w:cs="楷体" w:hAnsi="楷体" w:hint="eastAsia"/>
          <w:b w:val="0"/>
          <w:bCs/>
          <w:color w:val="333333"/>
          <w:kern w:val="0"/>
          <w:sz w:val="32"/>
          <w:szCs w:val="32"/>
          <w:shd w:val="clear" w:color="auto" w:fill="FFFFFF"/>
        </w:rPr>
        <w:t>（一）、主动公开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1、机构职能：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将部门的主要职责、机构设置、办公时间地址、联系方式等在政府网站主动公开；所有工作人员的姓名、职务、工作职责、照片、在岗情况及联系方式等基本信息，通过胸卡和桌牌予以公开。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2、公告公示：发布公告公示类信息25条，包括食品经营许可证、小作坊登记证等注销；项目承诺制管理公示等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3、工作部署——部门动态：发布高效办成一件事政策图解信息14条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4、行政许可——行政许可公示：发布行政许可信息6批次。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5、行政执法公示——事前公开（县直部门）：公开行政审批局行政执法人员信息</w:t>
      </w:r>
    </w:p>
    <w:p>
      <w:pPr>
        <w:ind w:firstLineChars="200" w:firstLine="640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>6、预算/决算——预算信息：公开行政审批局2024年单位预算信息</w:t>
      </w:r>
    </w:p>
    <w:p>
      <w:pP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——决算信息：公开行政审批局2023年度部门决算报告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420"/>
        <w:jc w:val="both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楷体" w:eastAsia="楷体" w:cs="楷体" w:hAnsi="楷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（二）依申请公开。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年行政审批局未收到政府信息公开申请。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420"/>
        <w:jc w:val="both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楷体" w:eastAsia="楷体" w:cs="楷体" w:hAnsi="楷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（三）政府信息管理。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河北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政务服务网、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政务大厅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电子显示屏上公开事项办理过程、进度和结果，及时公开工程招标、政府采购、土地流转、产权交易信息；在信用邢台发布“双公示”信息，在市场主体信用信息公示网发布市场主体信息；通过省投资项目在线审批监管平台，公示政府或企业投资项目的投资信息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420"/>
        <w:jc w:val="both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楷体" w:eastAsia="楷体" w:cs="楷体" w:hAnsi="楷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（四）政府信息公开平台建设。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通过强化组织领导、明确政务公开专职人员、保障工作经费，加强政务公开工作。</w:t>
      </w:r>
      <w:r>
        <w:rPr>
          <w:rFonts w:ascii="仿宋_GB2312" w:eastAsia="仿宋_GB2312" w:cs="仿宋_GB2312" w:hAnsi="仿宋_GB2312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标准化。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建设政务公开专区，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集中提供政策法规文件、政策解读、政府公报等纸质文档。设立现场咨询服务人员，负责政府信息公开现场申请、“在线申请”、办事咨询等服务指引。</w:t>
      </w:r>
      <w:r>
        <w:rPr>
          <w:rFonts w:ascii="仿宋_GB2312" w:eastAsia="仿宋_GB2312" w:cs="仿宋_GB2312" w:hAnsi="仿宋_GB2312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自助化。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线上依托政务服务网，提供服务指南、在线办理、进度查询、结果公示、监督评价等服务。线下配置政务服务一体机、自助电脑、打印机、触摸查询屏，积极拓展公开渠道，免费提供信息查询、打印复印等服务。</w:t>
      </w:r>
      <w:r>
        <w:rPr>
          <w:rFonts w:ascii="仿宋_GB2312" w:eastAsia="仿宋_GB2312" w:cs="仿宋_GB2312" w:hAnsi="仿宋_GB2312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便民化。</w:t>
      </w:r>
      <w:r>
        <w:rPr>
          <w:rFonts w:ascii="仿宋_GB2312" w:eastAsia="仿宋_GB2312" w:cs="仿宋_GB2312" w:hAnsi="仿宋_GB2312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配置了爱心专座、桌椅等，提供雨伞、便民饮水等服务，为初次体验政务公开以及特殊困难的群众提供针对性帮助，做到“一次体验、一次办好”。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420"/>
        <w:jc w:val="both"/>
        <w:rPr>
          <w:rFonts w:ascii="宋体" w:cs="宋体" w:hAnsi="宋体" w:hint="eastAsia"/>
          <w:color w:val="333333"/>
          <w:shd w:val="clear" w:color="auto" w:fill="FFFFFF"/>
        </w:rPr>
      </w:pPr>
      <w:r>
        <w:rPr>
          <w:rFonts w:ascii="楷体" w:eastAsia="楷体" w:cs="楷体" w:hAnsi="楷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（五）监督保障。</w:t>
      </w: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投诉渠道公开：通过办事指南、人员桌牌、政务服务网、设立投诉意见箱等方式，将投诉电话和投诉电子邮箱予以公布，接受办事群众监督和咨询。同时现场咨询服务人员负责提供政府信息公开现场申请、“在线申请”等服务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35"/>
        <w:gridCol w:w="2435"/>
        <w:gridCol w:w="2435"/>
        <w:gridCol w:w="2435"/>
      </w:tblGrid>
      <w:tr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25926</w:t>
            </w:r>
            <w:bookmarkStart w:id="0" w:name="_GoBack"/>
            <w:bookmarkEnd w:id="0"/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54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eastAsia="楷体" w:cs="楷体" w:hAnsi="楷体" w:hint="eastAsia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ascii="楷体" w:eastAsia="楷体" w:cs="楷体" w:hAnsi="楷体" w:hint="eastAsia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rPr>
          <w:trHeight w:val="779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trHeight w:val="67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eastAsia="黑体" w:cs="黑体" w:hAnsi="宋体" w:hint="eastAsia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黑体" w:eastAsia="黑体" w:cs="黑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/>
          <w:bCs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，行政审批局按时保质保量完成政务公开任务，但距上级的要求和企业群众的期待还有一定差距。主要表现为政务公开专区建设仍需完善，公开的内容不够全面，主动扩大公开的意识还需提高。下一步，我们将认真学习贯彻《中华人民共和国政府信息公开条例》和市、县政务公开的要求部署，确保完整、及时、准确地向社会公开政府信息。严格按制度办事，不断提高政务公开质量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黑体" w:eastAsia="黑体" w:cs="黑体" w:hAnsi="黑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2024年，宁晋县行政审批局没有收取信息处理费，无其他需要报告事项。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imes New Roman">
    <w:panose1 w:val="02020603050405020304"/>
    <w:charset w:val="5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TQyODQ4M2E5MTJjMmI5MWNmMzZkOTBjNmY4NWJjMz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B60538DC-F1C1-47B2-9A46-3C2D1E4E61D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195</TotalTime>
  <Application>WPS_Yozo_Office9.0.5727.102ZH.HE32</Application>
  <Pages>5</Pages>
  <Words>0</Words>
  <Characters>2130</Characters>
  <Lines>0</Lines>
  <Paragraphs>36</Paragraphs>
  <CharactersWithSpaces>2841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76408</cp:lastModifiedBy>
  <cp:revision>6</cp:revision>
  <cp:lastPrinted>2025-01-21T06:08:00Z</cp:lastPrinted>
  <dcterms:created xsi:type="dcterms:W3CDTF">2022-01-06T07:29:00Z</dcterms:created>
  <dcterms:modified xsi:type="dcterms:W3CDTF">2025-01-24T02:26:59Z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1157CE926B71424ABCEDD46E97C11597</vt:lpwstr>
  </property>
  <property fmtid="{D5CDD505-2E9C-101B-9397-08002B2CF9AE}" pid="4" name="KSOTemplateDocerSaveRecord">
    <vt:lpwstr>eyJoZGlkIjoiNTQ0MmNhYjQ1ODY0NDExNjExOGNiOWI1NjE0NTc2NmUiLCJ1c2VySWQiOiIzNzQxNjg4NDAifQ==</vt:lpwstr>
  </property>
</Properties>
</file>