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F008536">
      <w:pPr>
        <w:widowControl/>
        <w:spacing w:line="480" w:lineRule="exact"/>
        <w:jc w:val="left"/>
        <w:rPr>
          <w:rFonts w:ascii="仿宋" w:hAnsi="仿宋" w:eastAsia="仿宋" w:cs="仿宋"/>
          <w:kern w:val="0"/>
          <w:sz w:val="32"/>
          <w:szCs w:val="32"/>
          <w:shd w:val="clear" w:color="auto" w:fill="FFFFFF"/>
        </w:rPr>
      </w:pPr>
      <w:r>
        <w:rPr>
          <w:rFonts w:hint="eastAsia" w:ascii="仿宋" w:hAnsi="仿宋" w:eastAsia="仿宋" w:cs="仿宋"/>
          <w:kern w:val="0"/>
          <w:sz w:val="32"/>
          <w:szCs w:val="32"/>
          <w:shd w:val="clear" w:color="auto" w:fill="FFFFFF"/>
        </w:rPr>
        <w:t>附件4：</w:t>
      </w:r>
    </w:p>
    <w:p w14:paraId="2DDF7EF5">
      <w:pPr>
        <w:spacing w:line="480" w:lineRule="exact"/>
        <w:jc w:val="center"/>
        <w:rPr>
          <w:rFonts w:ascii="仿宋" w:hAnsi="仿宋" w:eastAsia="仿宋" w:cs="仿宋"/>
          <w:sz w:val="32"/>
          <w:szCs w:val="32"/>
        </w:rPr>
      </w:pPr>
      <w:r>
        <w:rPr>
          <w:rFonts w:hint="eastAsia" w:ascii="宋体" w:hAnsi="宋体"/>
          <w:b/>
          <w:sz w:val="44"/>
          <w:szCs w:val="44"/>
        </w:rPr>
        <w:t>部门整体支出绩效评价</w:t>
      </w:r>
      <w:r>
        <w:rPr>
          <w:rFonts w:hint="eastAsia" w:ascii="宋体" w:hAnsi="宋体" w:eastAsia="宋体" w:cs="宋体"/>
          <w:b/>
          <w:color w:val="000000"/>
          <w:kern w:val="0"/>
          <w:sz w:val="44"/>
          <w:szCs w:val="44"/>
          <w:shd w:val="clear" w:color="auto" w:fill="FFFFFF"/>
        </w:rPr>
        <w:t>指标体系评分表</w:t>
      </w:r>
    </w:p>
    <w:tbl>
      <w:tblPr>
        <w:tblStyle w:val="10"/>
        <w:tblW w:w="937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79"/>
        <w:gridCol w:w="743"/>
        <w:gridCol w:w="1275"/>
        <w:gridCol w:w="3436"/>
        <w:gridCol w:w="2373"/>
        <w:gridCol w:w="764"/>
      </w:tblGrid>
      <w:tr w14:paraId="5ECDF4E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9"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14:paraId="3E86CB57">
            <w:pPr>
              <w:widowControl/>
              <w:spacing w:line="240" w:lineRule="exact"/>
              <w:jc w:val="center"/>
              <w:rPr>
                <w:b/>
              </w:rPr>
            </w:pPr>
            <w:r>
              <w:rPr>
                <w:rFonts w:ascii="仿宋_GB2312" w:hAnsi="新宋体" w:eastAsia="仿宋_GB2312" w:cs="仿宋_GB2312"/>
                <w:b/>
                <w:kern w:val="0"/>
                <w:sz w:val="24"/>
                <w:szCs w:val="24"/>
              </w:rPr>
              <w:t>一级指标</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544A5751">
            <w:pPr>
              <w:widowControl/>
              <w:spacing w:line="240" w:lineRule="exact"/>
              <w:jc w:val="center"/>
              <w:rPr>
                <w:b/>
              </w:rPr>
            </w:pPr>
            <w:r>
              <w:rPr>
                <w:rFonts w:ascii="仿宋_GB2312" w:hAnsi="新宋体" w:eastAsia="仿宋_GB2312" w:cs="仿宋_GB2312"/>
                <w:b/>
                <w:kern w:val="0"/>
                <w:sz w:val="24"/>
                <w:szCs w:val="24"/>
              </w:rPr>
              <w:t>二级指标</w:t>
            </w:r>
          </w:p>
        </w:tc>
        <w:tc>
          <w:tcPr>
            <w:tcW w:w="4711" w:type="dxa"/>
            <w:gridSpan w:val="2"/>
            <w:tcBorders>
              <w:top w:val="single" w:color="000000" w:sz="4" w:space="0"/>
              <w:left w:val="single" w:color="000000" w:sz="4" w:space="0"/>
              <w:bottom w:val="single" w:color="000000" w:sz="4" w:space="0"/>
              <w:right w:val="single" w:color="auto" w:sz="4" w:space="0"/>
            </w:tcBorders>
            <w:vAlign w:val="center"/>
          </w:tcPr>
          <w:p w14:paraId="1888B617">
            <w:pPr>
              <w:widowControl/>
              <w:spacing w:line="240" w:lineRule="exact"/>
              <w:jc w:val="center"/>
              <w:rPr>
                <w:b/>
              </w:rPr>
            </w:pPr>
            <w:r>
              <w:rPr>
                <w:rFonts w:ascii="仿宋_GB2312" w:hAnsi="新宋体" w:eastAsia="仿宋_GB2312" w:cs="仿宋_GB2312"/>
                <w:b/>
                <w:kern w:val="0"/>
                <w:sz w:val="24"/>
                <w:szCs w:val="24"/>
              </w:rPr>
              <w:t>三级指标</w:t>
            </w:r>
          </w:p>
        </w:tc>
        <w:tc>
          <w:tcPr>
            <w:tcW w:w="2373" w:type="dxa"/>
            <w:vMerge w:val="restart"/>
            <w:tcBorders>
              <w:top w:val="single" w:color="000000" w:sz="4" w:space="0"/>
              <w:left w:val="single" w:color="auto" w:sz="4" w:space="0"/>
              <w:bottom w:val="single" w:color="000000" w:sz="4" w:space="0"/>
              <w:right w:val="single" w:color="auto" w:sz="4" w:space="0"/>
            </w:tcBorders>
            <w:vAlign w:val="center"/>
          </w:tcPr>
          <w:p w14:paraId="25A7A499">
            <w:pPr>
              <w:widowControl/>
              <w:spacing w:line="240" w:lineRule="exact"/>
              <w:jc w:val="center"/>
              <w:rPr>
                <w:b/>
              </w:rPr>
            </w:pPr>
            <w:r>
              <w:rPr>
                <w:rFonts w:ascii="仿宋_GB2312" w:hAnsi="新宋体" w:eastAsia="仿宋_GB2312" w:cs="仿宋_GB2312"/>
                <w:b/>
                <w:kern w:val="0"/>
                <w:sz w:val="24"/>
                <w:szCs w:val="24"/>
              </w:rPr>
              <w:t>评分标准</w:t>
            </w:r>
          </w:p>
        </w:tc>
        <w:tc>
          <w:tcPr>
            <w:tcW w:w="764" w:type="dxa"/>
            <w:vMerge w:val="restart"/>
            <w:tcBorders>
              <w:top w:val="single" w:color="000000" w:sz="4" w:space="0"/>
              <w:left w:val="single" w:color="auto" w:sz="4" w:space="0"/>
              <w:bottom w:val="single" w:color="000000" w:sz="4" w:space="0"/>
              <w:right w:val="single" w:color="auto" w:sz="4" w:space="0"/>
            </w:tcBorders>
            <w:vAlign w:val="center"/>
          </w:tcPr>
          <w:p w14:paraId="6BFA08B0">
            <w:pPr>
              <w:widowControl/>
              <w:spacing w:line="240" w:lineRule="exact"/>
              <w:jc w:val="left"/>
              <w:rPr>
                <w:b/>
              </w:rPr>
            </w:pPr>
            <w:r>
              <w:rPr>
                <w:rFonts w:ascii="仿宋_GB2312" w:hAnsi="新宋体" w:eastAsia="仿宋_GB2312" w:cs="仿宋_GB2312"/>
                <w:b/>
                <w:kern w:val="0"/>
                <w:sz w:val="24"/>
                <w:szCs w:val="24"/>
              </w:rPr>
              <w:t>得分</w:t>
            </w:r>
          </w:p>
        </w:tc>
      </w:tr>
      <w:tr w14:paraId="3CD1CD8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3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36BB41B3">
            <w:pPr>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1AE0F81B">
            <w:pPr>
              <w:rPr>
                <w:rFonts w:ascii="宋体"/>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62ED4059">
            <w:pPr>
              <w:widowControl/>
              <w:spacing w:line="240" w:lineRule="exact"/>
              <w:jc w:val="center"/>
              <w:rPr>
                <w:b/>
              </w:rPr>
            </w:pPr>
            <w:r>
              <w:rPr>
                <w:rFonts w:ascii="仿宋_GB2312" w:hAnsi="新宋体" w:eastAsia="仿宋_GB2312" w:cs="仿宋_GB2312"/>
                <w:b/>
                <w:kern w:val="0"/>
                <w:sz w:val="24"/>
                <w:szCs w:val="24"/>
              </w:rPr>
              <w:t>指标名称</w:t>
            </w:r>
          </w:p>
        </w:tc>
        <w:tc>
          <w:tcPr>
            <w:tcW w:w="3436" w:type="dxa"/>
            <w:tcBorders>
              <w:top w:val="single" w:color="000000" w:sz="4" w:space="0"/>
              <w:left w:val="single" w:color="auto" w:sz="4" w:space="0"/>
              <w:bottom w:val="single" w:color="000000" w:sz="4" w:space="0"/>
              <w:right w:val="single" w:color="auto" w:sz="4" w:space="0"/>
            </w:tcBorders>
            <w:vAlign w:val="center"/>
          </w:tcPr>
          <w:p w14:paraId="4042B4AD">
            <w:pPr>
              <w:widowControl/>
              <w:spacing w:line="240" w:lineRule="exact"/>
              <w:jc w:val="center"/>
              <w:rPr>
                <w:b/>
              </w:rPr>
            </w:pPr>
            <w:r>
              <w:rPr>
                <w:rFonts w:ascii="仿宋_GB2312" w:hAnsi="新宋体" w:eastAsia="仿宋_GB2312" w:cs="仿宋_GB2312"/>
                <w:b/>
                <w:kern w:val="0"/>
                <w:sz w:val="24"/>
                <w:szCs w:val="24"/>
              </w:rPr>
              <w:t>指标解释说明</w:t>
            </w:r>
          </w:p>
        </w:tc>
        <w:tc>
          <w:tcPr>
            <w:tcW w:w="2373" w:type="dxa"/>
            <w:vMerge w:val="continue"/>
            <w:tcBorders>
              <w:top w:val="single" w:color="000000" w:sz="4" w:space="0"/>
              <w:left w:val="single" w:color="auto" w:sz="4" w:space="0"/>
              <w:bottom w:val="single" w:color="000000" w:sz="4" w:space="0"/>
              <w:right w:val="single" w:color="auto" w:sz="4" w:space="0"/>
            </w:tcBorders>
            <w:vAlign w:val="center"/>
          </w:tcPr>
          <w:p w14:paraId="4F1506C9">
            <w:pPr>
              <w:rPr>
                <w:rFonts w:ascii="宋体"/>
                <w:szCs w:val="21"/>
              </w:rPr>
            </w:pPr>
          </w:p>
        </w:tc>
        <w:tc>
          <w:tcPr>
            <w:tcW w:w="764" w:type="dxa"/>
            <w:vMerge w:val="continue"/>
            <w:tcBorders>
              <w:top w:val="single" w:color="000000" w:sz="4" w:space="0"/>
              <w:left w:val="single" w:color="auto" w:sz="4" w:space="0"/>
              <w:bottom w:val="single" w:color="000000" w:sz="4" w:space="0"/>
              <w:right w:val="single" w:color="auto" w:sz="4" w:space="0"/>
            </w:tcBorders>
            <w:vAlign w:val="center"/>
          </w:tcPr>
          <w:p w14:paraId="3C699253">
            <w:pPr>
              <w:rPr>
                <w:rFonts w:ascii="宋体"/>
                <w:szCs w:val="21"/>
              </w:rPr>
            </w:pPr>
          </w:p>
        </w:tc>
      </w:tr>
      <w:tr w14:paraId="0F5F3A4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14:paraId="563F4B59">
            <w:pPr>
              <w:widowControl/>
              <w:spacing w:line="240" w:lineRule="exact"/>
              <w:jc w:val="left"/>
              <w:rPr>
                <w:szCs w:val="21"/>
              </w:rPr>
            </w:pPr>
            <w:r>
              <w:rPr>
                <w:rFonts w:ascii="仿宋_GB2312" w:hAnsi="新宋体" w:eastAsia="仿宋_GB2312" w:cs="仿宋_GB2312"/>
                <w:kern w:val="0"/>
                <w:szCs w:val="21"/>
              </w:rPr>
              <w:t>投入（1</w:t>
            </w:r>
            <w:r>
              <w:rPr>
                <w:rFonts w:hint="eastAsia" w:ascii="仿宋_GB2312" w:hAnsi="新宋体" w:eastAsia="仿宋_GB2312" w:cs="仿宋_GB2312"/>
                <w:kern w:val="0"/>
                <w:szCs w:val="21"/>
              </w:rPr>
              <w:t>0</w:t>
            </w:r>
            <w:r>
              <w:rPr>
                <w:rFonts w:ascii="仿宋_GB2312" w:hAnsi="新宋体" w:eastAsia="仿宋_GB2312" w:cs="仿宋_GB2312"/>
                <w:kern w:val="0"/>
                <w:szCs w:val="21"/>
              </w:rPr>
              <w:t>）</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05D3F8C1">
            <w:pPr>
              <w:widowControl/>
              <w:spacing w:line="240" w:lineRule="exact"/>
              <w:jc w:val="left"/>
              <w:rPr>
                <w:szCs w:val="21"/>
              </w:rPr>
            </w:pPr>
            <w:r>
              <w:rPr>
                <w:rFonts w:hint="eastAsia" w:ascii="仿宋_GB2312" w:hAnsi="新宋体" w:eastAsia="仿宋_GB2312" w:cs="仿宋_GB2312"/>
                <w:kern w:val="0"/>
                <w:szCs w:val="21"/>
              </w:rPr>
              <w:t>绩效</w:t>
            </w:r>
            <w:r>
              <w:rPr>
                <w:rFonts w:ascii="仿宋_GB2312" w:hAnsi="新宋体" w:eastAsia="仿宋_GB2312" w:cs="仿宋_GB2312"/>
                <w:kern w:val="0"/>
                <w:szCs w:val="21"/>
              </w:rPr>
              <w:t>目标设定</w:t>
            </w:r>
            <w:r>
              <w:rPr>
                <w:rFonts w:hint="eastAsia" w:ascii="仿宋_GB2312" w:hAnsi="新宋体" w:eastAsia="仿宋_GB2312" w:cs="仿宋_GB2312"/>
                <w:kern w:val="0"/>
                <w:szCs w:val="21"/>
              </w:rPr>
              <w:t>情况</w:t>
            </w:r>
          </w:p>
          <w:p w14:paraId="18DEC543">
            <w:pPr>
              <w:widowControl/>
              <w:spacing w:line="240" w:lineRule="exact"/>
              <w:jc w:val="left"/>
              <w:rPr>
                <w:color w:val="FF0000"/>
                <w:szCs w:val="21"/>
              </w:rPr>
            </w:pPr>
            <w:r>
              <w:rPr>
                <w:rFonts w:ascii="仿宋_GB2312" w:hAnsi="新宋体" w:eastAsia="仿宋_GB2312" w:cs="仿宋_GB2312"/>
                <w:kern w:val="0"/>
                <w:szCs w:val="21"/>
              </w:rPr>
              <w:t>（5</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1275" w:type="dxa"/>
            <w:tcBorders>
              <w:top w:val="single" w:color="000000" w:sz="4" w:space="0"/>
              <w:left w:val="single" w:color="000000" w:sz="4" w:space="0"/>
              <w:bottom w:val="single" w:color="auto" w:sz="4" w:space="0"/>
              <w:right w:val="single" w:color="auto" w:sz="4" w:space="0"/>
            </w:tcBorders>
            <w:vAlign w:val="center"/>
          </w:tcPr>
          <w:p w14:paraId="25F0602D">
            <w:pPr>
              <w:widowControl/>
              <w:spacing w:line="240" w:lineRule="exact"/>
              <w:jc w:val="left"/>
              <w:rPr>
                <w:szCs w:val="21"/>
              </w:rPr>
            </w:pPr>
            <w:r>
              <w:rPr>
                <w:rFonts w:ascii="仿宋_GB2312" w:hAnsi="新宋体" w:eastAsia="仿宋_GB2312" w:cs="仿宋_GB2312"/>
                <w:kern w:val="0"/>
                <w:szCs w:val="21"/>
              </w:rPr>
              <w:t>职责明确（1</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436" w:type="dxa"/>
            <w:tcBorders>
              <w:top w:val="single" w:color="000000" w:sz="4" w:space="0"/>
              <w:left w:val="single" w:color="auto" w:sz="4" w:space="0"/>
              <w:bottom w:val="single" w:color="auto" w:sz="4" w:space="0"/>
              <w:right w:val="single" w:color="auto" w:sz="4" w:space="0"/>
            </w:tcBorders>
            <w:vAlign w:val="center"/>
          </w:tcPr>
          <w:p w14:paraId="7B404AB0">
            <w:pPr>
              <w:widowControl/>
              <w:spacing w:line="240" w:lineRule="exact"/>
              <w:jc w:val="left"/>
              <w:rPr>
                <w:szCs w:val="21"/>
              </w:rPr>
            </w:pPr>
            <w:r>
              <w:rPr>
                <w:rFonts w:ascii="仿宋_GB2312" w:hAnsi="新宋体" w:eastAsia="仿宋_GB2312" w:cs="仿宋_GB2312"/>
                <w:kern w:val="0"/>
                <w:szCs w:val="21"/>
              </w:rPr>
              <w:t>部门的职责设定是否符合“三定”方案中所赋予的职责，用以反映和评价部门工作的目的性与计划性。</w:t>
            </w:r>
          </w:p>
        </w:tc>
        <w:tc>
          <w:tcPr>
            <w:tcW w:w="2373" w:type="dxa"/>
            <w:tcBorders>
              <w:top w:val="single" w:color="000000" w:sz="4" w:space="0"/>
              <w:left w:val="single" w:color="auto" w:sz="4" w:space="0"/>
              <w:bottom w:val="single" w:color="auto" w:sz="4" w:space="0"/>
              <w:right w:val="single" w:color="auto" w:sz="4" w:space="0"/>
            </w:tcBorders>
            <w:vAlign w:val="center"/>
          </w:tcPr>
          <w:p w14:paraId="3BDE69FE">
            <w:pPr>
              <w:widowControl/>
              <w:spacing w:line="240" w:lineRule="exact"/>
              <w:jc w:val="left"/>
              <w:rPr>
                <w:szCs w:val="21"/>
              </w:rPr>
            </w:pPr>
            <w:r>
              <w:rPr>
                <w:rFonts w:ascii="仿宋_GB2312" w:hAnsi="新宋体" w:eastAsia="仿宋_GB2312" w:cs="仿宋_GB2312"/>
                <w:kern w:val="0"/>
                <w:szCs w:val="21"/>
              </w:rPr>
              <w:t>符合（1）；</w:t>
            </w:r>
          </w:p>
          <w:p w14:paraId="72EA551E">
            <w:pPr>
              <w:widowControl/>
              <w:spacing w:line="240" w:lineRule="exact"/>
              <w:jc w:val="left"/>
              <w:rPr>
                <w:szCs w:val="21"/>
              </w:rPr>
            </w:pPr>
            <w:r>
              <w:rPr>
                <w:rFonts w:ascii="仿宋_GB2312" w:hAnsi="新宋体" w:eastAsia="仿宋_GB2312" w:cs="仿宋_GB2312"/>
                <w:kern w:val="0"/>
                <w:szCs w:val="21"/>
              </w:rPr>
              <w:t>不符合（0）。</w:t>
            </w:r>
          </w:p>
        </w:tc>
        <w:tc>
          <w:tcPr>
            <w:tcW w:w="764" w:type="dxa"/>
            <w:tcBorders>
              <w:top w:val="single" w:color="000000" w:sz="4" w:space="0"/>
              <w:left w:val="single" w:color="auto" w:sz="4" w:space="0"/>
              <w:bottom w:val="single" w:color="auto" w:sz="4" w:space="0"/>
              <w:right w:val="single" w:color="000000" w:sz="4" w:space="0"/>
            </w:tcBorders>
            <w:vAlign w:val="center"/>
          </w:tcPr>
          <w:p w14:paraId="21B65DE6">
            <w:pPr>
              <w:widowControl/>
              <w:spacing w:line="240" w:lineRule="exact"/>
              <w:jc w:val="left"/>
              <w:rPr>
                <w:szCs w:val="21"/>
              </w:rPr>
            </w:pPr>
            <w:r>
              <w:rPr>
                <w:rFonts w:hint="eastAsia"/>
                <w:szCs w:val="21"/>
              </w:rPr>
              <w:t>1</w:t>
            </w:r>
          </w:p>
        </w:tc>
      </w:tr>
      <w:tr w14:paraId="21E77BB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3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2EB4AAC1">
            <w:pPr>
              <w:spacing w:line="240" w:lineRule="exact"/>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3814AE91">
            <w:pPr>
              <w:spacing w:line="240" w:lineRule="exact"/>
              <w:rPr>
                <w:rFonts w:ascii="宋体"/>
                <w:szCs w:val="21"/>
              </w:rPr>
            </w:pPr>
          </w:p>
        </w:tc>
        <w:tc>
          <w:tcPr>
            <w:tcW w:w="1275" w:type="dxa"/>
            <w:tcBorders>
              <w:top w:val="single" w:color="000000" w:sz="4" w:space="0"/>
              <w:left w:val="single" w:color="000000" w:sz="4" w:space="0"/>
              <w:bottom w:val="single" w:color="auto" w:sz="4" w:space="0"/>
              <w:right w:val="single" w:color="auto" w:sz="4" w:space="0"/>
            </w:tcBorders>
            <w:vAlign w:val="center"/>
          </w:tcPr>
          <w:p w14:paraId="7701BE83">
            <w:pPr>
              <w:widowControl/>
              <w:spacing w:line="240" w:lineRule="exact"/>
              <w:jc w:val="left"/>
              <w:rPr>
                <w:szCs w:val="21"/>
              </w:rPr>
            </w:pPr>
            <w:r>
              <w:rPr>
                <w:rFonts w:ascii="仿宋_GB2312" w:hAnsi="新宋体" w:eastAsia="仿宋_GB2312" w:cs="仿宋_GB2312"/>
                <w:kern w:val="0"/>
                <w:szCs w:val="21"/>
              </w:rPr>
              <w:t>活动合规性（2</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436" w:type="dxa"/>
            <w:tcBorders>
              <w:top w:val="single" w:color="000000" w:sz="4" w:space="0"/>
              <w:left w:val="single" w:color="auto" w:sz="4" w:space="0"/>
              <w:bottom w:val="single" w:color="auto" w:sz="4" w:space="0"/>
              <w:right w:val="single" w:color="auto" w:sz="4" w:space="0"/>
            </w:tcBorders>
            <w:vAlign w:val="center"/>
          </w:tcPr>
          <w:p w14:paraId="097E1019">
            <w:pPr>
              <w:widowControl/>
              <w:spacing w:line="240" w:lineRule="exact"/>
              <w:jc w:val="left"/>
              <w:rPr>
                <w:szCs w:val="21"/>
              </w:rPr>
            </w:pPr>
            <w:r>
              <w:rPr>
                <w:rFonts w:ascii="仿宋_GB2312" w:hAnsi="新宋体" w:eastAsia="仿宋_GB2312" w:cs="仿宋_GB2312"/>
                <w:kern w:val="0"/>
                <w:szCs w:val="21"/>
              </w:rPr>
              <w:t>部门的活动是否在职责范围之内并符合部门中长期规划，用以反映和评价部门活动目标与部门履职、年度工作任务的相符性情况。</w:t>
            </w:r>
          </w:p>
          <w:p w14:paraId="43AAE32F">
            <w:pPr>
              <w:widowControl/>
              <w:spacing w:line="240" w:lineRule="exact"/>
              <w:jc w:val="left"/>
              <w:rPr>
                <w:szCs w:val="21"/>
              </w:rPr>
            </w:pPr>
            <w:r>
              <w:rPr>
                <w:rFonts w:ascii="仿宋_GB2312" w:hAnsi="新宋体" w:eastAsia="仿宋_GB2312" w:cs="仿宋_GB2312"/>
                <w:kern w:val="0"/>
                <w:szCs w:val="21"/>
              </w:rPr>
              <w:t>评价要点：</w:t>
            </w:r>
          </w:p>
          <w:p w14:paraId="2A10CEA9">
            <w:pPr>
              <w:widowControl/>
              <w:spacing w:line="240" w:lineRule="exact"/>
              <w:jc w:val="left"/>
              <w:rPr>
                <w:szCs w:val="21"/>
              </w:rPr>
            </w:pPr>
            <w:r>
              <w:rPr>
                <w:rFonts w:ascii="仿宋_GB2312" w:hAnsi="新宋体" w:eastAsia="仿宋_GB2312" w:cs="仿宋_GB2312"/>
                <w:kern w:val="0"/>
                <w:szCs w:val="21"/>
              </w:rPr>
              <w:t>1.部门活动的设定在部门所确定的职责范围之内；</w:t>
            </w:r>
          </w:p>
          <w:p w14:paraId="416D5C1D">
            <w:pPr>
              <w:widowControl/>
              <w:spacing w:line="240" w:lineRule="exact"/>
              <w:jc w:val="left"/>
              <w:rPr>
                <w:szCs w:val="21"/>
              </w:rPr>
            </w:pPr>
            <w:r>
              <w:rPr>
                <w:rFonts w:ascii="仿宋_GB2312" w:hAnsi="新宋体" w:eastAsia="仿宋_GB2312" w:cs="仿宋_GB2312"/>
                <w:kern w:val="0"/>
                <w:szCs w:val="21"/>
              </w:rPr>
              <w:t>2.部门活动符合</w:t>
            </w:r>
            <w:r>
              <w:rPr>
                <w:rFonts w:hint="eastAsia" w:ascii="仿宋_GB2312" w:hAnsi="新宋体" w:eastAsia="仿宋_GB2312" w:cs="仿宋_GB2312"/>
                <w:kern w:val="0"/>
                <w:szCs w:val="21"/>
              </w:rPr>
              <w:t>市</w:t>
            </w:r>
            <w:r>
              <w:rPr>
                <w:rFonts w:ascii="仿宋_GB2312" w:hAnsi="新宋体" w:eastAsia="仿宋_GB2312" w:cs="仿宋_GB2312"/>
                <w:kern w:val="0"/>
                <w:szCs w:val="21"/>
              </w:rPr>
              <w:t>委、</w:t>
            </w:r>
            <w:r>
              <w:rPr>
                <w:rFonts w:hint="eastAsia" w:ascii="仿宋_GB2312" w:hAnsi="新宋体" w:eastAsia="仿宋_GB2312" w:cs="仿宋_GB2312"/>
                <w:kern w:val="0"/>
                <w:szCs w:val="21"/>
              </w:rPr>
              <w:t>市</w:t>
            </w:r>
            <w:r>
              <w:rPr>
                <w:rFonts w:ascii="仿宋_GB2312" w:hAnsi="新宋体" w:eastAsia="仿宋_GB2312" w:cs="仿宋_GB2312"/>
                <w:kern w:val="0"/>
                <w:szCs w:val="21"/>
              </w:rPr>
              <w:t>政府的发展规划及本部门的年度工作安排与发展规划。</w:t>
            </w:r>
          </w:p>
        </w:tc>
        <w:tc>
          <w:tcPr>
            <w:tcW w:w="2373" w:type="dxa"/>
            <w:tcBorders>
              <w:top w:val="single" w:color="000000" w:sz="4" w:space="0"/>
              <w:left w:val="single" w:color="auto" w:sz="4" w:space="0"/>
              <w:bottom w:val="single" w:color="auto" w:sz="4" w:space="0"/>
              <w:right w:val="single" w:color="auto" w:sz="4" w:space="0"/>
            </w:tcBorders>
            <w:vAlign w:val="center"/>
          </w:tcPr>
          <w:p w14:paraId="69F58042">
            <w:pPr>
              <w:widowControl/>
              <w:spacing w:line="240" w:lineRule="exact"/>
              <w:jc w:val="left"/>
              <w:rPr>
                <w:szCs w:val="21"/>
              </w:rPr>
            </w:pPr>
            <w:r>
              <w:rPr>
                <w:rFonts w:ascii="仿宋_GB2312" w:hAnsi="新宋体" w:eastAsia="仿宋_GB2312" w:cs="仿宋_GB2312"/>
                <w:kern w:val="0"/>
                <w:szCs w:val="21"/>
              </w:rPr>
              <w:t>全部符合（</w:t>
            </w:r>
            <w:bookmarkStart w:id="0" w:name="_GoBack"/>
            <w:bookmarkEnd w:id="0"/>
            <w:r>
              <w:rPr>
                <w:rFonts w:ascii="仿宋_GB2312" w:hAnsi="新宋体" w:eastAsia="仿宋_GB2312" w:cs="仿宋_GB2312"/>
                <w:kern w:val="0"/>
                <w:szCs w:val="21"/>
              </w:rPr>
              <w:t>2）；</w:t>
            </w:r>
          </w:p>
          <w:p w14:paraId="1C85D890">
            <w:pPr>
              <w:widowControl/>
              <w:spacing w:line="240" w:lineRule="exact"/>
              <w:jc w:val="left"/>
              <w:rPr>
                <w:szCs w:val="21"/>
              </w:rPr>
            </w:pPr>
            <w:r>
              <w:rPr>
                <w:rFonts w:ascii="仿宋_GB2312" w:hAnsi="新宋体" w:eastAsia="仿宋_GB2312" w:cs="仿宋_GB2312"/>
                <w:kern w:val="0"/>
                <w:szCs w:val="21"/>
              </w:rPr>
              <w:t>其中一项不符合（0）。</w:t>
            </w:r>
          </w:p>
        </w:tc>
        <w:tc>
          <w:tcPr>
            <w:tcW w:w="764" w:type="dxa"/>
            <w:tcBorders>
              <w:top w:val="single" w:color="000000" w:sz="4" w:space="0"/>
              <w:left w:val="single" w:color="auto" w:sz="4" w:space="0"/>
              <w:bottom w:val="single" w:color="auto" w:sz="4" w:space="0"/>
              <w:right w:val="single" w:color="000000" w:sz="4" w:space="0"/>
            </w:tcBorders>
            <w:vAlign w:val="center"/>
          </w:tcPr>
          <w:p w14:paraId="0C5243A7">
            <w:pPr>
              <w:widowControl/>
              <w:spacing w:line="240" w:lineRule="exact"/>
              <w:jc w:val="left"/>
              <w:rPr>
                <w:szCs w:val="21"/>
              </w:rPr>
            </w:pPr>
            <w:r>
              <w:rPr>
                <w:rFonts w:hint="eastAsia"/>
                <w:szCs w:val="21"/>
              </w:rPr>
              <w:t>2</w:t>
            </w:r>
          </w:p>
        </w:tc>
      </w:tr>
      <w:tr w14:paraId="3CDD3E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135D322B">
            <w:pPr>
              <w:spacing w:line="240" w:lineRule="exact"/>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2736F3A4">
            <w:pPr>
              <w:spacing w:line="240" w:lineRule="exact"/>
              <w:rPr>
                <w:rFonts w:ascii="宋体"/>
                <w:szCs w:val="21"/>
              </w:rPr>
            </w:pPr>
          </w:p>
        </w:tc>
        <w:tc>
          <w:tcPr>
            <w:tcW w:w="1275" w:type="dxa"/>
            <w:tcBorders>
              <w:top w:val="single" w:color="000000" w:sz="4" w:space="0"/>
              <w:left w:val="single" w:color="000000" w:sz="4" w:space="0"/>
              <w:bottom w:val="single" w:color="auto" w:sz="4" w:space="0"/>
              <w:right w:val="single" w:color="auto" w:sz="4" w:space="0"/>
            </w:tcBorders>
            <w:vAlign w:val="center"/>
          </w:tcPr>
          <w:p w14:paraId="5B840A4A">
            <w:pPr>
              <w:widowControl/>
              <w:spacing w:line="240" w:lineRule="exact"/>
              <w:jc w:val="left"/>
              <w:rPr>
                <w:szCs w:val="21"/>
              </w:rPr>
            </w:pPr>
            <w:r>
              <w:rPr>
                <w:rFonts w:ascii="仿宋_GB2312" w:hAnsi="新宋体" w:eastAsia="仿宋_GB2312" w:cs="仿宋_GB2312"/>
                <w:kern w:val="0"/>
                <w:szCs w:val="21"/>
              </w:rPr>
              <w:t>活动合理性（2</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436" w:type="dxa"/>
            <w:tcBorders>
              <w:top w:val="single" w:color="000000" w:sz="4" w:space="0"/>
              <w:left w:val="single" w:color="auto" w:sz="4" w:space="0"/>
              <w:bottom w:val="single" w:color="auto" w:sz="4" w:space="0"/>
              <w:right w:val="single" w:color="auto" w:sz="4" w:space="0"/>
            </w:tcBorders>
            <w:vAlign w:val="center"/>
          </w:tcPr>
          <w:p w14:paraId="06459FAB">
            <w:pPr>
              <w:widowControl/>
              <w:spacing w:line="240" w:lineRule="exact"/>
              <w:jc w:val="left"/>
              <w:rPr>
                <w:szCs w:val="21"/>
              </w:rPr>
            </w:pPr>
            <w:r>
              <w:rPr>
                <w:rFonts w:ascii="仿宋_GB2312" w:hAnsi="新宋体" w:eastAsia="仿宋_GB2312" w:cs="仿宋_GB2312"/>
                <w:kern w:val="0"/>
                <w:szCs w:val="21"/>
              </w:rPr>
              <w:t>部门所设立的活动是否明确合理、活动的关键性指标设置是否可衡量，用以反映和评价部门活动目标设定的合理性。</w:t>
            </w:r>
          </w:p>
          <w:p w14:paraId="2A825166">
            <w:pPr>
              <w:widowControl/>
              <w:spacing w:line="240" w:lineRule="exact"/>
              <w:jc w:val="left"/>
              <w:rPr>
                <w:szCs w:val="21"/>
              </w:rPr>
            </w:pPr>
            <w:r>
              <w:rPr>
                <w:rFonts w:ascii="仿宋_GB2312" w:hAnsi="新宋体" w:eastAsia="仿宋_GB2312" w:cs="仿宋_GB2312"/>
                <w:kern w:val="0"/>
                <w:szCs w:val="21"/>
              </w:rPr>
              <w:t>评价要点：</w:t>
            </w:r>
          </w:p>
          <w:p w14:paraId="7A894AA3">
            <w:pPr>
              <w:widowControl/>
              <w:spacing w:line="240" w:lineRule="exact"/>
              <w:jc w:val="left"/>
              <w:rPr>
                <w:szCs w:val="21"/>
              </w:rPr>
            </w:pPr>
            <w:r>
              <w:rPr>
                <w:rFonts w:ascii="仿宋_GB2312" w:hAnsi="新宋体" w:eastAsia="仿宋_GB2312" w:cs="仿宋_GB2312"/>
                <w:kern w:val="0"/>
                <w:szCs w:val="21"/>
              </w:rPr>
              <w:t>1.活动目标的设定是可量化的，可通过清晰、可衡量的关键指标值予以体现；</w:t>
            </w:r>
          </w:p>
          <w:p w14:paraId="3DE36159">
            <w:pPr>
              <w:widowControl/>
              <w:spacing w:line="240" w:lineRule="exact"/>
              <w:jc w:val="left"/>
              <w:rPr>
                <w:szCs w:val="21"/>
              </w:rPr>
            </w:pPr>
            <w:r>
              <w:rPr>
                <w:rFonts w:ascii="仿宋_GB2312" w:hAnsi="新宋体" w:eastAsia="仿宋_GB2312" w:cs="仿宋_GB2312"/>
                <w:kern w:val="0"/>
                <w:szCs w:val="21"/>
              </w:rPr>
              <w:t>2.在活动目标设定时，将关键指标明细分解为具体的达成目标与工作任务。</w:t>
            </w:r>
          </w:p>
        </w:tc>
        <w:tc>
          <w:tcPr>
            <w:tcW w:w="2373" w:type="dxa"/>
            <w:tcBorders>
              <w:top w:val="single" w:color="000000" w:sz="4" w:space="0"/>
              <w:left w:val="single" w:color="auto" w:sz="4" w:space="0"/>
              <w:bottom w:val="single" w:color="auto" w:sz="4" w:space="0"/>
              <w:right w:val="single" w:color="auto" w:sz="4" w:space="0"/>
            </w:tcBorders>
            <w:vAlign w:val="center"/>
          </w:tcPr>
          <w:p w14:paraId="1CE18D7F">
            <w:pPr>
              <w:widowControl/>
              <w:spacing w:line="240" w:lineRule="exact"/>
              <w:jc w:val="left"/>
              <w:rPr>
                <w:szCs w:val="21"/>
              </w:rPr>
            </w:pPr>
            <w:r>
              <w:rPr>
                <w:rFonts w:ascii="仿宋_GB2312" w:hAnsi="新宋体" w:eastAsia="仿宋_GB2312" w:cs="仿宋_GB2312"/>
                <w:kern w:val="0"/>
                <w:szCs w:val="21"/>
              </w:rPr>
              <w:t>全部符合（2）；</w:t>
            </w:r>
          </w:p>
          <w:p w14:paraId="1D5BCE29">
            <w:pPr>
              <w:widowControl/>
              <w:spacing w:line="240" w:lineRule="exact"/>
              <w:jc w:val="left"/>
              <w:rPr>
                <w:szCs w:val="21"/>
              </w:rPr>
            </w:pPr>
            <w:r>
              <w:rPr>
                <w:rFonts w:ascii="仿宋_GB2312" w:hAnsi="新宋体" w:eastAsia="仿宋_GB2312" w:cs="仿宋_GB2312"/>
                <w:kern w:val="0"/>
                <w:szCs w:val="21"/>
              </w:rPr>
              <w:t>其中一项不符合（0）。</w:t>
            </w:r>
          </w:p>
        </w:tc>
        <w:tc>
          <w:tcPr>
            <w:tcW w:w="764" w:type="dxa"/>
            <w:tcBorders>
              <w:top w:val="single" w:color="000000" w:sz="4" w:space="0"/>
              <w:left w:val="single" w:color="auto" w:sz="4" w:space="0"/>
              <w:bottom w:val="single" w:color="auto" w:sz="4" w:space="0"/>
              <w:right w:val="single" w:color="000000" w:sz="4" w:space="0"/>
            </w:tcBorders>
            <w:vAlign w:val="center"/>
          </w:tcPr>
          <w:p w14:paraId="419F589F">
            <w:pPr>
              <w:widowControl/>
              <w:spacing w:line="240" w:lineRule="exact"/>
              <w:jc w:val="left"/>
              <w:rPr>
                <w:szCs w:val="21"/>
              </w:rPr>
            </w:pPr>
            <w:r>
              <w:rPr>
                <w:rFonts w:hint="eastAsia"/>
                <w:szCs w:val="21"/>
              </w:rPr>
              <w:t>2</w:t>
            </w:r>
          </w:p>
        </w:tc>
      </w:tr>
      <w:tr w14:paraId="3A935C8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626C7893">
            <w:pPr>
              <w:spacing w:line="240" w:lineRule="exact"/>
              <w:rPr>
                <w:rFonts w:ascii="宋体"/>
                <w:szCs w:val="21"/>
              </w:rPr>
            </w:pPr>
          </w:p>
        </w:tc>
        <w:tc>
          <w:tcPr>
            <w:tcW w:w="743" w:type="dxa"/>
            <w:vMerge w:val="restart"/>
            <w:tcBorders>
              <w:top w:val="single" w:color="000000" w:sz="4" w:space="0"/>
              <w:left w:val="single" w:color="000000" w:sz="4" w:space="0"/>
              <w:right w:val="single" w:color="000000" w:sz="4" w:space="0"/>
            </w:tcBorders>
            <w:vAlign w:val="center"/>
          </w:tcPr>
          <w:p w14:paraId="7143EA55">
            <w:pPr>
              <w:widowControl/>
              <w:spacing w:line="240" w:lineRule="exact"/>
              <w:jc w:val="left"/>
              <w:rPr>
                <w:szCs w:val="21"/>
              </w:rPr>
            </w:pPr>
            <w:r>
              <w:rPr>
                <w:rFonts w:ascii="仿宋_GB2312" w:hAnsi="新宋体" w:eastAsia="仿宋_GB2312" w:cs="仿宋_GB2312"/>
                <w:kern w:val="0"/>
                <w:szCs w:val="21"/>
              </w:rPr>
              <w:t>预算配置</w:t>
            </w:r>
            <w:r>
              <w:rPr>
                <w:rFonts w:hint="eastAsia" w:ascii="仿宋_GB2312" w:hAnsi="新宋体" w:eastAsia="仿宋_GB2312" w:cs="仿宋_GB2312"/>
                <w:kern w:val="0"/>
                <w:szCs w:val="21"/>
              </w:rPr>
              <w:t>情况</w:t>
            </w:r>
            <w:r>
              <w:rPr>
                <w:rFonts w:ascii="仿宋_GB2312" w:hAnsi="新宋体" w:eastAsia="仿宋_GB2312" w:cs="仿宋_GB2312"/>
                <w:kern w:val="0"/>
                <w:szCs w:val="21"/>
              </w:rPr>
              <w:t>(</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1275" w:type="dxa"/>
            <w:tcBorders>
              <w:top w:val="single" w:color="auto" w:sz="4" w:space="0"/>
              <w:left w:val="single" w:color="000000" w:sz="4" w:space="0"/>
              <w:right w:val="single" w:color="auto" w:sz="4" w:space="0"/>
            </w:tcBorders>
            <w:vAlign w:val="center"/>
          </w:tcPr>
          <w:p w14:paraId="3C752564">
            <w:pPr>
              <w:widowControl/>
              <w:spacing w:line="240" w:lineRule="exact"/>
              <w:jc w:val="left"/>
              <w:rPr>
                <w:szCs w:val="21"/>
              </w:rPr>
            </w:pPr>
            <w:r>
              <w:rPr>
                <w:rFonts w:ascii="仿宋_GB2312" w:hAnsi="新宋体" w:eastAsia="仿宋_GB2312" w:cs="仿宋_GB2312"/>
                <w:kern w:val="0"/>
                <w:szCs w:val="21"/>
              </w:rPr>
              <w:t>在职人员控制率（</w:t>
            </w:r>
            <w:r>
              <w:rPr>
                <w:rFonts w:hint="eastAsia" w:ascii="仿宋_GB2312" w:hAnsi="新宋体" w:eastAsia="仿宋_GB2312" w:cs="仿宋_GB2312"/>
                <w:kern w:val="0"/>
                <w:szCs w:val="21"/>
              </w:rPr>
              <w:t>1分</w:t>
            </w:r>
            <w:r>
              <w:rPr>
                <w:rFonts w:ascii="仿宋_GB2312" w:hAnsi="新宋体" w:eastAsia="仿宋_GB2312" w:cs="仿宋_GB2312"/>
                <w:kern w:val="0"/>
                <w:szCs w:val="21"/>
              </w:rPr>
              <w:t>）</w:t>
            </w:r>
          </w:p>
        </w:tc>
        <w:tc>
          <w:tcPr>
            <w:tcW w:w="3436" w:type="dxa"/>
            <w:tcBorders>
              <w:top w:val="single" w:color="auto" w:sz="4" w:space="0"/>
              <w:left w:val="single" w:color="auto" w:sz="4" w:space="0"/>
              <w:right w:val="single" w:color="auto" w:sz="4" w:space="0"/>
            </w:tcBorders>
            <w:vAlign w:val="center"/>
          </w:tcPr>
          <w:p w14:paraId="6AFBC876">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部门本年度实际在职人员数与编制数的比率，用以反映和评价部门对人员成本的控制程度。</w:t>
            </w:r>
          </w:p>
          <w:p w14:paraId="0F641DAD">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在职人员控制率=（在职人员数/编制数）×100%。</w:t>
            </w:r>
          </w:p>
          <w:p w14:paraId="37C06A7B">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在职人员数：部门实际在职人数，以财政部确定的部门决算编制口径为准，由编制部门和人劳部门批复同意的临聘人员除外。</w:t>
            </w:r>
          </w:p>
          <w:p w14:paraId="2EFD9AD5">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编制数：机构编制部门核定批复的部门人员编制数。</w:t>
            </w:r>
          </w:p>
        </w:tc>
        <w:tc>
          <w:tcPr>
            <w:tcW w:w="2373" w:type="dxa"/>
            <w:tcBorders>
              <w:top w:val="single" w:color="auto" w:sz="4" w:space="0"/>
              <w:left w:val="single" w:color="auto" w:sz="4" w:space="0"/>
              <w:right w:val="single" w:color="auto" w:sz="4" w:space="0"/>
            </w:tcBorders>
            <w:vAlign w:val="center"/>
          </w:tcPr>
          <w:p w14:paraId="52B6F9B9">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1.在职人员控制率小于或等于100%的，得满分；</w:t>
            </w:r>
          </w:p>
          <w:p w14:paraId="1F2469D9">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2.在职人员控制率大于或等于115%的，得0分；</w:t>
            </w:r>
          </w:p>
          <w:p w14:paraId="78D0C14F">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3.在职人员控制率在100%-115%之间的，在0分和满分之间计算确定：</w:t>
            </w:r>
          </w:p>
          <w:p w14:paraId="4D5CBF0F">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得分=[max（在职人员控制率）－某部门在职人员控制率]/[max（在职人员控制率）－min（在职人员控制率）]×该指标分值。</w:t>
            </w:r>
          </w:p>
        </w:tc>
        <w:tc>
          <w:tcPr>
            <w:tcW w:w="764" w:type="dxa"/>
            <w:tcBorders>
              <w:top w:val="single" w:color="auto" w:sz="4" w:space="0"/>
              <w:left w:val="single" w:color="auto" w:sz="4" w:space="0"/>
              <w:bottom w:val="single" w:color="000000" w:sz="4" w:space="0"/>
              <w:right w:val="single" w:color="000000" w:sz="4" w:space="0"/>
            </w:tcBorders>
            <w:vAlign w:val="center"/>
          </w:tcPr>
          <w:p w14:paraId="57C086A2">
            <w:pPr>
              <w:widowControl/>
              <w:spacing w:line="240" w:lineRule="exact"/>
              <w:jc w:val="left"/>
              <w:rPr>
                <w:szCs w:val="21"/>
              </w:rPr>
            </w:pPr>
            <w:r>
              <w:rPr>
                <w:rFonts w:hint="eastAsia"/>
                <w:szCs w:val="21"/>
              </w:rPr>
              <w:t>1</w:t>
            </w:r>
          </w:p>
        </w:tc>
      </w:tr>
      <w:tr w14:paraId="631D16D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restart"/>
            <w:tcBorders>
              <w:top w:val="single" w:color="000000" w:sz="4" w:space="0"/>
              <w:left w:val="single" w:color="000000" w:sz="4" w:space="0"/>
              <w:right w:val="single" w:color="000000" w:sz="4" w:space="0"/>
            </w:tcBorders>
            <w:vAlign w:val="center"/>
          </w:tcPr>
          <w:p w14:paraId="7B157807">
            <w:pPr>
              <w:spacing w:line="240" w:lineRule="exact"/>
              <w:rPr>
                <w:rFonts w:ascii="宋体"/>
                <w:szCs w:val="21"/>
              </w:rPr>
            </w:pPr>
          </w:p>
        </w:tc>
        <w:tc>
          <w:tcPr>
            <w:tcW w:w="743" w:type="dxa"/>
            <w:vMerge w:val="continue"/>
            <w:tcBorders>
              <w:left w:val="single" w:color="000000" w:sz="4" w:space="0"/>
              <w:right w:val="single" w:color="000000" w:sz="4" w:space="0"/>
            </w:tcBorders>
            <w:vAlign w:val="center"/>
          </w:tcPr>
          <w:p w14:paraId="64E89619">
            <w:pPr>
              <w:widowControl/>
              <w:spacing w:line="240" w:lineRule="exact"/>
              <w:jc w:val="left"/>
              <w:rPr>
                <w:rFonts w:ascii="仿宋_GB2312" w:hAnsi="新宋体" w:eastAsia="仿宋_GB2312" w:cs="仿宋_GB2312"/>
                <w:kern w:val="0"/>
                <w:szCs w:val="21"/>
              </w:rPr>
            </w:pPr>
          </w:p>
        </w:tc>
        <w:tc>
          <w:tcPr>
            <w:tcW w:w="1275" w:type="dxa"/>
            <w:tcBorders>
              <w:top w:val="single" w:color="auto" w:sz="4" w:space="0"/>
              <w:left w:val="single" w:color="000000" w:sz="4" w:space="0"/>
              <w:right w:val="single" w:color="auto" w:sz="4" w:space="0"/>
            </w:tcBorders>
            <w:vAlign w:val="center"/>
          </w:tcPr>
          <w:p w14:paraId="362CF4A6">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变动率（2分）</w:t>
            </w:r>
          </w:p>
        </w:tc>
        <w:tc>
          <w:tcPr>
            <w:tcW w:w="3436" w:type="dxa"/>
            <w:tcBorders>
              <w:top w:val="single" w:color="auto" w:sz="4" w:space="0"/>
              <w:left w:val="single" w:color="auto" w:sz="4" w:space="0"/>
              <w:right w:val="single" w:color="auto" w:sz="4" w:space="0"/>
            </w:tcBorders>
            <w:vAlign w:val="center"/>
          </w:tcPr>
          <w:p w14:paraId="54054073">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部门本年度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预算数与上年度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预算数的变动比率，用以反映和考核部门对控制重点行政成本的努力程度。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变动率=[（本年度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总额-上年度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总额）/上年度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总额]×100%。</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：年度预算安排的因公出国（境）费、公务车辆购置及运行费和公务招待费。</w:t>
            </w:r>
          </w:p>
        </w:tc>
        <w:tc>
          <w:tcPr>
            <w:tcW w:w="2373" w:type="dxa"/>
            <w:tcBorders>
              <w:top w:val="single" w:color="auto" w:sz="4" w:space="0"/>
              <w:left w:val="single" w:color="auto" w:sz="4" w:space="0"/>
              <w:right w:val="single" w:color="auto" w:sz="4" w:space="0"/>
            </w:tcBorders>
            <w:vAlign w:val="center"/>
          </w:tcPr>
          <w:p w14:paraId="4396DCAB">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小于或等于</w:t>
            </w:r>
            <w:r>
              <w:rPr>
                <w:rFonts w:hint="eastAsia" w:ascii="仿宋_GB2312" w:hAnsi="新宋体" w:eastAsia="仿宋_GB2312" w:cs="仿宋_GB2312"/>
                <w:kern w:val="0"/>
                <w:szCs w:val="21"/>
              </w:rPr>
              <w:t>-5</w:t>
            </w:r>
            <w:r>
              <w:rPr>
                <w:rFonts w:ascii="仿宋_GB2312" w:hAnsi="新宋体" w:eastAsia="仿宋_GB2312" w:cs="仿宋_GB2312"/>
                <w:kern w:val="0"/>
                <w:szCs w:val="21"/>
              </w:rPr>
              <w:t>%的，得满分；</w:t>
            </w:r>
          </w:p>
          <w:p w14:paraId="16B8A152">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大于或等于1</w:t>
            </w:r>
            <w:r>
              <w:rPr>
                <w:rFonts w:hint="eastAsia" w:ascii="仿宋_GB2312" w:hAnsi="新宋体" w:eastAsia="仿宋_GB2312" w:cs="仿宋_GB2312"/>
                <w:kern w:val="0"/>
                <w:szCs w:val="21"/>
              </w:rPr>
              <w:t>0</w:t>
            </w:r>
            <w:r>
              <w:rPr>
                <w:rFonts w:ascii="仿宋_GB2312" w:hAnsi="新宋体" w:eastAsia="仿宋_GB2312" w:cs="仿宋_GB2312"/>
                <w:kern w:val="0"/>
                <w:szCs w:val="21"/>
              </w:rPr>
              <w:t>%的，得0分；</w:t>
            </w:r>
          </w:p>
          <w:p w14:paraId="079895FA">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3.在职人员控制率在</w:t>
            </w:r>
            <w:r>
              <w:rPr>
                <w:rFonts w:hint="eastAsia" w:ascii="仿宋_GB2312" w:hAnsi="新宋体" w:eastAsia="仿宋_GB2312" w:cs="仿宋_GB2312"/>
                <w:kern w:val="0"/>
                <w:szCs w:val="21"/>
              </w:rPr>
              <w:t>-5</w:t>
            </w:r>
            <w:r>
              <w:rPr>
                <w:rFonts w:ascii="仿宋_GB2312" w:hAnsi="新宋体" w:eastAsia="仿宋_GB2312" w:cs="仿宋_GB2312"/>
                <w:kern w:val="0"/>
                <w:szCs w:val="21"/>
              </w:rPr>
              <w:t>%-</w:t>
            </w:r>
            <w:r>
              <w:rPr>
                <w:rFonts w:hint="eastAsia" w:ascii="仿宋_GB2312" w:hAnsi="新宋体" w:eastAsia="仿宋_GB2312" w:cs="仿宋_GB2312"/>
                <w:kern w:val="0"/>
                <w:szCs w:val="21"/>
              </w:rPr>
              <w:t>10</w:t>
            </w:r>
            <w:r>
              <w:rPr>
                <w:rFonts w:ascii="仿宋_GB2312" w:hAnsi="新宋体" w:eastAsia="仿宋_GB2312" w:cs="仿宋_GB2312"/>
                <w:kern w:val="0"/>
                <w:szCs w:val="21"/>
              </w:rPr>
              <w:t>%之间的，在0分和满分之间计算确定：</w:t>
            </w:r>
          </w:p>
          <w:p w14:paraId="16C1C7F3">
            <w:pPr>
              <w:widowControl/>
              <w:spacing w:line="240" w:lineRule="exact"/>
              <w:jc w:val="left"/>
              <w:textAlignment w:val="center"/>
              <w:rPr>
                <w:rFonts w:ascii="仿宋" w:hAnsi="仿宋" w:eastAsia="仿宋" w:cs="仿宋"/>
                <w:kern w:val="0"/>
                <w:szCs w:val="21"/>
              </w:rPr>
            </w:pPr>
            <w:r>
              <w:rPr>
                <w:rFonts w:ascii="仿宋_GB2312" w:hAnsi="新宋体" w:eastAsia="仿宋_GB2312" w:cs="仿宋_GB2312"/>
                <w:kern w:val="0"/>
                <w:szCs w:val="21"/>
              </w:rPr>
              <w:t>得分=[max（</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]/[max（</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）－min（</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）]×该指标分值。</w:t>
            </w:r>
          </w:p>
        </w:tc>
        <w:tc>
          <w:tcPr>
            <w:tcW w:w="764" w:type="dxa"/>
            <w:tcBorders>
              <w:top w:val="single" w:color="auto" w:sz="4" w:space="0"/>
              <w:left w:val="single" w:color="auto" w:sz="4" w:space="0"/>
              <w:bottom w:val="single" w:color="000000" w:sz="4" w:space="0"/>
              <w:right w:val="single" w:color="000000" w:sz="4" w:space="0"/>
            </w:tcBorders>
            <w:vAlign w:val="center"/>
          </w:tcPr>
          <w:p w14:paraId="5CB218D3">
            <w:pPr>
              <w:widowControl/>
              <w:spacing w:line="240" w:lineRule="exact"/>
              <w:jc w:val="left"/>
              <w:rPr>
                <w:szCs w:val="21"/>
              </w:rPr>
            </w:pPr>
            <w:r>
              <w:rPr>
                <w:rFonts w:hint="eastAsia"/>
                <w:szCs w:val="21"/>
              </w:rPr>
              <w:t>2</w:t>
            </w:r>
          </w:p>
        </w:tc>
      </w:tr>
      <w:tr w14:paraId="0AFF0CA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continue"/>
            <w:tcBorders>
              <w:left w:val="single" w:color="000000" w:sz="4" w:space="0"/>
              <w:bottom w:val="single" w:color="000000" w:sz="4" w:space="0"/>
              <w:right w:val="single" w:color="000000" w:sz="4" w:space="0"/>
            </w:tcBorders>
            <w:vAlign w:val="center"/>
          </w:tcPr>
          <w:p w14:paraId="158611D5">
            <w:pPr>
              <w:spacing w:line="240" w:lineRule="exact"/>
              <w:rPr>
                <w:rFonts w:ascii="宋体"/>
                <w:szCs w:val="21"/>
              </w:rPr>
            </w:pPr>
          </w:p>
        </w:tc>
        <w:tc>
          <w:tcPr>
            <w:tcW w:w="743" w:type="dxa"/>
            <w:vMerge w:val="continue"/>
            <w:tcBorders>
              <w:left w:val="single" w:color="000000" w:sz="4" w:space="0"/>
              <w:bottom w:val="single" w:color="000000" w:sz="4" w:space="0"/>
              <w:right w:val="single" w:color="000000" w:sz="4" w:space="0"/>
            </w:tcBorders>
            <w:vAlign w:val="center"/>
          </w:tcPr>
          <w:p w14:paraId="03DBA261">
            <w:pPr>
              <w:widowControl/>
              <w:spacing w:line="240" w:lineRule="exact"/>
              <w:jc w:val="left"/>
              <w:rPr>
                <w:rFonts w:ascii="仿宋_GB2312" w:hAnsi="新宋体" w:eastAsia="仿宋_GB2312" w:cs="仿宋_GB2312"/>
                <w:kern w:val="0"/>
                <w:szCs w:val="21"/>
              </w:rPr>
            </w:pPr>
          </w:p>
        </w:tc>
        <w:tc>
          <w:tcPr>
            <w:tcW w:w="1275" w:type="dxa"/>
            <w:tcBorders>
              <w:top w:val="single" w:color="auto" w:sz="4" w:space="0"/>
              <w:left w:val="single" w:color="000000" w:sz="4" w:space="0"/>
              <w:right w:val="single" w:color="auto" w:sz="4" w:space="0"/>
            </w:tcBorders>
            <w:vAlign w:val="center"/>
          </w:tcPr>
          <w:p w14:paraId="5A34BBF8">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重点支出安排率（2分）</w:t>
            </w:r>
          </w:p>
        </w:tc>
        <w:tc>
          <w:tcPr>
            <w:tcW w:w="3436" w:type="dxa"/>
            <w:tcBorders>
              <w:top w:val="single" w:color="auto" w:sz="4" w:space="0"/>
              <w:left w:val="single" w:color="auto" w:sz="4" w:space="0"/>
              <w:right w:val="single" w:color="auto" w:sz="4" w:space="0"/>
            </w:tcBorders>
            <w:vAlign w:val="center"/>
          </w:tcPr>
          <w:p w14:paraId="65647DCE">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部门本年度预算安排的重点项目支出与部门项目总支出的比率，用以反映和考核部门对履行主要职责或完成重点任务的保障程度。重点支出安排率=（重点项目支出/项目总支出）×100%。</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重点项目支出：部门（单位）年度预算安排的，与本部门履职和发展密切相关、具有明显社会和经济影响、党委政府关心或社会比较关注的项目支出总额。</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项目总支出：部门（单位）年度预算安排的项目支出总额。</w:t>
            </w:r>
          </w:p>
        </w:tc>
        <w:tc>
          <w:tcPr>
            <w:tcW w:w="2373" w:type="dxa"/>
            <w:tcBorders>
              <w:top w:val="single" w:color="auto" w:sz="4" w:space="0"/>
              <w:left w:val="single" w:color="auto" w:sz="4" w:space="0"/>
              <w:right w:val="single" w:color="auto" w:sz="4" w:space="0"/>
            </w:tcBorders>
            <w:vAlign w:val="center"/>
          </w:tcPr>
          <w:p w14:paraId="34F1BE55">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大于或等于95%的，得满分；</w:t>
            </w:r>
          </w:p>
          <w:p w14:paraId="30E15B27">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小于或等于85%的，得0分；</w:t>
            </w:r>
          </w:p>
          <w:p w14:paraId="1206BBE7">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在85%-95%之间的，在0分和满分之间计算确定：</w:t>
            </w:r>
          </w:p>
          <w:p w14:paraId="62748823">
            <w:pPr>
              <w:widowControl/>
              <w:spacing w:line="240" w:lineRule="exact"/>
              <w:jc w:val="left"/>
              <w:textAlignment w:val="center"/>
              <w:rPr>
                <w:rFonts w:ascii="仿宋" w:hAnsi="仿宋" w:eastAsia="仿宋" w:cs="仿宋"/>
                <w:kern w:val="0"/>
                <w:szCs w:val="21"/>
              </w:rPr>
            </w:pPr>
            <w:r>
              <w:rPr>
                <w:rFonts w:ascii="仿宋_GB2312" w:hAnsi="新宋体" w:eastAsia="仿宋_GB2312" w:cs="仿宋_GB2312"/>
                <w:kern w:val="0"/>
                <w:szCs w:val="21"/>
              </w:rPr>
              <w:t>得分=[某部门</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-min（</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）]/[max（</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）－min（</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）]×该指标分值。</w:t>
            </w:r>
          </w:p>
        </w:tc>
        <w:tc>
          <w:tcPr>
            <w:tcW w:w="764" w:type="dxa"/>
            <w:tcBorders>
              <w:top w:val="single" w:color="auto" w:sz="4" w:space="0"/>
              <w:left w:val="single" w:color="auto" w:sz="4" w:space="0"/>
              <w:bottom w:val="single" w:color="000000" w:sz="4" w:space="0"/>
              <w:right w:val="single" w:color="000000" w:sz="4" w:space="0"/>
            </w:tcBorders>
            <w:vAlign w:val="center"/>
          </w:tcPr>
          <w:p w14:paraId="088768CD">
            <w:pPr>
              <w:widowControl/>
              <w:spacing w:line="240" w:lineRule="exact"/>
              <w:jc w:val="left"/>
              <w:rPr>
                <w:szCs w:val="21"/>
              </w:rPr>
            </w:pPr>
            <w:r>
              <w:rPr>
                <w:rFonts w:hint="eastAsia"/>
                <w:szCs w:val="21"/>
              </w:rPr>
              <w:t>2</w:t>
            </w:r>
          </w:p>
        </w:tc>
      </w:tr>
      <w:tr w14:paraId="157515A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14:paraId="034A8201">
            <w:pPr>
              <w:widowControl/>
              <w:spacing w:line="240" w:lineRule="exact"/>
              <w:jc w:val="left"/>
              <w:rPr>
                <w:szCs w:val="21"/>
              </w:rPr>
            </w:pPr>
            <w:r>
              <w:rPr>
                <w:rFonts w:ascii="仿宋_GB2312" w:hAnsi="新宋体" w:eastAsia="仿宋_GB2312" w:cs="仿宋_GB2312"/>
                <w:kern w:val="0"/>
                <w:szCs w:val="21"/>
              </w:rPr>
              <w:t>过程(</w:t>
            </w:r>
            <w:r>
              <w:rPr>
                <w:rFonts w:hint="eastAsia" w:ascii="仿宋_GB2312" w:hAnsi="新宋体" w:eastAsia="仿宋_GB2312" w:cs="仿宋_GB2312"/>
                <w:kern w:val="0"/>
                <w:szCs w:val="21"/>
              </w:rPr>
              <w:t>45分</w:t>
            </w:r>
            <w:r>
              <w:rPr>
                <w:rFonts w:ascii="仿宋_GB2312" w:hAnsi="新宋体" w:eastAsia="仿宋_GB2312" w:cs="仿宋_GB2312"/>
                <w:kern w:val="0"/>
                <w:szCs w:val="21"/>
              </w:rPr>
              <w:t>)</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1029DD91">
            <w:pPr>
              <w:widowControl/>
              <w:spacing w:line="240" w:lineRule="exact"/>
              <w:jc w:val="left"/>
              <w:rPr>
                <w:szCs w:val="21"/>
              </w:rPr>
            </w:pPr>
            <w:r>
              <w:rPr>
                <w:rFonts w:ascii="仿宋_GB2312" w:hAnsi="新宋体" w:eastAsia="仿宋_GB2312" w:cs="仿宋_GB2312"/>
                <w:kern w:val="0"/>
                <w:szCs w:val="21"/>
              </w:rPr>
              <w:t>预算执行</w:t>
            </w:r>
            <w:r>
              <w:rPr>
                <w:rFonts w:hint="eastAsia" w:ascii="仿宋_GB2312" w:hAnsi="新宋体" w:eastAsia="仿宋_GB2312" w:cs="仿宋_GB2312"/>
                <w:kern w:val="0"/>
                <w:szCs w:val="21"/>
              </w:rPr>
              <w:t>情况</w:t>
            </w:r>
            <w:r>
              <w:rPr>
                <w:rFonts w:ascii="仿宋_GB2312" w:hAnsi="新宋体" w:eastAsia="仿宋_GB2312" w:cs="仿宋_GB2312"/>
                <w:kern w:val="0"/>
                <w:szCs w:val="21"/>
              </w:rPr>
              <w:t>(</w:t>
            </w:r>
            <w:r>
              <w:rPr>
                <w:rFonts w:hint="eastAsia" w:ascii="仿宋_GB2312" w:hAnsi="新宋体" w:eastAsia="仿宋_GB2312" w:cs="仿宋_GB2312"/>
                <w:kern w:val="0"/>
                <w:szCs w:val="21"/>
              </w:rPr>
              <w:t>25分</w:t>
            </w:r>
            <w:r>
              <w:rPr>
                <w:rFonts w:ascii="仿宋_GB2312" w:hAnsi="新宋体" w:eastAsia="仿宋_GB2312" w:cs="仿宋_GB2312"/>
                <w:kern w:val="0"/>
                <w:szCs w:val="21"/>
              </w:rPr>
              <w:t>)</w:t>
            </w:r>
          </w:p>
        </w:tc>
        <w:tc>
          <w:tcPr>
            <w:tcW w:w="1275" w:type="dxa"/>
            <w:tcBorders>
              <w:top w:val="single" w:color="000000" w:sz="4" w:space="0"/>
              <w:left w:val="single" w:color="000000" w:sz="4" w:space="0"/>
              <w:bottom w:val="single" w:color="000000" w:sz="4" w:space="0"/>
              <w:right w:val="single" w:color="auto" w:sz="4" w:space="0"/>
            </w:tcBorders>
            <w:vAlign w:val="center"/>
          </w:tcPr>
          <w:p w14:paraId="6AA67133">
            <w:pPr>
              <w:widowControl/>
              <w:spacing w:line="240" w:lineRule="exact"/>
              <w:jc w:val="left"/>
              <w:rPr>
                <w:szCs w:val="21"/>
              </w:rPr>
            </w:pPr>
            <w:r>
              <w:rPr>
                <w:rFonts w:ascii="仿宋_GB2312" w:hAnsi="新宋体" w:eastAsia="仿宋_GB2312" w:cs="仿宋_GB2312"/>
                <w:kern w:val="0"/>
                <w:szCs w:val="21"/>
              </w:rPr>
              <w:t>预算完成率（5</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436" w:type="dxa"/>
            <w:tcBorders>
              <w:top w:val="single" w:color="000000" w:sz="4" w:space="0"/>
              <w:left w:val="single" w:color="auto" w:sz="4" w:space="0"/>
              <w:bottom w:val="single" w:color="000000" w:sz="4" w:space="0"/>
              <w:right w:val="single" w:color="auto" w:sz="4" w:space="0"/>
            </w:tcBorders>
            <w:vAlign w:val="center"/>
          </w:tcPr>
          <w:p w14:paraId="45550AE1">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通过对部门本年度预算完成数与预算数的比较，反映和评价部门预算的完成程度。</w:t>
            </w:r>
          </w:p>
          <w:p w14:paraId="59EA4BE0">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预算完成率=（预算完成数/预算数）×100%。</w:t>
            </w:r>
          </w:p>
        </w:tc>
        <w:tc>
          <w:tcPr>
            <w:tcW w:w="2373" w:type="dxa"/>
            <w:tcBorders>
              <w:top w:val="single" w:color="000000" w:sz="4" w:space="0"/>
              <w:left w:val="single" w:color="auto" w:sz="4" w:space="0"/>
              <w:bottom w:val="single" w:color="000000" w:sz="4" w:space="0"/>
              <w:right w:val="single" w:color="auto" w:sz="4" w:space="0"/>
            </w:tcBorders>
            <w:vAlign w:val="center"/>
          </w:tcPr>
          <w:p w14:paraId="7E46B4EA">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1.预算完成率大于或等于95%的，得满分；</w:t>
            </w:r>
          </w:p>
          <w:p w14:paraId="0D439A16">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2.预算完成率小于或等于85%的，得0分；</w:t>
            </w:r>
          </w:p>
          <w:p w14:paraId="5606C36A">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3.预算完成率在85%-95%之间的，在0分和满分之间计算确定：</w:t>
            </w:r>
          </w:p>
          <w:p w14:paraId="6A8B7DFC">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得分=[某部门预算完成率-min（预算完成率）]/[max（预算完成率）－min（预算完成率）]×该指标分值。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14:paraId="1447E8B9">
            <w:pPr>
              <w:widowControl/>
              <w:spacing w:line="240" w:lineRule="exact"/>
              <w:jc w:val="left"/>
              <w:rPr>
                <w:szCs w:val="21"/>
              </w:rPr>
            </w:pPr>
            <w:r>
              <w:rPr>
                <w:rFonts w:hint="eastAsia"/>
                <w:szCs w:val="21"/>
              </w:rPr>
              <w:t>4</w:t>
            </w:r>
          </w:p>
        </w:tc>
      </w:tr>
      <w:tr w14:paraId="76D3CEA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0E8A23A8">
            <w:pPr>
              <w:spacing w:line="240" w:lineRule="exact"/>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6FD6D415">
            <w:pPr>
              <w:spacing w:line="240" w:lineRule="exact"/>
              <w:rPr>
                <w:rFonts w:ascii="宋体"/>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6A60D21C">
            <w:pPr>
              <w:widowControl/>
              <w:spacing w:line="240" w:lineRule="exact"/>
              <w:jc w:val="left"/>
              <w:rPr>
                <w:szCs w:val="21"/>
              </w:rPr>
            </w:pPr>
            <w:r>
              <w:rPr>
                <w:rFonts w:ascii="仿宋_GB2312" w:hAnsi="新宋体" w:eastAsia="仿宋_GB2312" w:cs="仿宋_GB2312"/>
                <w:kern w:val="0"/>
                <w:szCs w:val="21"/>
              </w:rPr>
              <w:t>预算调整率（</w:t>
            </w:r>
            <w:r>
              <w:rPr>
                <w:rFonts w:hint="eastAsia" w:ascii="仿宋_GB2312" w:hAnsi="新宋体" w:eastAsia="仿宋_GB2312" w:cs="仿宋_GB2312"/>
                <w:kern w:val="0"/>
                <w:szCs w:val="21"/>
              </w:rPr>
              <w:t>3分</w:t>
            </w:r>
            <w:r>
              <w:rPr>
                <w:rFonts w:ascii="仿宋_GB2312" w:hAnsi="新宋体" w:eastAsia="仿宋_GB2312" w:cs="仿宋_GB2312"/>
                <w:kern w:val="0"/>
                <w:szCs w:val="21"/>
              </w:rPr>
              <w:t>）</w:t>
            </w:r>
          </w:p>
        </w:tc>
        <w:tc>
          <w:tcPr>
            <w:tcW w:w="3436" w:type="dxa"/>
            <w:tcBorders>
              <w:top w:val="single" w:color="000000" w:sz="4" w:space="0"/>
              <w:left w:val="single" w:color="auto" w:sz="4" w:space="0"/>
              <w:bottom w:val="single" w:color="000000" w:sz="4" w:space="0"/>
              <w:right w:val="single" w:color="auto" w:sz="4" w:space="0"/>
            </w:tcBorders>
            <w:vAlign w:val="center"/>
          </w:tcPr>
          <w:p w14:paraId="4C12A51F">
            <w:pPr>
              <w:widowControl/>
              <w:spacing w:line="240" w:lineRule="exact"/>
              <w:jc w:val="left"/>
              <w:rPr>
                <w:szCs w:val="21"/>
              </w:rPr>
            </w:pPr>
            <w:r>
              <w:rPr>
                <w:rFonts w:ascii="仿宋_GB2312" w:hAnsi="新宋体" w:eastAsia="仿宋_GB2312" w:cs="仿宋_GB2312"/>
                <w:kern w:val="0"/>
                <w:szCs w:val="21"/>
              </w:rPr>
              <w:t>部门本年度预算调整数与预算数的比率，用以反映和评价部门预算的调整程度。</w:t>
            </w:r>
          </w:p>
          <w:p w14:paraId="5CA244BD">
            <w:pPr>
              <w:widowControl/>
              <w:spacing w:line="240" w:lineRule="exact"/>
              <w:jc w:val="left"/>
              <w:rPr>
                <w:szCs w:val="21"/>
              </w:rPr>
            </w:pPr>
            <w:r>
              <w:rPr>
                <w:rFonts w:ascii="仿宋_GB2312" w:hAnsi="新宋体" w:eastAsia="仿宋_GB2312" w:cs="仿宋_GB2312"/>
                <w:kern w:val="0"/>
                <w:szCs w:val="21"/>
              </w:rPr>
              <w:t>预算调整率=（预算调整数/预算数）×100%。</w:t>
            </w:r>
          </w:p>
        </w:tc>
        <w:tc>
          <w:tcPr>
            <w:tcW w:w="2373" w:type="dxa"/>
            <w:tcBorders>
              <w:top w:val="single" w:color="000000" w:sz="4" w:space="0"/>
              <w:left w:val="single" w:color="auto" w:sz="4" w:space="0"/>
              <w:bottom w:val="single" w:color="000000" w:sz="4" w:space="0"/>
              <w:right w:val="single" w:color="auto" w:sz="4" w:space="0"/>
            </w:tcBorders>
            <w:vAlign w:val="center"/>
          </w:tcPr>
          <w:p w14:paraId="0F222DFA">
            <w:pPr>
              <w:widowControl/>
              <w:spacing w:line="240" w:lineRule="exact"/>
              <w:jc w:val="left"/>
              <w:rPr>
                <w:szCs w:val="21"/>
              </w:rPr>
            </w:pPr>
            <w:r>
              <w:rPr>
                <w:rFonts w:ascii="仿宋_GB2312" w:hAnsi="新宋体" w:eastAsia="仿宋_GB2312" w:cs="仿宋_GB2312"/>
                <w:kern w:val="0"/>
                <w:szCs w:val="21"/>
              </w:rPr>
              <w:t xml:space="preserve">1.预算调整率等于0的，得满分； </w:t>
            </w:r>
          </w:p>
          <w:p w14:paraId="67874BF7">
            <w:pPr>
              <w:widowControl/>
              <w:spacing w:line="240" w:lineRule="exact"/>
              <w:jc w:val="left"/>
              <w:rPr>
                <w:szCs w:val="21"/>
              </w:rPr>
            </w:pPr>
            <w:r>
              <w:rPr>
                <w:rFonts w:ascii="仿宋_GB2312" w:hAnsi="新宋体" w:eastAsia="仿宋_GB2312" w:cs="仿宋_GB2312"/>
                <w:kern w:val="0"/>
                <w:szCs w:val="21"/>
              </w:rPr>
              <w:t>2.预算调整率大于或等于10%的，得0分；</w:t>
            </w:r>
          </w:p>
          <w:p w14:paraId="107D5F92">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3.预算调整率在0-10%之间的，在0分和满分之间确定：</w:t>
            </w:r>
          </w:p>
          <w:p w14:paraId="03227E9C">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得分=［max（预算调整率）-某部门预算调整率］/［max（预算调整率）-min（预算调整率）］×该指标分值。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14:paraId="2D0724EE">
            <w:pPr>
              <w:widowControl/>
              <w:spacing w:line="240" w:lineRule="exact"/>
              <w:jc w:val="left"/>
              <w:rPr>
                <w:szCs w:val="21"/>
              </w:rPr>
            </w:pPr>
            <w:r>
              <w:rPr>
                <w:rFonts w:hint="eastAsia"/>
                <w:szCs w:val="21"/>
              </w:rPr>
              <w:t>2</w:t>
            </w:r>
          </w:p>
        </w:tc>
      </w:tr>
      <w:tr w14:paraId="61F6D21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84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28E1476F">
            <w:pPr>
              <w:spacing w:line="240" w:lineRule="exact"/>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2D319B37">
            <w:pPr>
              <w:spacing w:line="240" w:lineRule="exact"/>
              <w:rPr>
                <w:rFonts w:ascii="宋体"/>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04196960">
            <w:pPr>
              <w:widowControl/>
              <w:spacing w:line="240" w:lineRule="exact"/>
              <w:jc w:val="left"/>
              <w:rPr>
                <w:szCs w:val="21"/>
              </w:rPr>
            </w:pPr>
            <w:r>
              <w:rPr>
                <w:rFonts w:ascii="仿宋_GB2312" w:hAnsi="新宋体" w:eastAsia="仿宋_GB2312" w:cs="仿宋_GB2312"/>
                <w:color w:val="000000"/>
                <w:kern w:val="0"/>
                <w:szCs w:val="21"/>
              </w:rPr>
              <w:t>支付进度率</w:t>
            </w:r>
            <w:r>
              <w:rPr>
                <w:rFonts w:ascii="仿宋_GB2312" w:hAnsi="新宋体" w:eastAsia="仿宋_GB2312" w:cs="仿宋_GB2312"/>
                <w:kern w:val="0"/>
                <w:szCs w:val="21"/>
              </w:rPr>
              <w:t>（</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3436" w:type="dxa"/>
            <w:tcBorders>
              <w:top w:val="single" w:color="000000" w:sz="4" w:space="0"/>
              <w:left w:val="single" w:color="auto" w:sz="4" w:space="0"/>
              <w:bottom w:val="single" w:color="000000" w:sz="4" w:space="0"/>
              <w:right w:val="single" w:color="auto" w:sz="4" w:space="0"/>
            </w:tcBorders>
            <w:vAlign w:val="center"/>
          </w:tcPr>
          <w:p w14:paraId="7635E508">
            <w:pPr>
              <w:widowControl/>
              <w:spacing w:line="240" w:lineRule="exact"/>
              <w:jc w:val="left"/>
              <w:rPr>
                <w:szCs w:val="21"/>
              </w:rPr>
            </w:pPr>
            <w:r>
              <w:rPr>
                <w:rFonts w:ascii="仿宋_GB2312" w:hAnsi="新宋体" w:eastAsia="仿宋_GB2312" w:cs="仿宋_GB2312"/>
                <w:kern w:val="0"/>
                <w:szCs w:val="21"/>
              </w:rPr>
              <w:t>部门</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度支付数与</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度任务数的比率，用以反映和评价部门预算执行的及时和均衡程度。</w:t>
            </w:r>
          </w:p>
          <w:p w14:paraId="5A6661DB">
            <w:pPr>
              <w:widowControl/>
              <w:spacing w:line="240" w:lineRule="exact"/>
              <w:jc w:val="left"/>
              <w:rPr>
                <w:szCs w:val="21"/>
              </w:rPr>
            </w:pPr>
            <w:r>
              <w:rPr>
                <w:rFonts w:ascii="仿宋_GB2312" w:hAnsi="新宋体" w:eastAsia="仿宋_GB2312" w:cs="仿宋_GB2312"/>
                <w:kern w:val="0"/>
                <w:szCs w:val="21"/>
              </w:rPr>
              <w:t>支付进度率=（</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度任务数）×100%。</w:t>
            </w:r>
          </w:p>
        </w:tc>
        <w:tc>
          <w:tcPr>
            <w:tcW w:w="2373" w:type="dxa"/>
            <w:tcBorders>
              <w:top w:val="single" w:color="000000" w:sz="4" w:space="0"/>
              <w:left w:val="single" w:color="auto" w:sz="4" w:space="0"/>
              <w:bottom w:val="single" w:color="000000" w:sz="4" w:space="0"/>
              <w:right w:val="single" w:color="auto" w:sz="4" w:space="0"/>
            </w:tcBorders>
            <w:vAlign w:val="center"/>
          </w:tcPr>
          <w:p w14:paraId="1659C144">
            <w:pPr>
              <w:widowControl/>
              <w:spacing w:line="240" w:lineRule="exact"/>
              <w:jc w:val="left"/>
              <w:rPr>
                <w:szCs w:val="21"/>
              </w:rPr>
            </w:pPr>
            <w:r>
              <w:rPr>
                <w:rFonts w:ascii="仿宋_GB2312" w:hAnsi="新宋体" w:eastAsia="仿宋_GB2312" w:cs="仿宋_GB2312"/>
                <w:kern w:val="0"/>
                <w:szCs w:val="21"/>
              </w:rPr>
              <w:t>按</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度的执行情况进行打分</w:t>
            </w:r>
            <w:r>
              <w:rPr>
                <w:rFonts w:hint="eastAsia" w:ascii="仿宋_GB2312" w:hAnsi="新宋体" w:eastAsia="仿宋_GB2312" w:cs="仿宋_GB2312"/>
                <w:kern w:val="0"/>
                <w:szCs w:val="21"/>
              </w:rPr>
              <w:t>。</w:t>
            </w:r>
            <w:r>
              <w:rPr>
                <w:rFonts w:ascii="仿宋_GB2312" w:hAnsi="新宋体" w:eastAsia="仿宋_GB2312" w:cs="仿宋_GB2312"/>
                <w:kern w:val="0"/>
                <w:szCs w:val="21"/>
              </w:rPr>
              <w:t>得分=</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度任务数×该指标分值。</w:t>
            </w:r>
          </w:p>
          <w:p w14:paraId="4548F1FC">
            <w:pPr>
              <w:widowControl/>
              <w:pBdr>
                <w:top w:val="none" w:color="000000" w:sz="0" w:space="0"/>
                <w:left w:val="none" w:color="000000" w:sz="0" w:space="0"/>
                <w:bottom w:val="none" w:color="000000" w:sz="0" w:space="0"/>
                <w:right w:val="none" w:color="000000" w:sz="0" w:space="0"/>
              </w:pBdr>
              <w:spacing w:line="240" w:lineRule="exact"/>
              <w:jc w:val="left"/>
              <w:rPr>
                <w:szCs w:val="21"/>
              </w:rPr>
            </w:pPr>
          </w:p>
        </w:tc>
        <w:tc>
          <w:tcPr>
            <w:tcW w:w="764" w:type="dxa"/>
            <w:tcBorders>
              <w:top w:val="single" w:color="000000" w:sz="4" w:space="0"/>
              <w:left w:val="single" w:color="auto" w:sz="4" w:space="0"/>
              <w:bottom w:val="single" w:color="000000" w:sz="4" w:space="0"/>
              <w:right w:val="single" w:color="000000" w:sz="4" w:space="0"/>
            </w:tcBorders>
            <w:vAlign w:val="center"/>
          </w:tcPr>
          <w:p w14:paraId="77BB8C9B">
            <w:pPr>
              <w:widowControl/>
              <w:spacing w:line="240" w:lineRule="exact"/>
              <w:jc w:val="left"/>
              <w:rPr>
                <w:szCs w:val="21"/>
              </w:rPr>
            </w:pPr>
            <w:r>
              <w:rPr>
                <w:rFonts w:hint="eastAsia"/>
                <w:szCs w:val="21"/>
              </w:rPr>
              <w:t>5</w:t>
            </w:r>
          </w:p>
        </w:tc>
      </w:tr>
      <w:tr w14:paraId="05D2A8F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7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3DA2E885">
            <w:pPr>
              <w:spacing w:line="240" w:lineRule="exact"/>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7391F381">
            <w:pPr>
              <w:spacing w:line="240" w:lineRule="exact"/>
              <w:rPr>
                <w:rFonts w:ascii="宋体"/>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07382D7F">
            <w:pPr>
              <w:widowControl/>
              <w:spacing w:line="240" w:lineRule="exact"/>
              <w:jc w:val="left"/>
              <w:rPr>
                <w:szCs w:val="21"/>
              </w:rPr>
            </w:pPr>
            <w:r>
              <w:rPr>
                <w:rFonts w:ascii="仿宋_GB2312" w:hAnsi="新宋体" w:eastAsia="仿宋_GB2312" w:cs="仿宋_GB2312"/>
                <w:kern w:val="0"/>
                <w:szCs w:val="21"/>
              </w:rPr>
              <w:t>结转结余率（4</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436" w:type="dxa"/>
            <w:tcBorders>
              <w:top w:val="single" w:color="000000" w:sz="4" w:space="0"/>
              <w:left w:val="single" w:color="auto" w:sz="4" w:space="0"/>
              <w:bottom w:val="single" w:color="000000" w:sz="4" w:space="0"/>
              <w:right w:val="single" w:color="auto" w:sz="4" w:space="0"/>
            </w:tcBorders>
            <w:vAlign w:val="center"/>
          </w:tcPr>
          <w:p w14:paraId="62684CA7">
            <w:pPr>
              <w:widowControl/>
              <w:spacing w:line="240" w:lineRule="exact"/>
              <w:jc w:val="left"/>
              <w:rPr>
                <w:szCs w:val="21"/>
              </w:rPr>
            </w:pPr>
            <w:r>
              <w:rPr>
                <w:rFonts w:ascii="仿宋_GB2312" w:hAnsi="新宋体" w:eastAsia="仿宋_GB2312" w:cs="仿宋_GB2312"/>
                <w:kern w:val="0"/>
                <w:szCs w:val="21"/>
              </w:rPr>
              <w:t>通过对部门本年度结转结余总额与支出预算数的比较，反映和评价部门对本年度结转结余资金的实际控制程度。</w:t>
            </w:r>
          </w:p>
          <w:p w14:paraId="16172778">
            <w:pPr>
              <w:widowControl/>
              <w:spacing w:line="240" w:lineRule="exact"/>
              <w:jc w:val="left"/>
              <w:rPr>
                <w:szCs w:val="21"/>
              </w:rPr>
            </w:pPr>
            <w:r>
              <w:rPr>
                <w:rFonts w:ascii="仿宋_GB2312" w:hAnsi="新宋体" w:eastAsia="仿宋_GB2312" w:cs="仿宋_GB2312"/>
                <w:kern w:val="0"/>
                <w:szCs w:val="21"/>
              </w:rPr>
              <w:t>结转结余率=（结转结余总额/支出预算数）×100%。</w:t>
            </w:r>
          </w:p>
        </w:tc>
        <w:tc>
          <w:tcPr>
            <w:tcW w:w="2373" w:type="dxa"/>
            <w:tcBorders>
              <w:top w:val="single" w:color="000000" w:sz="4" w:space="0"/>
              <w:left w:val="single" w:color="auto" w:sz="4" w:space="0"/>
              <w:bottom w:val="single" w:color="000000" w:sz="4" w:space="0"/>
              <w:right w:val="single" w:color="auto" w:sz="4" w:space="0"/>
            </w:tcBorders>
            <w:vAlign w:val="center"/>
          </w:tcPr>
          <w:p w14:paraId="6526372E">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1.结转结余率等于0的，得满分；</w:t>
            </w:r>
          </w:p>
          <w:p w14:paraId="7D3D592A">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2.结转结余率大于或等于50%的，得0分；</w:t>
            </w:r>
          </w:p>
          <w:p w14:paraId="49DEA6E7">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3.结转结余率在0-50%之间的，在0和满分之间计算确定：</w:t>
            </w:r>
          </w:p>
          <w:p w14:paraId="29354046">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得分=[max（结转结余率）－某部门结转结余率]/[max（结转结余率）－min（结转结余率）]×该指标分值。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14:paraId="13D613CE">
            <w:pPr>
              <w:widowControl/>
              <w:spacing w:line="240" w:lineRule="exact"/>
              <w:jc w:val="left"/>
              <w:rPr>
                <w:szCs w:val="21"/>
              </w:rPr>
            </w:pPr>
            <w:r>
              <w:rPr>
                <w:rFonts w:hint="eastAsia"/>
                <w:szCs w:val="21"/>
              </w:rPr>
              <w:t>3</w:t>
            </w:r>
          </w:p>
        </w:tc>
      </w:tr>
      <w:tr w14:paraId="44F7A3B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1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511246BB">
            <w:pPr>
              <w:spacing w:line="240" w:lineRule="exact"/>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4C22D7B4">
            <w:pPr>
              <w:spacing w:line="240" w:lineRule="exact"/>
              <w:rPr>
                <w:rFonts w:ascii="宋体"/>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229B87B2">
            <w:pPr>
              <w:widowControl/>
              <w:spacing w:line="240" w:lineRule="exact"/>
              <w:jc w:val="left"/>
              <w:rPr>
                <w:szCs w:val="21"/>
              </w:rPr>
            </w:pPr>
            <w:r>
              <w:rPr>
                <w:rFonts w:ascii="仿宋_GB2312" w:hAnsi="新宋体" w:eastAsia="仿宋_GB2312" w:cs="仿宋_GB2312"/>
                <w:kern w:val="0"/>
                <w:szCs w:val="21"/>
              </w:rPr>
              <w:t>公用经费控制率（</w:t>
            </w:r>
            <w:r>
              <w:rPr>
                <w:rFonts w:hint="eastAsia" w:ascii="仿宋_GB2312" w:hAnsi="新宋体" w:eastAsia="仿宋_GB2312" w:cs="仿宋_GB2312"/>
                <w:kern w:val="0"/>
                <w:szCs w:val="21"/>
              </w:rPr>
              <w:t>4分</w:t>
            </w:r>
            <w:r>
              <w:rPr>
                <w:rFonts w:ascii="仿宋_GB2312" w:hAnsi="新宋体" w:eastAsia="仿宋_GB2312" w:cs="仿宋_GB2312"/>
                <w:kern w:val="0"/>
                <w:szCs w:val="21"/>
              </w:rPr>
              <w:t>）</w:t>
            </w:r>
          </w:p>
        </w:tc>
        <w:tc>
          <w:tcPr>
            <w:tcW w:w="3436" w:type="dxa"/>
            <w:tcBorders>
              <w:top w:val="single" w:color="000000" w:sz="4" w:space="0"/>
              <w:left w:val="single" w:color="auto" w:sz="4" w:space="0"/>
              <w:bottom w:val="single" w:color="000000" w:sz="4" w:space="0"/>
              <w:right w:val="single" w:color="auto" w:sz="4" w:space="0"/>
            </w:tcBorders>
            <w:vAlign w:val="center"/>
          </w:tcPr>
          <w:p w14:paraId="3D378E21">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通过对部门本年度实际支出的公用经费总额与预算安排的公用经费总额的比率，反映和评价部门对机构运转成本的实际控制程度。</w:t>
            </w:r>
          </w:p>
          <w:p w14:paraId="2CC32419">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公用经费控制率=（实际支出公用经费总额/预算安排公用经费总额）×100%。</w:t>
            </w:r>
          </w:p>
        </w:tc>
        <w:tc>
          <w:tcPr>
            <w:tcW w:w="2373" w:type="dxa"/>
            <w:tcBorders>
              <w:top w:val="single" w:color="000000" w:sz="4" w:space="0"/>
              <w:left w:val="single" w:color="auto" w:sz="4" w:space="0"/>
              <w:bottom w:val="single" w:color="000000" w:sz="4" w:space="0"/>
              <w:right w:val="single" w:color="auto" w:sz="4" w:space="0"/>
            </w:tcBorders>
            <w:vAlign w:val="center"/>
          </w:tcPr>
          <w:p w14:paraId="4809B5D6">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1.公用经费控制率小于或等于100%的，得满分；</w:t>
            </w:r>
          </w:p>
          <w:p w14:paraId="708FE374">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2.公用经费控制率大于或等于105%的，得0分；</w:t>
            </w:r>
          </w:p>
          <w:p w14:paraId="1027221B">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3.公用经费控制率在100%-105%之间的，在0和满分之间计算确定：</w:t>
            </w:r>
          </w:p>
          <w:p w14:paraId="6CC4EAAC">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得分=［max（公用经费控制率）-某部门公用经费控制率］/［max（公用经费控制率）-min（公用经费控制率）］×该指标分值。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14:paraId="63E934CC">
            <w:pPr>
              <w:widowControl/>
              <w:spacing w:line="240" w:lineRule="exact"/>
              <w:jc w:val="left"/>
              <w:rPr>
                <w:szCs w:val="21"/>
              </w:rPr>
            </w:pPr>
            <w:r>
              <w:rPr>
                <w:rFonts w:hint="eastAsia"/>
                <w:szCs w:val="21"/>
              </w:rPr>
              <w:t>4</w:t>
            </w:r>
          </w:p>
        </w:tc>
      </w:tr>
      <w:tr w14:paraId="53AB25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0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0FE2A9D0">
            <w:pPr>
              <w:spacing w:line="240" w:lineRule="exact"/>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5E569116">
            <w:pPr>
              <w:spacing w:line="240" w:lineRule="exact"/>
              <w:rPr>
                <w:rFonts w:ascii="宋体"/>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63CAE7DE">
            <w:pPr>
              <w:widowControl/>
              <w:spacing w:line="240" w:lineRule="exact"/>
              <w:jc w:val="left"/>
              <w:rPr>
                <w:szCs w:val="21"/>
              </w:rPr>
            </w:pPr>
            <w:r>
              <w:rPr>
                <w:rFonts w:ascii="仿宋_GB2312" w:hAnsi="新宋体" w:eastAsia="仿宋_GB2312" w:cs="仿宋_GB2312"/>
                <w:kern w:val="0"/>
                <w:szCs w:val="21"/>
              </w:rPr>
              <w:t>政府采购执行率（</w:t>
            </w:r>
            <w:r>
              <w:rPr>
                <w:rFonts w:hint="eastAsia" w:ascii="仿宋_GB2312" w:hAnsi="新宋体" w:eastAsia="仿宋_GB2312" w:cs="仿宋_GB2312"/>
                <w:kern w:val="0"/>
                <w:szCs w:val="21"/>
              </w:rPr>
              <w:t>4分</w:t>
            </w:r>
            <w:r>
              <w:rPr>
                <w:rFonts w:ascii="仿宋_GB2312" w:hAnsi="新宋体" w:eastAsia="仿宋_GB2312" w:cs="仿宋_GB2312"/>
                <w:kern w:val="0"/>
                <w:szCs w:val="21"/>
              </w:rPr>
              <w:t>）</w:t>
            </w:r>
          </w:p>
        </w:tc>
        <w:tc>
          <w:tcPr>
            <w:tcW w:w="3436" w:type="dxa"/>
            <w:tcBorders>
              <w:top w:val="single" w:color="000000" w:sz="4" w:space="0"/>
              <w:left w:val="single" w:color="auto" w:sz="4" w:space="0"/>
              <w:bottom w:val="single" w:color="000000" w:sz="4" w:space="0"/>
              <w:right w:val="single" w:color="auto" w:sz="4" w:space="0"/>
            </w:tcBorders>
            <w:vAlign w:val="center"/>
          </w:tcPr>
          <w:p w14:paraId="61055606">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通过对部门本年度实际政府采购预算项目个数与政府采购预算项目个数的比较，反映和评价部门政府采购预算执行情况。</w:t>
            </w:r>
          </w:p>
          <w:p w14:paraId="4BADD768">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政府采购执行率=（实际政府采购预算项目个数/政府采购预算项目个数）×100%。</w:t>
            </w:r>
          </w:p>
          <w:p w14:paraId="5EC498AF">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政府采购项目中非预算内安排的项目除外。</w:t>
            </w:r>
          </w:p>
        </w:tc>
        <w:tc>
          <w:tcPr>
            <w:tcW w:w="2373" w:type="dxa"/>
            <w:tcBorders>
              <w:top w:val="single" w:color="000000" w:sz="4" w:space="0"/>
              <w:left w:val="single" w:color="auto" w:sz="4" w:space="0"/>
              <w:bottom w:val="single" w:color="000000" w:sz="4" w:space="0"/>
              <w:right w:val="single" w:color="auto" w:sz="4" w:space="0"/>
            </w:tcBorders>
            <w:vAlign w:val="center"/>
          </w:tcPr>
          <w:p w14:paraId="1A1429E4">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1.政府采购执行率等于100%的，得满分；</w:t>
            </w:r>
          </w:p>
          <w:p w14:paraId="7805BD0C">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2.政府采购执行率小于或等于90%的，0分；</w:t>
            </w:r>
          </w:p>
          <w:p w14:paraId="4EE02AAC">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3.政府采购执行率在90%-100%之间的，在0和满分之间计算确定：</w:t>
            </w:r>
          </w:p>
          <w:p w14:paraId="4CBAF5F6">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得分=［某部门政府采购执行率-min（政府采购执行率）］/［max（政府采购执行率）-min（政府采购执行率）］×该指标分值。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14:paraId="63BE9093">
            <w:pPr>
              <w:widowControl/>
              <w:spacing w:line="240" w:lineRule="exact"/>
              <w:jc w:val="left"/>
              <w:rPr>
                <w:szCs w:val="21"/>
              </w:rPr>
            </w:pPr>
            <w:r>
              <w:rPr>
                <w:rFonts w:hint="eastAsia"/>
                <w:szCs w:val="21"/>
              </w:rPr>
              <w:t>3</w:t>
            </w:r>
          </w:p>
        </w:tc>
      </w:tr>
      <w:tr w14:paraId="5D53BA5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02BDE059">
            <w:pPr>
              <w:spacing w:line="240" w:lineRule="exact"/>
              <w:rPr>
                <w:rFonts w:ascii="宋体"/>
                <w:szCs w:val="21"/>
              </w:rPr>
            </w:pP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5D6112DD">
            <w:pPr>
              <w:widowControl/>
              <w:spacing w:line="240" w:lineRule="exact"/>
              <w:jc w:val="left"/>
              <w:rPr>
                <w:szCs w:val="21"/>
              </w:rPr>
            </w:pPr>
            <w:r>
              <w:rPr>
                <w:rFonts w:ascii="仿宋_GB2312" w:hAnsi="新宋体" w:eastAsia="仿宋_GB2312" w:cs="仿宋_GB2312"/>
                <w:kern w:val="0"/>
                <w:szCs w:val="21"/>
              </w:rPr>
              <w:t>预算管理</w:t>
            </w:r>
            <w:r>
              <w:rPr>
                <w:rFonts w:hint="eastAsia" w:ascii="仿宋_GB2312" w:hAnsi="新宋体" w:eastAsia="仿宋_GB2312" w:cs="仿宋_GB2312"/>
                <w:kern w:val="0"/>
                <w:szCs w:val="21"/>
              </w:rPr>
              <w:t>情况</w:t>
            </w:r>
          </w:p>
          <w:p w14:paraId="3D8EB5BB">
            <w:pPr>
              <w:widowControl/>
              <w:spacing w:line="240" w:lineRule="exact"/>
              <w:jc w:val="left"/>
              <w:rPr>
                <w:szCs w:val="21"/>
              </w:rPr>
            </w:pPr>
            <w:r>
              <w:rPr>
                <w:rFonts w:ascii="仿宋_GB2312" w:hAnsi="新宋体" w:eastAsia="仿宋_GB2312" w:cs="仿宋_GB2312"/>
                <w:kern w:val="0"/>
                <w:szCs w:val="21"/>
              </w:rPr>
              <w:t>（15）</w:t>
            </w:r>
          </w:p>
        </w:tc>
        <w:tc>
          <w:tcPr>
            <w:tcW w:w="1275" w:type="dxa"/>
            <w:tcBorders>
              <w:top w:val="single" w:color="000000" w:sz="4" w:space="0"/>
              <w:left w:val="single" w:color="000000" w:sz="4" w:space="0"/>
              <w:bottom w:val="single" w:color="000000" w:sz="4" w:space="0"/>
              <w:right w:val="single" w:color="auto" w:sz="4" w:space="0"/>
            </w:tcBorders>
            <w:vAlign w:val="center"/>
          </w:tcPr>
          <w:p w14:paraId="3AD6F54F">
            <w:pPr>
              <w:widowControl/>
              <w:spacing w:line="240" w:lineRule="exact"/>
              <w:jc w:val="left"/>
              <w:rPr>
                <w:szCs w:val="21"/>
              </w:rPr>
            </w:pPr>
            <w:r>
              <w:rPr>
                <w:rFonts w:ascii="仿宋_GB2312" w:hAnsi="新宋体" w:eastAsia="仿宋_GB2312" w:cs="仿宋_GB2312"/>
                <w:kern w:val="0"/>
                <w:szCs w:val="21"/>
              </w:rPr>
              <w:t>资金使用合规性（8</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436" w:type="dxa"/>
            <w:tcBorders>
              <w:top w:val="single" w:color="000000" w:sz="4" w:space="0"/>
              <w:left w:val="single" w:color="auto" w:sz="4" w:space="0"/>
              <w:bottom w:val="single" w:color="000000" w:sz="4" w:space="0"/>
              <w:right w:val="single" w:color="auto" w:sz="4" w:space="0"/>
            </w:tcBorders>
            <w:vAlign w:val="center"/>
          </w:tcPr>
          <w:p w14:paraId="166662D1">
            <w:pPr>
              <w:widowControl/>
              <w:spacing w:line="240" w:lineRule="exact"/>
              <w:jc w:val="left"/>
              <w:rPr>
                <w:szCs w:val="21"/>
              </w:rPr>
            </w:pPr>
            <w:r>
              <w:rPr>
                <w:rFonts w:ascii="仿宋_GB2312" w:hAnsi="新宋体" w:eastAsia="仿宋_GB2312" w:cs="仿宋_GB2312"/>
                <w:kern w:val="0"/>
                <w:szCs w:val="21"/>
              </w:rPr>
              <w:t>部门使用预算资金是否符合相关的预算财务管理制度的规定，反映和评价部门预算资金的规范运行情况。</w:t>
            </w:r>
          </w:p>
          <w:p w14:paraId="67D975C5">
            <w:pPr>
              <w:widowControl/>
              <w:spacing w:line="240" w:lineRule="exact"/>
              <w:jc w:val="left"/>
              <w:rPr>
                <w:szCs w:val="21"/>
              </w:rPr>
            </w:pPr>
            <w:r>
              <w:rPr>
                <w:rFonts w:ascii="仿宋_GB2312" w:hAnsi="新宋体" w:eastAsia="仿宋_GB2312" w:cs="仿宋_GB2312"/>
                <w:kern w:val="0"/>
                <w:szCs w:val="21"/>
              </w:rPr>
              <w:t>评价要点：</w:t>
            </w:r>
          </w:p>
          <w:p w14:paraId="1E86DF8B">
            <w:pPr>
              <w:widowControl/>
              <w:spacing w:line="240" w:lineRule="exact"/>
              <w:jc w:val="left"/>
              <w:rPr>
                <w:szCs w:val="21"/>
              </w:rPr>
            </w:pPr>
            <w:r>
              <w:rPr>
                <w:rFonts w:ascii="仿宋_GB2312" w:hAnsi="新宋体" w:eastAsia="仿宋_GB2312" w:cs="仿宋_GB2312"/>
                <w:kern w:val="0"/>
                <w:szCs w:val="21"/>
              </w:rPr>
              <w:t>1.符合国家财经法规和财务管理制度规定以及有关部门资金管理办法的规定；</w:t>
            </w:r>
          </w:p>
          <w:p w14:paraId="550DA4A0">
            <w:pPr>
              <w:widowControl/>
              <w:spacing w:line="240" w:lineRule="exact"/>
              <w:jc w:val="left"/>
              <w:rPr>
                <w:szCs w:val="21"/>
              </w:rPr>
            </w:pPr>
            <w:r>
              <w:rPr>
                <w:rFonts w:ascii="仿宋_GB2312" w:hAnsi="新宋体" w:eastAsia="仿宋_GB2312" w:cs="仿宋_GB2312"/>
                <w:kern w:val="0"/>
                <w:szCs w:val="21"/>
              </w:rPr>
              <w:t>2.资金的拨付有完整的审批过程和手续；</w:t>
            </w:r>
          </w:p>
          <w:p w14:paraId="7F04434A">
            <w:pPr>
              <w:widowControl/>
              <w:spacing w:line="240" w:lineRule="exact"/>
              <w:jc w:val="left"/>
              <w:rPr>
                <w:szCs w:val="21"/>
              </w:rPr>
            </w:pPr>
            <w:r>
              <w:rPr>
                <w:rFonts w:ascii="仿宋_GB2312" w:hAnsi="新宋体" w:eastAsia="仿宋_GB2312" w:cs="仿宋_GB2312"/>
                <w:kern w:val="0"/>
                <w:szCs w:val="21"/>
              </w:rPr>
              <w:t>3.项目的重大开支经过评估论证；</w:t>
            </w:r>
          </w:p>
          <w:p w14:paraId="5A172505">
            <w:pPr>
              <w:widowControl/>
              <w:spacing w:line="240" w:lineRule="exact"/>
              <w:jc w:val="left"/>
              <w:rPr>
                <w:szCs w:val="21"/>
              </w:rPr>
            </w:pPr>
            <w:r>
              <w:rPr>
                <w:rFonts w:ascii="仿宋_GB2312" w:hAnsi="新宋体" w:eastAsia="仿宋_GB2312" w:cs="仿宋_GB2312"/>
                <w:kern w:val="0"/>
                <w:szCs w:val="21"/>
              </w:rPr>
              <w:t>4.符合部门预算批复的用途；</w:t>
            </w:r>
          </w:p>
          <w:p w14:paraId="4FC68A52">
            <w:pPr>
              <w:widowControl/>
              <w:spacing w:line="240" w:lineRule="exact"/>
              <w:jc w:val="left"/>
              <w:rPr>
                <w:szCs w:val="21"/>
              </w:rPr>
            </w:pPr>
            <w:r>
              <w:rPr>
                <w:rFonts w:ascii="仿宋_GB2312" w:hAnsi="新宋体" w:eastAsia="仿宋_GB2312" w:cs="仿宋_GB2312"/>
                <w:kern w:val="0"/>
                <w:szCs w:val="21"/>
              </w:rPr>
              <w:t>5.不存在截留情况；</w:t>
            </w:r>
          </w:p>
          <w:p w14:paraId="57408588">
            <w:pPr>
              <w:widowControl/>
              <w:spacing w:line="240" w:lineRule="exact"/>
              <w:jc w:val="left"/>
              <w:rPr>
                <w:szCs w:val="21"/>
              </w:rPr>
            </w:pPr>
            <w:r>
              <w:rPr>
                <w:rFonts w:ascii="仿宋_GB2312" w:hAnsi="新宋体" w:eastAsia="仿宋_GB2312" w:cs="仿宋_GB2312"/>
                <w:kern w:val="0"/>
                <w:szCs w:val="21"/>
              </w:rPr>
              <w:t>6.不存在挤占情况；</w:t>
            </w:r>
          </w:p>
          <w:p w14:paraId="47572A5E">
            <w:pPr>
              <w:widowControl/>
              <w:spacing w:line="240" w:lineRule="exact"/>
              <w:jc w:val="left"/>
              <w:rPr>
                <w:szCs w:val="21"/>
              </w:rPr>
            </w:pPr>
            <w:r>
              <w:rPr>
                <w:rFonts w:ascii="仿宋_GB2312" w:hAnsi="新宋体" w:eastAsia="仿宋_GB2312" w:cs="仿宋_GB2312"/>
                <w:kern w:val="0"/>
                <w:szCs w:val="21"/>
              </w:rPr>
              <w:t>7.不存在挪用情况；</w:t>
            </w:r>
          </w:p>
          <w:p w14:paraId="066FC722">
            <w:pPr>
              <w:widowControl/>
              <w:spacing w:line="240" w:lineRule="exact"/>
              <w:jc w:val="left"/>
              <w:rPr>
                <w:szCs w:val="21"/>
              </w:rPr>
            </w:pPr>
            <w:r>
              <w:rPr>
                <w:rFonts w:ascii="仿宋_GB2312" w:hAnsi="新宋体" w:eastAsia="仿宋_GB2312" w:cs="仿宋_GB2312"/>
                <w:kern w:val="0"/>
                <w:szCs w:val="21"/>
              </w:rPr>
              <w:t>8.不存在虚列支出情况。</w:t>
            </w:r>
          </w:p>
        </w:tc>
        <w:tc>
          <w:tcPr>
            <w:tcW w:w="2373" w:type="dxa"/>
            <w:tcBorders>
              <w:top w:val="single" w:color="000000" w:sz="4" w:space="0"/>
              <w:left w:val="single" w:color="auto" w:sz="4" w:space="0"/>
              <w:bottom w:val="single" w:color="000000" w:sz="4" w:space="0"/>
              <w:right w:val="single" w:color="auto" w:sz="4" w:space="0"/>
            </w:tcBorders>
            <w:vAlign w:val="center"/>
          </w:tcPr>
          <w:p w14:paraId="55B1CC24">
            <w:pPr>
              <w:widowControl/>
              <w:spacing w:line="240" w:lineRule="exact"/>
              <w:jc w:val="left"/>
              <w:rPr>
                <w:szCs w:val="21"/>
              </w:rPr>
            </w:pPr>
            <w:r>
              <w:rPr>
                <w:rFonts w:ascii="仿宋_GB2312" w:hAnsi="新宋体" w:eastAsia="仿宋_GB2312" w:cs="仿宋_GB2312"/>
                <w:kern w:val="0"/>
                <w:szCs w:val="21"/>
              </w:rPr>
              <w:t>全部符合（8）；</w:t>
            </w:r>
          </w:p>
          <w:p w14:paraId="044F8C8F">
            <w:pPr>
              <w:widowControl/>
              <w:spacing w:line="240" w:lineRule="exact"/>
              <w:jc w:val="left"/>
              <w:rPr>
                <w:szCs w:val="21"/>
              </w:rPr>
            </w:pPr>
            <w:r>
              <w:rPr>
                <w:rFonts w:ascii="仿宋_GB2312" w:hAnsi="新宋体" w:eastAsia="仿宋_GB2312" w:cs="仿宋_GB2312"/>
                <w:kern w:val="0"/>
                <w:szCs w:val="21"/>
              </w:rPr>
              <w:t>符合其中七项（6）；</w:t>
            </w:r>
          </w:p>
          <w:p w14:paraId="734EF201">
            <w:pPr>
              <w:widowControl/>
              <w:spacing w:line="240" w:lineRule="exact"/>
              <w:jc w:val="left"/>
              <w:rPr>
                <w:szCs w:val="21"/>
              </w:rPr>
            </w:pPr>
            <w:r>
              <w:rPr>
                <w:rFonts w:ascii="仿宋_GB2312" w:hAnsi="新宋体" w:eastAsia="仿宋_GB2312" w:cs="仿宋_GB2312"/>
                <w:kern w:val="0"/>
                <w:szCs w:val="21"/>
              </w:rPr>
              <w:t>符合其中六项（4）；</w:t>
            </w:r>
          </w:p>
          <w:p w14:paraId="40BC7A59">
            <w:pPr>
              <w:widowControl/>
              <w:spacing w:line="240" w:lineRule="exact"/>
              <w:jc w:val="left"/>
              <w:rPr>
                <w:szCs w:val="21"/>
              </w:rPr>
            </w:pPr>
            <w:r>
              <w:rPr>
                <w:rFonts w:ascii="仿宋_GB2312" w:hAnsi="新宋体" w:eastAsia="仿宋_GB2312" w:cs="仿宋_GB2312"/>
                <w:kern w:val="0"/>
                <w:szCs w:val="21"/>
              </w:rPr>
              <w:t>符合其中五项（2）；</w:t>
            </w:r>
          </w:p>
          <w:p w14:paraId="6D59671C">
            <w:pPr>
              <w:widowControl/>
              <w:spacing w:line="240" w:lineRule="exact"/>
              <w:jc w:val="left"/>
              <w:rPr>
                <w:szCs w:val="21"/>
              </w:rPr>
            </w:pPr>
            <w:r>
              <w:rPr>
                <w:rFonts w:ascii="仿宋_GB2312" w:hAnsi="新宋体" w:eastAsia="仿宋_GB2312" w:cs="仿宋_GB2312"/>
                <w:kern w:val="0"/>
                <w:szCs w:val="21"/>
              </w:rPr>
              <w:t>符合其中四项及以下（0）。</w:t>
            </w:r>
          </w:p>
        </w:tc>
        <w:tc>
          <w:tcPr>
            <w:tcW w:w="764" w:type="dxa"/>
            <w:tcBorders>
              <w:top w:val="single" w:color="000000" w:sz="4" w:space="0"/>
              <w:left w:val="single" w:color="auto" w:sz="4" w:space="0"/>
              <w:bottom w:val="single" w:color="000000" w:sz="4" w:space="0"/>
              <w:right w:val="single" w:color="000000" w:sz="4" w:space="0"/>
            </w:tcBorders>
            <w:vAlign w:val="center"/>
          </w:tcPr>
          <w:p w14:paraId="6D189BA5">
            <w:pPr>
              <w:widowControl/>
              <w:spacing w:line="240" w:lineRule="exact"/>
              <w:jc w:val="left"/>
              <w:rPr>
                <w:szCs w:val="21"/>
              </w:rPr>
            </w:pPr>
            <w:r>
              <w:rPr>
                <w:rFonts w:hint="eastAsia"/>
                <w:szCs w:val="21"/>
              </w:rPr>
              <w:t>8</w:t>
            </w:r>
          </w:p>
        </w:tc>
      </w:tr>
      <w:tr w14:paraId="73D129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68180EFE">
            <w:pPr>
              <w:spacing w:line="240" w:lineRule="exact"/>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1EA48762">
            <w:pPr>
              <w:spacing w:line="240" w:lineRule="exact"/>
              <w:rPr>
                <w:rFonts w:ascii="宋体"/>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66C0D45D">
            <w:pPr>
              <w:widowControl/>
              <w:spacing w:line="240" w:lineRule="exact"/>
              <w:jc w:val="left"/>
              <w:rPr>
                <w:szCs w:val="21"/>
              </w:rPr>
            </w:pPr>
            <w:r>
              <w:rPr>
                <w:rFonts w:ascii="仿宋_GB2312" w:hAnsi="新宋体" w:eastAsia="仿宋_GB2312" w:cs="仿宋_GB2312"/>
                <w:kern w:val="0"/>
                <w:szCs w:val="21"/>
              </w:rPr>
              <w:t>预决算信息公开性（3</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436" w:type="dxa"/>
            <w:tcBorders>
              <w:top w:val="single" w:color="000000" w:sz="4" w:space="0"/>
              <w:left w:val="single" w:color="auto" w:sz="4" w:space="0"/>
              <w:bottom w:val="single" w:color="000000" w:sz="4" w:space="0"/>
              <w:right w:val="single" w:color="auto" w:sz="4" w:space="0"/>
            </w:tcBorders>
            <w:vAlign w:val="center"/>
          </w:tcPr>
          <w:p w14:paraId="2B45C031">
            <w:pPr>
              <w:widowControl/>
              <w:spacing w:line="240" w:lineRule="exact"/>
              <w:jc w:val="left"/>
              <w:rPr>
                <w:szCs w:val="21"/>
              </w:rPr>
            </w:pPr>
            <w:r>
              <w:rPr>
                <w:rFonts w:ascii="仿宋_GB2312" w:hAnsi="新宋体" w:eastAsia="仿宋_GB2312" w:cs="仿宋_GB2312"/>
                <w:kern w:val="0"/>
                <w:szCs w:val="21"/>
              </w:rPr>
              <w:t>部门是否按照政府信息公开有关规定公开相关预决算信息，用以反映和评价部门预决算管理的公开透明情况。</w:t>
            </w:r>
          </w:p>
          <w:p w14:paraId="40C7CAB1">
            <w:pPr>
              <w:widowControl/>
              <w:spacing w:line="240" w:lineRule="exact"/>
              <w:jc w:val="left"/>
              <w:rPr>
                <w:szCs w:val="21"/>
              </w:rPr>
            </w:pPr>
            <w:r>
              <w:rPr>
                <w:rFonts w:ascii="仿宋_GB2312" w:hAnsi="新宋体" w:eastAsia="仿宋_GB2312" w:cs="仿宋_GB2312"/>
                <w:kern w:val="0"/>
                <w:szCs w:val="21"/>
              </w:rPr>
              <w:t>预决算信息是指与部门预算、执行、决算、监督、绩效等管理相关的信息。</w:t>
            </w:r>
          </w:p>
          <w:p w14:paraId="4A5D0D35">
            <w:pPr>
              <w:widowControl/>
              <w:spacing w:line="240" w:lineRule="exact"/>
              <w:jc w:val="left"/>
              <w:rPr>
                <w:szCs w:val="21"/>
              </w:rPr>
            </w:pPr>
            <w:r>
              <w:rPr>
                <w:rFonts w:ascii="仿宋_GB2312" w:hAnsi="新宋体" w:eastAsia="仿宋_GB2312" w:cs="仿宋_GB2312"/>
                <w:kern w:val="0"/>
                <w:szCs w:val="21"/>
              </w:rPr>
              <w:t>评价要点：</w:t>
            </w:r>
          </w:p>
          <w:p w14:paraId="6DE7375A">
            <w:pPr>
              <w:widowControl/>
              <w:spacing w:line="240" w:lineRule="exact"/>
              <w:jc w:val="left"/>
              <w:rPr>
                <w:szCs w:val="21"/>
              </w:rPr>
            </w:pPr>
            <w:r>
              <w:rPr>
                <w:rFonts w:ascii="仿宋_GB2312" w:hAnsi="新宋体" w:eastAsia="仿宋_GB2312" w:cs="仿宋_GB2312"/>
                <w:kern w:val="0"/>
                <w:szCs w:val="21"/>
              </w:rPr>
              <w:t>1.公开预决算信息；</w:t>
            </w:r>
          </w:p>
          <w:p w14:paraId="4E477F18">
            <w:pPr>
              <w:widowControl/>
              <w:spacing w:line="240" w:lineRule="exact"/>
              <w:jc w:val="left"/>
              <w:rPr>
                <w:szCs w:val="21"/>
              </w:rPr>
            </w:pPr>
            <w:r>
              <w:rPr>
                <w:rFonts w:ascii="仿宋_GB2312" w:hAnsi="新宋体" w:eastAsia="仿宋_GB2312" w:cs="仿宋_GB2312"/>
                <w:kern w:val="0"/>
                <w:szCs w:val="21"/>
              </w:rPr>
              <w:t>2.按规定内容公开预决算信息；</w:t>
            </w:r>
          </w:p>
          <w:p w14:paraId="5357EFB9">
            <w:pPr>
              <w:widowControl/>
              <w:spacing w:line="240" w:lineRule="exact"/>
              <w:jc w:val="left"/>
              <w:rPr>
                <w:szCs w:val="21"/>
              </w:rPr>
            </w:pPr>
            <w:r>
              <w:rPr>
                <w:rFonts w:ascii="仿宋_GB2312" w:hAnsi="新宋体" w:eastAsia="仿宋_GB2312" w:cs="仿宋_GB2312"/>
                <w:kern w:val="0"/>
                <w:szCs w:val="21"/>
              </w:rPr>
              <w:t>3.按规定时限公开预决算信息。</w:t>
            </w:r>
          </w:p>
        </w:tc>
        <w:tc>
          <w:tcPr>
            <w:tcW w:w="2373" w:type="dxa"/>
            <w:tcBorders>
              <w:top w:val="single" w:color="000000" w:sz="4" w:space="0"/>
              <w:left w:val="single" w:color="auto" w:sz="4" w:space="0"/>
              <w:bottom w:val="single" w:color="000000" w:sz="4" w:space="0"/>
              <w:right w:val="single" w:color="auto" w:sz="4" w:space="0"/>
            </w:tcBorders>
            <w:vAlign w:val="center"/>
          </w:tcPr>
          <w:p w14:paraId="1C2BEFD5">
            <w:pPr>
              <w:widowControl/>
              <w:spacing w:line="240" w:lineRule="exact"/>
              <w:jc w:val="left"/>
              <w:rPr>
                <w:szCs w:val="21"/>
              </w:rPr>
            </w:pPr>
            <w:r>
              <w:rPr>
                <w:rFonts w:ascii="仿宋_GB2312" w:hAnsi="新宋体" w:eastAsia="仿宋_GB2312" w:cs="仿宋_GB2312"/>
                <w:kern w:val="0"/>
                <w:szCs w:val="21"/>
              </w:rPr>
              <w:t>全部符合（3）；</w:t>
            </w:r>
          </w:p>
          <w:p w14:paraId="5180F561">
            <w:pPr>
              <w:widowControl/>
              <w:spacing w:line="240" w:lineRule="exact"/>
              <w:jc w:val="left"/>
              <w:rPr>
                <w:szCs w:val="21"/>
              </w:rPr>
            </w:pPr>
            <w:r>
              <w:rPr>
                <w:rFonts w:ascii="仿宋_GB2312" w:hAnsi="新宋体" w:eastAsia="仿宋_GB2312" w:cs="仿宋_GB2312"/>
                <w:kern w:val="0"/>
                <w:szCs w:val="21"/>
              </w:rPr>
              <w:t>符合其中两项（2）</w:t>
            </w:r>
          </w:p>
          <w:p w14:paraId="221D7592">
            <w:pPr>
              <w:widowControl/>
              <w:spacing w:line="240" w:lineRule="exact"/>
              <w:jc w:val="left"/>
              <w:rPr>
                <w:szCs w:val="21"/>
              </w:rPr>
            </w:pPr>
            <w:r>
              <w:rPr>
                <w:rFonts w:ascii="仿宋_GB2312" w:hAnsi="新宋体" w:eastAsia="仿宋_GB2312" w:cs="仿宋_GB2312"/>
                <w:kern w:val="0"/>
                <w:szCs w:val="21"/>
              </w:rPr>
              <w:t>符合其中一项及以下（0）。</w:t>
            </w:r>
          </w:p>
        </w:tc>
        <w:tc>
          <w:tcPr>
            <w:tcW w:w="764" w:type="dxa"/>
            <w:tcBorders>
              <w:top w:val="single" w:color="000000" w:sz="4" w:space="0"/>
              <w:left w:val="single" w:color="auto" w:sz="4" w:space="0"/>
              <w:bottom w:val="single" w:color="000000" w:sz="4" w:space="0"/>
              <w:right w:val="single" w:color="000000" w:sz="4" w:space="0"/>
            </w:tcBorders>
            <w:vAlign w:val="center"/>
          </w:tcPr>
          <w:p w14:paraId="595909B0">
            <w:pPr>
              <w:widowControl/>
              <w:spacing w:line="240" w:lineRule="exact"/>
              <w:jc w:val="left"/>
              <w:rPr>
                <w:szCs w:val="21"/>
              </w:rPr>
            </w:pPr>
            <w:r>
              <w:rPr>
                <w:rFonts w:hint="eastAsia"/>
                <w:szCs w:val="21"/>
              </w:rPr>
              <w:t>3</w:t>
            </w:r>
          </w:p>
        </w:tc>
      </w:tr>
      <w:tr w14:paraId="580AA1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3D050A1D">
            <w:pPr>
              <w:spacing w:line="240" w:lineRule="exact"/>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72DFBA58">
            <w:pPr>
              <w:spacing w:line="240" w:lineRule="exact"/>
              <w:rPr>
                <w:rFonts w:ascii="宋体"/>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7BBAB5BB">
            <w:pPr>
              <w:widowControl/>
              <w:spacing w:line="240" w:lineRule="exact"/>
              <w:jc w:val="left"/>
              <w:rPr>
                <w:szCs w:val="21"/>
              </w:rPr>
            </w:pPr>
            <w:r>
              <w:rPr>
                <w:rFonts w:ascii="仿宋_GB2312" w:hAnsi="新宋体" w:eastAsia="仿宋_GB2312" w:cs="仿宋_GB2312"/>
                <w:color w:val="000000"/>
                <w:kern w:val="0"/>
                <w:szCs w:val="21"/>
              </w:rPr>
              <w:t>基础信息完善性</w:t>
            </w:r>
            <w:r>
              <w:rPr>
                <w:rFonts w:ascii="仿宋_GB2312" w:hAnsi="新宋体" w:eastAsia="仿宋_GB2312" w:cs="仿宋_GB2312"/>
                <w:kern w:val="0"/>
                <w:szCs w:val="21"/>
              </w:rPr>
              <w:t>（4</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436" w:type="dxa"/>
            <w:tcBorders>
              <w:top w:val="single" w:color="000000" w:sz="4" w:space="0"/>
              <w:left w:val="single" w:color="auto" w:sz="4" w:space="0"/>
              <w:bottom w:val="single" w:color="000000" w:sz="4" w:space="0"/>
              <w:right w:val="single" w:color="auto" w:sz="4" w:space="0"/>
            </w:tcBorders>
            <w:vAlign w:val="center"/>
          </w:tcPr>
          <w:p w14:paraId="48B16B12">
            <w:pPr>
              <w:widowControl/>
              <w:spacing w:line="240" w:lineRule="exact"/>
              <w:jc w:val="left"/>
              <w:rPr>
                <w:szCs w:val="21"/>
              </w:rPr>
            </w:pPr>
            <w:r>
              <w:rPr>
                <w:rFonts w:ascii="仿宋_GB2312" w:hAnsi="新宋体" w:eastAsia="仿宋_GB2312" w:cs="仿宋_GB2312"/>
                <w:kern w:val="0"/>
                <w:szCs w:val="21"/>
              </w:rPr>
              <w:t>部门基础信息是否完善，用以反映和评价基础信息对预算管理工作的支撑情况。</w:t>
            </w:r>
          </w:p>
          <w:p w14:paraId="485D5E35">
            <w:pPr>
              <w:widowControl/>
              <w:spacing w:line="240" w:lineRule="exact"/>
              <w:jc w:val="left"/>
              <w:rPr>
                <w:szCs w:val="21"/>
              </w:rPr>
            </w:pPr>
            <w:r>
              <w:rPr>
                <w:rFonts w:ascii="仿宋_GB2312" w:hAnsi="新宋体" w:eastAsia="仿宋_GB2312" w:cs="仿宋_GB2312"/>
                <w:kern w:val="0"/>
                <w:szCs w:val="21"/>
              </w:rPr>
              <w:t>评价要点：</w:t>
            </w:r>
          </w:p>
          <w:p w14:paraId="23130853">
            <w:pPr>
              <w:widowControl/>
              <w:spacing w:line="240" w:lineRule="exact"/>
              <w:jc w:val="left"/>
              <w:rPr>
                <w:szCs w:val="21"/>
              </w:rPr>
            </w:pPr>
            <w:r>
              <w:rPr>
                <w:rFonts w:ascii="仿宋_GB2312" w:hAnsi="新宋体" w:eastAsia="仿宋_GB2312" w:cs="仿宋_GB2312"/>
                <w:kern w:val="0"/>
                <w:szCs w:val="21"/>
              </w:rPr>
              <w:t>1.基本财务管理制度健全；</w:t>
            </w:r>
          </w:p>
          <w:p w14:paraId="55376AC4">
            <w:pPr>
              <w:widowControl/>
              <w:spacing w:line="240" w:lineRule="exact"/>
              <w:jc w:val="left"/>
              <w:rPr>
                <w:szCs w:val="21"/>
              </w:rPr>
            </w:pPr>
            <w:r>
              <w:rPr>
                <w:rFonts w:ascii="仿宋_GB2312" w:hAnsi="新宋体" w:eastAsia="仿宋_GB2312" w:cs="仿宋_GB2312"/>
                <w:kern w:val="0"/>
                <w:szCs w:val="21"/>
              </w:rPr>
              <w:t>2.基础数据信息和会计信息资料真实；</w:t>
            </w:r>
          </w:p>
          <w:p w14:paraId="2E73A592">
            <w:pPr>
              <w:widowControl/>
              <w:spacing w:line="240" w:lineRule="exact"/>
              <w:jc w:val="left"/>
              <w:rPr>
                <w:szCs w:val="21"/>
              </w:rPr>
            </w:pPr>
            <w:r>
              <w:rPr>
                <w:rFonts w:ascii="仿宋_GB2312" w:hAnsi="新宋体" w:eastAsia="仿宋_GB2312" w:cs="仿宋_GB2312"/>
                <w:kern w:val="0"/>
                <w:szCs w:val="21"/>
              </w:rPr>
              <w:t>3.基础数据信息和会计信息资料完整；</w:t>
            </w:r>
          </w:p>
          <w:p w14:paraId="55A8AD1C">
            <w:pPr>
              <w:widowControl/>
              <w:spacing w:line="240" w:lineRule="exact"/>
              <w:jc w:val="left"/>
              <w:rPr>
                <w:szCs w:val="21"/>
              </w:rPr>
            </w:pPr>
            <w:r>
              <w:rPr>
                <w:rFonts w:ascii="仿宋_GB2312" w:hAnsi="新宋体" w:eastAsia="仿宋_GB2312" w:cs="仿宋_GB2312"/>
                <w:kern w:val="0"/>
                <w:szCs w:val="21"/>
              </w:rPr>
              <w:t>4.基础数据信息和会计信息资料准确。</w:t>
            </w:r>
          </w:p>
        </w:tc>
        <w:tc>
          <w:tcPr>
            <w:tcW w:w="2373" w:type="dxa"/>
            <w:tcBorders>
              <w:top w:val="single" w:color="000000" w:sz="4" w:space="0"/>
              <w:left w:val="single" w:color="auto" w:sz="4" w:space="0"/>
              <w:bottom w:val="single" w:color="000000" w:sz="4" w:space="0"/>
              <w:right w:val="single" w:color="auto" w:sz="4" w:space="0"/>
            </w:tcBorders>
            <w:vAlign w:val="center"/>
          </w:tcPr>
          <w:p w14:paraId="48F9C357">
            <w:pPr>
              <w:widowControl/>
              <w:spacing w:line="240" w:lineRule="exact"/>
              <w:jc w:val="left"/>
              <w:rPr>
                <w:szCs w:val="21"/>
              </w:rPr>
            </w:pPr>
            <w:r>
              <w:rPr>
                <w:rFonts w:ascii="仿宋_GB2312" w:hAnsi="新宋体" w:eastAsia="仿宋_GB2312" w:cs="仿宋_GB2312"/>
                <w:kern w:val="0"/>
                <w:szCs w:val="21"/>
              </w:rPr>
              <w:t>符合全部四项（4）；</w:t>
            </w:r>
          </w:p>
          <w:p w14:paraId="762E9511">
            <w:pPr>
              <w:widowControl/>
              <w:spacing w:line="240" w:lineRule="exact"/>
              <w:jc w:val="left"/>
              <w:rPr>
                <w:szCs w:val="21"/>
              </w:rPr>
            </w:pPr>
            <w:r>
              <w:rPr>
                <w:rFonts w:ascii="仿宋_GB2312" w:hAnsi="新宋体" w:eastAsia="仿宋_GB2312" w:cs="仿宋_GB2312"/>
                <w:kern w:val="0"/>
                <w:szCs w:val="21"/>
              </w:rPr>
              <w:t>符合其中三项（2）；</w:t>
            </w:r>
          </w:p>
          <w:p w14:paraId="6B7C881A">
            <w:pPr>
              <w:widowControl/>
              <w:spacing w:line="240" w:lineRule="exact"/>
              <w:jc w:val="left"/>
              <w:rPr>
                <w:szCs w:val="21"/>
              </w:rPr>
            </w:pPr>
            <w:r>
              <w:rPr>
                <w:rFonts w:ascii="仿宋_GB2312" w:hAnsi="新宋体" w:eastAsia="仿宋_GB2312" w:cs="仿宋_GB2312"/>
                <w:kern w:val="0"/>
                <w:szCs w:val="21"/>
              </w:rPr>
              <w:t>符合其中两项（1）；</w:t>
            </w:r>
          </w:p>
          <w:p w14:paraId="63AC8855">
            <w:pPr>
              <w:widowControl/>
              <w:spacing w:line="240" w:lineRule="exact"/>
              <w:jc w:val="left"/>
              <w:rPr>
                <w:szCs w:val="21"/>
              </w:rPr>
            </w:pPr>
            <w:r>
              <w:rPr>
                <w:rFonts w:ascii="仿宋_GB2312" w:hAnsi="新宋体" w:eastAsia="仿宋_GB2312" w:cs="仿宋_GB2312"/>
                <w:kern w:val="0"/>
                <w:szCs w:val="21"/>
              </w:rPr>
              <w:t>符合其中一项及以下（0）。</w:t>
            </w:r>
          </w:p>
        </w:tc>
        <w:tc>
          <w:tcPr>
            <w:tcW w:w="764" w:type="dxa"/>
            <w:tcBorders>
              <w:top w:val="single" w:color="000000" w:sz="4" w:space="0"/>
              <w:left w:val="single" w:color="auto" w:sz="4" w:space="0"/>
              <w:bottom w:val="single" w:color="000000" w:sz="4" w:space="0"/>
              <w:right w:val="single" w:color="000000" w:sz="4" w:space="0"/>
            </w:tcBorders>
            <w:vAlign w:val="center"/>
          </w:tcPr>
          <w:p w14:paraId="696E5093">
            <w:pPr>
              <w:widowControl/>
              <w:spacing w:line="240" w:lineRule="exact"/>
              <w:jc w:val="left"/>
              <w:rPr>
                <w:szCs w:val="21"/>
              </w:rPr>
            </w:pPr>
            <w:r>
              <w:rPr>
                <w:rFonts w:hint="eastAsia"/>
                <w:szCs w:val="21"/>
              </w:rPr>
              <w:t>4</w:t>
            </w:r>
          </w:p>
        </w:tc>
      </w:tr>
      <w:tr w14:paraId="65ECD3D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70286DD6">
            <w:pPr>
              <w:spacing w:line="240" w:lineRule="exact"/>
              <w:rPr>
                <w:rFonts w:ascii="宋体"/>
                <w:szCs w:val="21"/>
              </w:rPr>
            </w:pP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4E0E3097">
            <w:pPr>
              <w:widowControl/>
              <w:spacing w:line="240" w:lineRule="exact"/>
              <w:jc w:val="left"/>
              <w:rPr>
                <w:szCs w:val="21"/>
              </w:rPr>
            </w:pPr>
            <w:r>
              <w:rPr>
                <w:rFonts w:ascii="仿宋_GB2312" w:hAnsi="新宋体" w:eastAsia="仿宋_GB2312" w:cs="仿宋_GB2312"/>
                <w:kern w:val="0"/>
                <w:szCs w:val="21"/>
              </w:rPr>
              <w:t>资产管理</w:t>
            </w:r>
            <w:r>
              <w:rPr>
                <w:rFonts w:hint="eastAsia" w:ascii="仿宋_GB2312" w:hAnsi="新宋体" w:eastAsia="仿宋_GB2312" w:cs="仿宋_GB2312"/>
                <w:kern w:val="0"/>
                <w:szCs w:val="21"/>
              </w:rPr>
              <w:t>情况</w:t>
            </w:r>
            <w:r>
              <w:rPr>
                <w:rFonts w:ascii="仿宋_GB2312" w:hAnsi="新宋体" w:eastAsia="仿宋_GB2312" w:cs="仿宋_GB2312"/>
                <w:kern w:val="0"/>
                <w:szCs w:val="21"/>
              </w:rPr>
              <w:t>（</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1275" w:type="dxa"/>
            <w:tcBorders>
              <w:top w:val="single" w:color="auto" w:sz="4" w:space="0"/>
              <w:left w:val="single" w:color="000000" w:sz="4" w:space="0"/>
              <w:bottom w:val="single" w:color="000000" w:sz="4" w:space="0"/>
              <w:right w:val="single" w:color="auto" w:sz="4" w:space="0"/>
            </w:tcBorders>
            <w:vAlign w:val="center"/>
          </w:tcPr>
          <w:p w14:paraId="4C1BE992">
            <w:pPr>
              <w:widowControl/>
              <w:spacing w:line="240" w:lineRule="exact"/>
              <w:jc w:val="left"/>
              <w:rPr>
                <w:szCs w:val="21"/>
              </w:rPr>
            </w:pPr>
            <w:r>
              <w:rPr>
                <w:rFonts w:ascii="仿宋_GB2312" w:hAnsi="新宋体" w:eastAsia="仿宋_GB2312" w:cs="仿宋_GB2312"/>
                <w:kern w:val="0"/>
                <w:szCs w:val="21"/>
              </w:rPr>
              <w:t>资产管理完整性（</w:t>
            </w:r>
            <w:r>
              <w:rPr>
                <w:rFonts w:hint="eastAsia" w:ascii="仿宋_GB2312" w:hAnsi="新宋体" w:eastAsia="仿宋_GB2312" w:cs="仿宋_GB2312"/>
                <w:kern w:val="0"/>
                <w:szCs w:val="21"/>
              </w:rPr>
              <w:t>2分</w:t>
            </w:r>
            <w:r>
              <w:rPr>
                <w:rFonts w:ascii="仿宋_GB2312" w:hAnsi="新宋体" w:eastAsia="仿宋_GB2312" w:cs="仿宋_GB2312"/>
                <w:kern w:val="0"/>
                <w:szCs w:val="21"/>
              </w:rPr>
              <w:t>）</w:t>
            </w:r>
          </w:p>
        </w:tc>
        <w:tc>
          <w:tcPr>
            <w:tcW w:w="3436" w:type="dxa"/>
            <w:tcBorders>
              <w:top w:val="single" w:color="auto" w:sz="4" w:space="0"/>
              <w:left w:val="single" w:color="auto" w:sz="4" w:space="0"/>
              <w:bottom w:val="single" w:color="000000" w:sz="4" w:space="0"/>
              <w:right w:val="single" w:color="auto" w:sz="4" w:space="0"/>
            </w:tcBorders>
            <w:vAlign w:val="center"/>
          </w:tcPr>
          <w:p w14:paraId="146A4560">
            <w:pPr>
              <w:widowControl/>
              <w:spacing w:line="240" w:lineRule="exact"/>
              <w:jc w:val="left"/>
              <w:rPr>
                <w:szCs w:val="21"/>
              </w:rPr>
            </w:pPr>
            <w:r>
              <w:rPr>
                <w:rFonts w:ascii="仿宋_GB2312" w:hAnsi="新宋体" w:eastAsia="仿宋_GB2312" w:cs="仿宋_GB2312"/>
                <w:kern w:val="0"/>
                <w:szCs w:val="21"/>
              </w:rPr>
              <w:t>部门的资产是否保存完整、使用合规、收入及时足额上缴，用以反映和评价部门资产运行情况。</w:t>
            </w:r>
          </w:p>
          <w:p w14:paraId="520C79C0">
            <w:pPr>
              <w:widowControl/>
              <w:spacing w:line="240" w:lineRule="exact"/>
              <w:jc w:val="left"/>
              <w:rPr>
                <w:szCs w:val="21"/>
              </w:rPr>
            </w:pPr>
            <w:r>
              <w:rPr>
                <w:rFonts w:ascii="仿宋_GB2312" w:hAnsi="新宋体" w:eastAsia="仿宋_GB2312" w:cs="仿宋_GB2312"/>
                <w:kern w:val="0"/>
                <w:szCs w:val="21"/>
              </w:rPr>
              <w:t>评价要点：</w:t>
            </w:r>
          </w:p>
          <w:p w14:paraId="18948C4D">
            <w:pPr>
              <w:widowControl/>
              <w:spacing w:line="240" w:lineRule="exact"/>
              <w:jc w:val="left"/>
              <w:rPr>
                <w:szCs w:val="21"/>
              </w:rPr>
            </w:pPr>
            <w:r>
              <w:rPr>
                <w:rFonts w:ascii="仿宋_GB2312" w:hAnsi="新宋体" w:eastAsia="仿宋_GB2312" w:cs="仿宋_GB2312"/>
                <w:kern w:val="0"/>
                <w:szCs w:val="21"/>
              </w:rPr>
              <w:t>1.资产保存完整；</w:t>
            </w:r>
          </w:p>
          <w:p w14:paraId="4019DD53">
            <w:pPr>
              <w:widowControl/>
              <w:spacing w:line="240" w:lineRule="exact"/>
              <w:jc w:val="left"/>
              <w:rPr>
                <w:szCs w:val="21"/>
              </w:rPr>
            </w:pPr>
            <w:r>
              <w:rPr>
                <w:rFonts w:ascii="仿宋_GB2312" w:hAnsi="新宋体" w:eastAsia="仿宋_GB2312" w:cs="仿宋_GB2312"/>
                <w:kern w:val="0"/>
                <w:szCs w:val="21"/>
              </w:rPr>
              <w:t>2.资产账务管理是否合规，帐实相符；</w:t>
            </w:r>
          </w:p>
          <w:p w14:paraId="26B71CD9">
            <w:pPr>
              <w:widowControl/>
              <w:spacing w:line="240" w:lineRule="exact"/>
              <w:jc w:val="left"/>
              <w:rPr>
                <w:szCs w:val="21"/>
              </w:rPr>
            </w:pPr>
            <w:r>
              <w:rPr>
                <w:rFonts w:ascii="仿宋_GB2312" w:hAnsi="新宋体" w:eastAsia="仿宋_GB2312" w:cs="仿宋_GB2312"/>
                <w:kern w:val="0"/>
                <w:szCs w:val="21"/>
              </w:rPr>
              <w:t>3.资产有偿使用及处置收入及时足额上缴。</w:t>
            </w:r>
          </w:p>
        </w:tc>
        <w:tc>
          <w:tcPr>
            <w:tcW w:w="2373" w:type="dxa"/>
            <w:tcBorders>
              <w:top w:val="single" w:color="auto" w:sz="4" w:space="0"/>
              <w:left w:val="single" w:color="auto" w:sz="4" w:space="0"/>
              <w:bottom w:val="single" w:color="000000" w:sz="4" w:space="0"/>
              <w:right w:val="single" w:color="auto" w:sz="4" w:space="0"/>
            </w:tcBorders>
            <w:vAlign w:val="center"/>
          </w:tcPr>
          <w:p w14:paraId="374F9411">
            <w:pPr>
              <w:widowControl/>
              <w:spacing w:line="240" w:lineRule="exact"/>
              <w:jc w:val="left"/>
              <w:rPr>
                <w:szCs w:val="21"/>
              </w:rPr>
            </w:pPr>
            <w:r>
              <w:rPr>
                <w:rFonts w:ascii="仿宋_GB2312" w:hAnsi="新宋体" w:eastAsia="仿宋_GB2312" w:cs="仿宋_GB2312"/>
                <w:kern w:val="0"/>
                <w:szCs w:val="21"/>
              </w:rPr>
              <w:t>符合全部三项（3）；</w:t>
            </w:r>
          </w:p>
          <w:p w14:paraId="4133BB49">
            <w:pPr>
              <w:widowControl/>
              <w:spacing w:line="240" w:lineRule="exact"/>
              <w:jc w:val="left"/>
              <w:rPr>
                <w:szCs w:val="21"/>
              </w:rPr>
            </w:pPr>
            <w:r>
              <w:rPr>
                <w:rFonts w:ascii="仿宋_GB2312" w:hAnsi="新宋体" w:eastAsia="仿宋_GB2312" w:cs="仿宋_GB2312"/>
                <w:kern w:val="0"/>
                <w:szCs w:val="21"/>
              </w:rPr>
              <w:t>符合其中两项（2）；</w:t>
            </w:r>
          </w:p>
          <w:p w14:paraId="515DF098">
            <w:pPr>
              <w:widowControl/>
              <w:spacing w:line="240" w:lineRule="exact"/>
              <w:jc w:val="left"/>
              <w:rPr>
                <w:szCs w:val="21"/>
              </w:rPr>
            </w:pPr>
            <w:r>
              <w:rPr>
                <w:rFonts w:ascii="仿宋_GB2312" w:hAnsi="新宋体" w:eastAsia="仿宋_GB2312" w:cs="仿宋_GB2312"/>
                <w:kern w:val="0"/>
                <w:szCs w:val="21"/>
              </w:rPr>
              <w:t>符合其中一项（1）；</w:t>
            </w:r>
          </w:p>
          <w:p w14:paraId="6B4A3821">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符合零项（0）。</w:t>
            </w:r>
          </w:p>
        </w:tc>
        <w:tc>
          <w:tcPr>
            <w:tcW w:w="764" w:type="dxa"/>
            <w:tcBorders>
              <w:top w:val="single" w:color="auto" w:sz="4" w:space="0"/>
              <w:left w:val="single" w:color="auto" w:sz="4" w:space="0"/>
              <w:bottom w:val="single" w:color="000000" w:sz="4" w:space="0"/>
              <w:right w:val="single" w:color="000000" w:sz="4" w:space="0"/>
            </w:tcBorders>
            <w:vAlign w:val="center"/>
          </w:tcPr>
          <w:p w14:paraId="0C1DFCD9">
            <w:pPr>
              <w:widowControl/>
              <w:spacing w:line="240" w:lineRule="exact"/>
              <w:jc w:val="left"/>
              <w:rPr>
                <w:szCs w:val="21"/>
              </w:rPr>
            </w:pPr>
            <w:r>
              <w:rPr>
                <w:rFonts w:hint="eastAsia"/>
                <w:szCs w:val="21"/>
              </w:rPr>
              <w:t>2</w:t>
            </w:r>
          </w:p>
        </w:tc>
      </w:tr>
      <w:tr w14:paraId="074D2F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56DC3CF9">
            <w:pPr>
              <w:spacing w:line="240" w:lineRule="exact"/>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07D5C7D1">
            <w:pPr>
              <w:spacing w:line="240" w:lineRule="exact"/>
              <w:rPr>
                <w:rFonts w:ascii="宋体"/>
                <w:szCs w:val="21"/>
              </w:rPr>
            </w:pPr>
          </w:p>
        </w:tc>
        <w:tc>
          <w:tcPr>
            <w:tcW w:w="1275" w:type="dxa"/>
            <w:tcBorders>
              <w:top w:val="single" w:color="auto" w:sz="4" w:space="0"/>
              <w:left w:val="single" w:color="000000" w:sz="4" w:space="0"/>
              <w:bottom w:val="single" w:color="000000" w:sz="4" w:space="0"/>
              <w:right w:val="single" w:color="auto" w:sz="4" w:space="0"/>
            </w:tcBorders>
            <w:vAlign w:val="center"/>
          </w:tcPr>
          <w:p w14:paraId="47E500D3">
            <w:pPr>
              <w:widowControl/>
              <w:spacing w:line="240" w:lineRule="exact"/>
              <w:jc w:val="left"/>
              <w:rPr>
                <w:szCs w:val="21"/>
              </w:rPr>
            </w:pPr>
            <w:r>
              <w:rPr>
                <w:rFonts w:ascii="仿宋_GB2312" w:hAnsi="新宋体" w:eastAsia="仿宋_GB2312" w:cs="仿宋_GB2312"/>
                <w:kern w:val="0"/>
                <w:szCs w:val="21"/>
              </w:rPr>
              <w:t>固定资产利用率（</w:t>
            </w:r>
            <w:r>
              <w:rPr>
                <w:rFonts w:hint="eastAsia" w:ascii="仿宋_GB2312" w:hAnsi="新宋体" w:eastAsia="仿宋_GB2312" w:cs="仿宋_GB2312"/>
                <w:kern w:val="0"/>
                <w:szCs w:val="21"/>
              </w:rPr>
              <w:t>3分</w:t>
            </w:r>
            <w:r>
              <w:rPr>
                <w:rFonts w:ascii="仿宋_GB2312" w:hAnsi="新宋体" w:eastAsia="仿宋_GB2312" w:cs="仿宋_GB2312"/>
                <w:kern w:val="0"/>
                <w:szCs w:val="21"/>
              </w:rPr>
              <w:t>）</w:t>
            </w:r>
          </w:p>
        </w:tc>
        <w:tc>
          <w:tcPr>
            <w:tcW w:w="3436" w:type="dxa"/>
            <w:tcBorders>
              <w:top w:val="single" w:color="auto" w:sz="4" w:space="0"/>
              <w:left w:val="single" w:color="auto" w:sz="4" w:space="0"/>
              <w:bottom w:val="single" w:color="000000" w:sz="4" w:space="0"/>
              <w:right w:val="single" w:color="auto" w:sz="4" w:space="0"/>
            </w:tcBorders>
            <w:vAlign w:val="center"/>
          </w:tcPr>
          <w:p w14:paraId="65AACBCD">
            <w:pPr>
              <w:widowControl/>
              <w:spacing w:line="240" w:lineRule="exact"/>
              <w:jc w:val="left"/>
              <w:rPr>
                <w:szCs w:val="21"/>
              </w:rPr>
            </w:pPr>
            <w:r>
              <w:rPr>
                <w:rFonts w:ascii="仿宋_GB2312" w:hAnsi="新宋体" w:eastAsia="仿宋_GB2312" w:cs="仿宋_GB2312"/>
                <w:kern w:val="0"/>
                <w:szCs w:val="21"/>
              </w:rPr>
              <w:t>部门实际在用固定资产总额与所有固定资产总额的比率，用以反映和评价部门固定资产使用效率。</w:t>
            </w:r>
          </w:p>
          <w:p w14:paraId="6C6BF430">
            <w:pPr>
              <w:widowControl/>
              <w:spacing w:line="240" w:lineRule="exact"/>
              <w:jc w:val="left"/>
              <w:rPr>
                <w:szCs w:val="21"/>
              </w:rPr>
            </w:pPr>
            <w:r>
              <w:rPr>
                <w:rFonts w:ascii="仿宋_GB2312" w:hAnsi="新宋体" w:eastAsia="仿宋_GB2312" w:cs="仿宋_GB2312"/>
                <w:kern w:val="0"/>
                <w:szCs w:val="21"/>
              </w:rPr>
              <w:t>固定资产利用率=（实际在用固定资产总额/所有固定资产总额）×100%。</w:t>
            </w:r>
          </w:p>
        </w:tc>
        <w:tc>
          <w:tcPr>
            <w:tcW w:w="2373" w:type="dxa"/>
            <w:tcBorders>
              <w:top w:val="single" w:color="auto" w:sz="4" w:space="0"/>
              <w:left w:val="single" w:color="auto" w:sz="4" w:space="0"/>
              <w:bottom w:val="single" w:color="000000" w:sz="4" w:space="0"/>
              <w:right w:val="single" w:color="auto" w:sz="4" w:space="0"/>
            </w:tcBorders>
            <w:vAlign w:val="center"/>
          </w:tcPr>
          <w:p w14:paraId="7668B0E2">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1.固定资产利用率大于或等于95%的，得满分；</w:t>
            </w:r>
          </w:p>
          <w:p w14:paraId="26AAB23B">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2.固定资产利用率小于或等于85%的，得0分；</w:t>
            </w:r>
          </w:p>
          <w:p w14:paraId="7A58D983">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3.固定资产利用率在85%-95%之间的，在0和满分之间计算确定：</w:t>
            </w:r>
          </w:p>
          <w:p w14:paraId="065A6C5C">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得分=［某部门固定资产利用率-min（固定资产利用率）］/［max（固定资产利用率）-min（固定资产利用率）］×该指标分值。</w:t>
            </w:r>
          </w:p>
        </w:tc>
        <w:tc>
          <w:tcPr>
            <w:tcW w:w="764" w:type="dxa"/>
            <w:tcBorders>
              <w:top w:val="single" w:color="auto" w:sz="4" w:space="0"/>
              <w:left w:val="single" w:color="auto" w:sz="4" w:space="0"/>
              <w:bottom w:val="single" w:color="000000" w:sz="4" w:space="0"/>
              <w:right w:val="single" w:color="000000" w:sz="4" w:space="0"/>
            </w:tcBorders>
            <w:vAlign w:val="center"/>
          </w:tcPr>
          <w:p w14:paraId="54BBB33B">
            <w:pPr>
              <w:widowControl/>
              <w:spacing w:line="240" w:lineRule="exact"/>
              <w:jc w:val="left"/>
              <w:rPr>
                <w:szCs w:val="21"/>
              </w:rPr>
            </w:pPr>
            <w:r>
              <w:rPr>
                <w:rFonts w:hint="eastAsia"/>
                <w:szCs w:val="21"/>
              </w:rPr>
              <w:t>3</w:t>
            </w:r>
          </w:p>
        </w:tc>
      </w:tr>
      <w:tr w14:paraId="6768160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14:paraId="77368994">
            <w:pPr>
              <w:widowControl/>
              <w:spacing w:line="240" w:lineRule="exact"/>
              <w:jc w:val="left"/>
              <w:rPr>
                <w:szCs w:val="21"/>
              </w:rPr>
            </w:pPr>
            <w:r>
              <w:rPr>
                <w:rFonts w:ascii="仿宋_GB2312" w:hAnsi="新宋体" w:eastAsia="仿宋_GB2312" w:cs="仿宋_GB2312"/>
                <w:kern w:val="0"/>
                <w:szCs w:val="21"/>
              </w:rPr>
              <w:t>产出(2</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32747F7C">
            <w:pPr>
              <w:widowControl/>
              <w:spacing w:line="240" w:lineRule="exact"/>
              <w:jc w:val="left"/>
              <w:rPr>
                <w:szCs w:val="21"/>
              </w:rPr>
            </w:pPr>
            <w:r>
              <w:rPr>
                <w:rFonts w:ascii="仿宋_GB2312" w:hAnsi="新宋体" w:eastAsia="仿宋_GB2312" w:cs="仿宋_GB2312"/>
                <w:kern w:val="0"/>
                <w:szCs w:val="21"/>
              </w:rPr>
              <w:t>职责履行</w:t>
            </w:r>
            <w:r>
              <w:rPr>
                <w:rFonts w:hint="eastAsia" w:ascii="仿宋_GB2312" w:hAnsi="新宋体" w:eastAsia="仿宋_GB2312" w:cs="仿宋_GB2312"/>
                <w:kern w:val="0"/>
                <w:szCs w:val="21"/>
              </w:rPr>
              <w:t>情况</w:t>
            </w:r>
            <w:r>
              <w:rPr>
                <w:rFonts w:ascii="仿宋_GB2312" w:hAnsi="新宋体" w:eastAsia="仿宋_GB2312" w:cs="仿宋_GB2312"/>
                <w:kern w:val="0"/>
                <w:szCs w:val="21"/>
              </w:rPr>
              <w:t>（2</w:t>
            </w:r>
            <w:r>
              <w:rPr>
                <w:rFonts w:hint="eastAsia" w:ascii="仿宋_GB2312" w:hAnsi="新宋体" w:eastAsia="仿宋_GB2312" w:cs="仿宋_GB2312"/>
                <w:kern w:val="0"/>
                <w:szCs w:val="21"/>
              </w:rPr>
              <w:t>5</w:t>
            </w:r>
            <w:r>
              <w:rPr>
                <w:rFonts w:ascii="仿宋_GB2312" w:hAnsi="新宋体" w:eastAsia="仿宋_GB2312" w:cs="仿宋_GB2312"/>
                <w:kern w:val="0"/>
                <w:szCs w:val="21"/>
              </w:rPr>
              <w:t>）</w:t>
            </w:r>
          </w:p>
        </w:tc>
        <w:tc>
          <w:tcPr>
            <w:tcW w:w="1275" w:type="dxa"/>
            <w:tcBorders>
              <w:top w:val="single" w:color="000000" w:sz="4" w:space="0"/>
              <w:left w:val="single" w:color="000000" w:sz="4" w:space="0"/>
              <w:bottom w:val="single" w:color="auto" w:sz="4" w:space="0"/>
              <w:right w:val="single" w:color="auto" w:sz="4" w:space="0"/>
            </w:tcBorders>
            <w:vAlign w:val="center"/>
          </w:tcPr>
          <w:p w14:paraId="7F000A9B">
            <w:pPr>
              <w:widowControl/>
              <w:spacing w:line="240" w:lineRule="exact"/>
              <w:jc w:val="left"/>
              <w:rPr>
                <w:szCs w:val="21"/>
              </w:rPr>
            </w:pPr>
            <w:r>
              <w:rPr>
                <w:rFonts w:hint="eastAsia" w:ascii="仿宋_GB2312" w:hAnsi="新宋体" w:eastAsia="仿宋_GB2312" w:cs="仿宋_GB2312"/>
                <w:kern w:val="0"/>
                <w:szCs w:val="21"/>
              </w:rPr>
              <w:t>履职完成情况</w:t>
            </w:r>
            <w:r>
              <w:rPr>
                <w:rFonts w:ascii="仿宋_GB2312" w:hAnsi="新宋体" w:eastAsia="仿宋_GB2312" w:cs="仿宋_GB2312"/>
                <w:kern w:val="0"/>
                <w:szCs w:val="21"/>
              </w:rPr>
              <w:t>（</w:t>
            </w:r>
            <w:r>
              <w:rPr>
                <w:rFonts w:hint="eastAsia" w:ascii="仿宋_GB2312" w:hAnsi="新宋体" w:eastAsia="仿宋_GB2312" w:cs="仿宋_GB2312"/>
                <w:kern w:val="0"/>
                <w:szCs w:val="21"/>
              </w:rPr>
              <w:t>10分</w:t>
            </w:r>
            <w:r>
              <w:rPr>
                <w:rFonts w:ascii="仿宋_GB2312" w:hAnsi="新宋体" w:eastAsia="仿宋_GB2312" w:cs="仿宋_GB2312"/>
                <w:kern w:val="0"/>
                <w:szCs w:val="21"/>
              </w:rPr>
              <w:t>）</w:t>
            </w:r>
          </w:p>
        </w:tc>
        <w:tc>
          <w:tcPr>
            <w:tcW w:w="3436" w:type="dxa"/>
            <w:tcBorders>
              <w:top w:val="single" w:color="000000" w:sz="4" w:space="0"/>
              <w:left w:val="single" w:color="auto" w:sz="4" w:space="0"/>
              <w:bottom w:val="single" w:color="auto" w:sz="4" w:space="0"/>
              <w:right w:val="single" w:color="auto" w:sz="4" w:space="0"/>
            </w:tcBorders>
            <w:vAlign w:val="center"/>
          </w:tcPr>
          <w:p w14:paraId="0BF25EB7">
            <w:pPr>
              <w:widowControl/>
              <w:spacing w:line="240" w:lineRule="exact"/>
              <w:jc w:val="left"/>
              <w:textAlignment w:val="center"/>
              <w:rPr>
                <w:szCs w:val="21"/>
              </w:rPr>
            </w:pPr>
            <w:r>
              <w:rPr>
                <w:rFonts w:hint="eastAsia" w:ascii="仿宋" w:hAnsi="仿宋" w:eastAsia="仿宋" w:cs="仿宋"/>
                <w:color w:val="000000"/>
                <w:kern w:val="0"/>
                <w:szCs w:val="21"/>
              </w:rPr>
              <w:t>根据年度主要任务分解表</w:t>
            </w:r>
            <w:r>
              <w:rPr>
                <w:rFonts w:hint="eastAsia" w:ascii="仿宋" w:hAnsi="仿宋" w:eastAsia="仿宋" w:cs="仿宋"/>
                <w:color w:val="000000"/>
                <w:kern w:val="0"/>
                <w:szCs w:val="21"/>
                <w:lang w:eastAsia="zh-CN"/>
              </w:rPr>
              <w:t>的</w:t>
            </w:r>
            <w:r>
              <w:rPr>
                <w:rFonts w:hint="eastAsia" w:ascii="仿宋" w:hAnsi="仿宋" w:eastAsia="仿宋" w:cs="仿宋"/>
                <w:color w:val="000000"/>
                <w:kern w:val="0"/>
                <w:szCs w:val="21"/>
              </w:rPr>
              <w:t>具体任务，逐项评价任务量化指标完成情况、实施效果和责任制建立情况。用以反映和考核部门（单位）履职工作任务目标的完成情况。评价要点：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1.每项任务是否已制定了明确、具体、可量化、可衡量的绩效指标；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2.每项任务绩效指标的完成情况，是全部完成、基本完成、未完成，还是未实施；</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3.每项任务实施效果情况，是优秀、良好、一般，还是无效果；</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4.每项任务是否建立了目标责任制，是否落实到具体部门和人员负责。</w:t>
            </w:r>
          </w:p>
        </w:tc>
        <w:tc>
          <w:tcPr>
            <w:tcW w:w="2373" w:type="dxa"/>
            <w:tcBorders>
              <w:top w:val="single" w:color="000000" w:sz="4" w:space="0"/>
              <w:left w:val="single" w:color="auto" w:sz="4" w:space="0"/>
              <w:bottom w:val="single" w:color="auto" w:sz="4" w:space="0"/>
              <w:right w:val="single" w:color="auto" w:sz="4" w:space="0"/>
            </w:tcBorders>
            <w:vAlign w:val="center"/>
          </w:tcPr>
          <w:p w14:paraId="2F033028">
            <w:pPr>
              <w:widowControl/>
              <w:spacing w:line="240" w:lineRule="exact"/>
              <w:jc w:val="left"/>
              <w:textAlignment w:val="center"/>
              <w:rPr>
                <w:szCs w:val="21"/>
              </w:rPr>
            </w:pPr>
            <w:r>
              <w:rPr>
                <w:rFonts w:hint="eastAsia" w:ascii="仿宋" w:hAnsi="仿宋" w:eastAsia="仿宋" w:cs="仿宋"/>
                <w:color w:val="000000"/>
                <w:kern w:val="0"/>
                <w:szCs w:val="21"/>
              </w:rPr>
              <w:t>根据不同部门履职的内容和特点，具体测算部门履职工作任务目标的完成情况。</w:t>
            </w:r>
          </w:p>
        </w:tc>
        <w:tc>
          <w:tcPr>
            <w:tcW w:w="764" w:type="dxa"/>
            <w:tcBorders>
              <w:top w:val="single" w:color="000000" w:sz="4" w:space="0"/>
              <w:left w:val="single" w:color="auto" w:sz="4" w:space="0"/>
              <w:bottom w:val="single" w:color="auto" w:sz="4" w:space="0"/>
              <w:right w:val="single" w:color="000000" w:sz="4" w:space="0"/>
            </w:tcBorders>
            <w:vAlign w:val="center"/>
          </w:tcPr>
          <w:p w14:paraId="73DA670E">
            <w:pPr>
              <w:widowControl/>
              <w:spacing w:line="240" w:lineRule="exact"/>
              <w:jc w:val="left"/>
              <w:rPr>
                <w:szCs w:val="21"/>
              </w:rPr>
            </w:pPr>
            <w:r>
              <w:rPr>
                <w:rFonts w:hint="eastAsia"/>
                <w:szCs w:val="21"/>
              </w:rPr>
              <w:t>10</w:t>
            </w:r>
          </w:p>
        </w:tc>
      </w:tr>
      <w:tr w14:paraId="608DB14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9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0EF92426">
            <w:pPr>
              <w:spacing w:line="240" w:lineRule="exact"/>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779F4B51">
            <w:pPr>
              <w:spacing w:line="240" w:lineRule="exact"/>
              <w:rPr>
                <w:rFonts w:ascii="宋体"/>
                <w:szCs w:val="21"/>
              </w:rPr>
            </w:pPr>
          </w:p>
        </w:tc>
        <w:tc>
          <w:tcPr>
            <w:tcW w:w="1275" w:type="dxa"/>
            <w:tcBorders>
              <w:top w:val="single" w:color="000000" w:sz="4" w:space="0"/>
              <w:left w:val="single" w:color="000000" w:sz="4" w:space="0"/>
              <w:right w:val="single" w:color="auto" w:sz="4" w:space="0"/>
            </w:tcBorders>
            <w:vAlign w:val="center"/>
          </w:tcPr>
          <w:p w14:paraId="3893697C">
            <w:pPr>
              <w:widowControl/>
              <w:spacing w:line="240" w:lineRule="exact"/>
              <w:jc w:val="left"/>
              <w:rPr>
                <w:szCs w:val="21"/>
              </w:rPr>
            </w:pPr>
            <w:r>
              <w:rPr>
                <w:rFonts w:ascii="仿宋_GB2312" w:hAnsi="新宋体" w:eastAsia="仿宋_GB2312" w:cs="仿宋_GB2312"/>
                <w:kern w:val="0"/>
                <w:szCs w:val="21"/>
              </w:rPr>
              <w:t>项目</w:t>
            </w:r>
            <w:r>
              <w:rPr>
                <w:rFonts w:hint="eastAsia" w:ascii="仿宋_GB2312" w:hAnsi="新宋体" w:eastAsia="仿宋_GB2312" w:cs="仿宋_GB2312"/>
                <w:kern w:val="0"/>
                <w:szCs w:val="21"/>
              </w:rPr>
              <w:t>完成</w:t>
            </w:r>
            <w:r>
              <w:rPr>
                <w:rFonts w:ascii="仿宋_GB2312" w:hAnsi="新宋体" w:eastAsia="仿宋_GB2312" w:cs="仿宋_GB2312"/>
                <w:kern w:val="0"/>
                <w:szCs w:val="21"/>
              </w:rPr>
              <w:t>质量达标率（</w:t>
            </w:r>
            <w:r>
              <w:rPr>
                <w:rFonts w:hint="eastAsia" w:ascii="仿宋_GB2312" w:hAnsi="新宋体" w:eastAsia="仿宋_GB2312" w:cs="仿宋_GB2312"/>
                <w:kern w:val="0"/>
                <w:szCs w:val="21"/>
              </w:rPr>
              <w:t>15</w:t>
            </w:r>
            <w:r>
              <w:rPr>
                <w:rFonts w:ascii="仿宋_GB2312" w:hAnsi="新宋体" w:eastAsia="仿宋_GB2312" w:cs="仿宋_GB2312"/>
                <w:kern w:val="0"/>
                <w:szCs w:val="21"/>
              </w:rPr>
              <w:t>）</w:t>
            </w:r>
          </w:p>
        </w:tc>
        <w:tc>
          <w:tcPr>
            <w:tcW w:w="3436" w:type="dxa"/>
            <w:tcBorders>
              <w:top w:val="single" w:color="000000" w:sz="4" w:space="0"/>
              <w:left w:val="single" w:color="auto" w:sz="4" w:space="0"/>
              <w:right w:val="single" w:color="auto" w:sz="4" w:space="0"/>
            </w:tcBorders>
            <w:vAlign w:val="center"/>
          </w:tcPr>
          <w:p w14:paraId="6187DAE6">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部门已完成项目中质量达标项目个数占已完成项目个数的比率,用以反映和评价部门履职质量目标的实现程度。</w:t>
            </w:r>
          </w:p>
          <w:p w14:paraId="5A99081B">
            <w:pPr>
              <w:widowControl/>
              <w:spacing w:line="240" w:lineRule="exact"/>
              <w:jc w:val="left"/>
              <w:rPr>
                <w:szCs w:val="21"/>
              </w:rPr>
            </w:pPr>
            <w:r>
              <w:rPr>
                <w:rFonts w:ascii="仿宋_GB2312" w:hAnsi="新宋体" w:eastAsia="仿宋_GB2312" w:cs="仿宋_GB2312"/>
                <w:kern w:val="0"/>
                <w:szCs w:val="21"/>
              </w:rPr>
              <w:t>项目质量达标率=（已完成项目中质量达标项目个数/已完成项目个数）×100%。</w:t>
            </w:r>
          </w:p>
          <w:p w14:paraId="60EAA7C6">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项目质量达标是指项目决算验收合格。</w:t>
            </w:r>
          </w:p>
        </w:tc>
        <w:tc>
          <w:tcPr>
            <w:tcW w:w="2373" w:type="dxa"/>
            <w:tcBorders>
              <w:top w:val="single" w:color="000000" w:sz="4" w:space="0"/>
              <w:left w:val="single" w:color="auto" w:sz="4" w:space="0"/>
              <w:right w:val="single" w:color="auto" w:sz="4" w:space="0"/>
            </w:tcBorders>
            <w:vAlign w:val="center"/>
          </w:tcPr>
          <w:p w14:paraId="256A6273">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1.项目质量达标率等于100%的，得满分；</w:t>
            </w:r>
          </w:p>
          <w:p w14:paraId="53D4A740">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2.项目质量达标率小于或等于99%的，得0分；</w:t>
            </w:r>
          </w:p>
          <w:p w14:paraId="4B4414B8">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 xml:space="preserve">3.项目质量达标率在99%-100%之间的，在0和满分之间计算确定： </w:t>
            </w:r>
          </w:p>
          <w:p w14:paraId="00D9A70D">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得分=［某部门项目质量达标率-min（项目质量达标率）］/［max（项目质量达标率）-min（项目质量达标率）］×该指标分值。</w:t>
            </w:r>
          </w:p>
        </w:tc>
        <w:tc>
          <w:tcPr>
            <w:tcW w:w="764" w:type="dxa"/>
            <w:tcBorders>
              <w:top w:val="single" w:color="000000" w:sz="4" w:space="0"/>
              <w:left w:val="single" w:color="auto" w:sz="4" w:space="0"/>
              <w:bottom w:val="single" w:color="auto" w:sz="4" w:space="0"/>
              <w:right w:val="single" w:color="000000" w:sz="4" w:space="0"/>
            </w:tcBorders>
            <w:vAlign w:val="center"/>
          </w:tcPr>
          <w:p w14:paraId="0B338609">
            <w:pPr>
              <w:widowControl/>
              <w:spacing w:line="240" w:lineRule="exact"/>
              <w:jc w:val="left"/>
              <w:rPr>
                <w:szCs w:val="21"/>
              </w:rPr>
            </w:pPr>
            <w:r>
              <w:rPr>
                <w:rFonts w:hint="eastAsia"/>
                <w:szCs w:val="21"/>
              </w:rPr>
              <w:t>15</w:t>
            </w:r>
          </w:p>
        </w:tc>
      </w:tr>
      <w:tr w14:paraId="49F808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14:paraId="680C82DC">
            <w:pPr>
              <w:widowControl/>
              <w:spacing w:line="240" w:lineRule="exact"/>
              <w:jc w:val="left"/>
              <w:rPr>
                <w:szCs w:val="21"/>
              </w:rPr>
            </w:pPr>
            <w:r>
              <w:rPr>
                <w:rFonts w:ascii="仿宋_GB2312" w:hAnsi="新宋体" w:eastAsia="仿宋_GB2312" w:cs="仿宋_GB2312"/>
                <w:kern w:val="0"/>
                <w:szCs w:val="21"/>
              </w:rPr>
              <w:t>效果（</w:t>
            </w:r>
            <w:r>
              <w:rPr>
                <w:rFonts w:hint="eastAsia" w:ascii="仿宋_GB2312" w:hAnsi="新宋体" w:eastAsia="仿宋_GB2312" w:cs="仿宋_GB2312"/>
                <w:kern w:val="0"/>
                <w:szCs w:val="21"/>
              </w:rPr>
              <w:t>2</w:t>
            </w:r>
            <w:r>
              <w:rPr>
                <w:rFonts w:ascii="仿宋_GB2312" w:hAnsi="新宋体" w:eastAsia="仿宋_GB2312" w:cs="仿宋_GB2312"/>
                <w:kern w:val="0"/>
                <w:szCs w:val="21"/>
              </w:rPr>
              <w:t>0</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743" w:type="dxa"/>
            <w:vMerge w:val="restart"/>
            <w:tcBorders>
              <w:top w:val="single" w:color="auto" w:sz="4" w:space="0"/>
              <w:left w:val="single" w:color="000000" w:sz="4" w:space="0"/>
              <w:right w:val="single" w:color="000000" w:sz="4" w:space="0"/>
            </w:tcBorders>
            <w:vAlign w:val="center"/>
          </w:tcPr>
          <w:p w14:paraId="7C1C4B21">
            <w:pPr>
              <w:widowControl/>
              <w:spacing w:line="240" w:lineRule="exact"/>
              <w:jc w:val="left"/>
              <w:rPr>
                <w:rFonts w:ascii="仿宋_GB2312" w:hAnsi="新宋体" w:eastAsia="仿宋_GB2312" w:cs="仿宋_GB2312"/>
                <w:kern w:val="0"/>
                <w:szCs w:val="21"/>
              </w:rPr>
            </w:pPr>
          </w:p>
          <w:p w14:paraId="7042B9F7">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履职效益情况</w:t>
            </w:r>
          </w:p>
          <w:p w14:paraId="05548F6B">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2</w:t>
            </w:r>
            <w:r>
              <w:rPr>
                <w:rFonts w:ascii="仿宋_GB2312" w:hAnsi="新宋体" w:eastAsia="仿宋_GB2312" w:cs="仿宋_GB2312"/>
                <w:kern w:val="0"/>
                <w:szCs w:val="21"/>
              </w:rPr>
              <w:t>0</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1275" w:type="dxa"/>
            <w:tcBorders>
              <w:top w:val="single" w:color="000000" w:sz="4" w:space="0"/>
              <w:left w:val="single" w:color="000000" w:sz="4" w:space="0"/>
              <w:bottom w:val="single" w:color="000000" w:sz="4" w:space="0"/>
              <w:right w:val="single" w:color="auto" w:sz="4" w:space="0"/>
            </w:tcBorders>
            <w:vAlign w:val="center"/>
          </w:tcPr>
          <w:p w14:paraId="4CB44771">
            <w:pPr>
              <w:widowControl/>
              <w:spacing w:line="240" w:lineRule="exact"/>
              <w:jc w:val="left"/>
              <w:rPr>
                <w:szCs w:val="21"/>
              </w:rPr>
            </w:pPr>
            <w:r>
              <w:rPr>
                <w:rFonts w:hint="eastAsia" w:ascii="仿宋_GB2312" w:hAnsi="新宋体" w:eastAsia="仿宋_GB2312" w:cs="仿宋_GB2312"/>
                <w:color w:val="000000"/>
                <w:kern w:val="0"/>
                <w:szCs w:val="21"/>
              </w:rPr>
              <w:t>经济效益</w:t>
            </w:r>
            <w:r>
              <w:rPr>
                <w:rFonts w:ascii="仿宋_GB2312" w:hAnsi="新宋体" w:eastAsia="仿宋_GB2312" w:cs="仿宋_GB2312"/>
                <w:kern w:val="0"/>
                <w:szCs w:val="21"/>
              </w:rPr>
              <w:t>（5</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436" w:type="dxa"/>
            <w:tcBorders>
              <w:top w:val="single" w:color="000000" w:sz="4" w:space="0"/>
              <w:left w:val="single" w:color="auto" w:sz="4" w:space="0"/>
              <w:bottom w:val="single" w:color="000000" w:sz="4" w:space="0"/>
              <w:right w:val="single" w:color="auto" w:sz="4" w:space="0"/>
            </w:tcBorders>
            <w:vAlign w:val="center"/>
          </w:tcPr>
          <w:p w14:paraId="0181305F">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部门及所属二级单位通过履行职责和预算安排支出项目的实施，对我市带来的经济影响。</w:t>
            </w:r>
          </w:p>
          <w:p w14:paraId="7B4B2FFD">
            <w:pPr>
              <w:widowControl/>
              <w:spacing w:line="240" w:lineRule="exact"/>
              <w:jc w:val="left"/>
              <w:textAlignment w:val="center"/>
              <w:rPr>
                <w:rFonts w:ascii="仿宋" w:hAnsi="仿宋" w:eastAsia="仿宋" w:cs="仿宋"/>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1.通过部门所属企事业单位改革，促进了企事业单位效益增长情况；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2.通过预算支出项目的实施，促进了行业生产能力增长，从而带动行业经济效益增长；</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3.通过预算支出项目的实施，有效提高劳动效率，节约成本费用；</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4.通过预算支出项目的实施，降低了损耗，从而提高了生产效益；</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5.通过预算支出项目的实施，完善了突发情况的监测预警，保障了生产安全，降低了生产损失。</w:t>
            </w:r>
          </w:p>
        </w:tc>
        <w:tc>
          <w:tcPr>
            <w:tcW w:w="2373" w:type="dxa"/>
            <w:tcBorders>
              <w:top w:val="single" w:color="000000" w:sz="4" w:space="0"/>
              <w:left w:val="single" w:color="auto" w:sz="4" w:space="0"/>
              <w:bottom w:val="single" w:color="000000" w:sz="4" w:space="0"/>
              <w:right w:val="single" w:color="auto" w:sz="4" w:space="0"/>
            </w:tcBorders>
            <w:vAlign w:val="center"/>
          </w:tcPr>
          <w:p w14:paraId="302D9E9F">
            <w:pPr>
              <w:widowControl/>
              <w:spacing w:line="240" w:lineRule="exact"/>
              <w:jc w:val="left"/>
              <w:textAlignment w:val="center"/>
              <w:rPr>
                <w:rFonts w:ascii="仿宋" w:hAnsi="仿宋" w:eastAsia="仿宋" w:cs="仿宋"/>
                <w:szCs w:val="21"/>
              </w:rPr>
            </w:pPr>
            <w:r>
              <w:rPr>
                <w:rFonts w:hint="eastAsia" w:ascii="仿宋" w:hAnsi="仿宋" w:eastAsia="仿宋" w:cs="仿宋"/>
                <w:color w:val="000000"/>
                <w:kern w:val="0"/>
                <w:szCs w:val="21"/>
              </w:rPr>
              <w:t>根据不同部门履职的内容和特点，具体测算部门履职产生的经济效益。</w:t>
            </w:r>
          </w:p>
        </w:tc>
        <w:tc>
          <w:tcPr>
            <w:tcW w:w="764" w:type="dxa"/>
            <w:tcBorders>
              <w:top w:val="single" w:color="000000" w:sz="4" w:space="0"/>
              <w:left w:val="single" w:color="auto" w:sz="4" w:space="0"/>
              <w:bottom w:val="single" w:color="000000" w:sz="4" w:space="0"/>
              <w:right w:val="single" w:color="000000" w:sz="4" w:space="0"/>
            </w:tcBorders>
            <w:vAlign w:val="center"/>
          </w:tcPr>
          <w:p w14:paraId="3AE457EF">
            <w:pPr>
              <w:widowControl/>
              <w:spacing w:line="240" w:lineRule="exact"/>
              <w:jc w:val="left"/>
              <w:rPr>
                <w:szCs w:val="21"/>
              </w:rPr>
            </w:pPr>
            <w:r>
              <w:rPr>
                <w:rFonts w:hint="eastAsia"/>
                <w:szCs w:val="21"/>
              </w:rPr>
              <w:t>5</w:t>
            </w:r>
          </w:p>
        </w:tc>
      </w:tr>
      <w:tr w14:paraId="4584EC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left w:val="single" w:color="000000" w:sz="4" w:space="0"/>
              <w:right w:val="single" w:color="000000" w:sz="4" w:space="0"/>
            </w:tcBorders>
            <w:vAlign w:val="center"/>
          </w:tcPr>
          <w:p w14:paraId="4E1AF63A">
            <w:pPr>
              <w:widowControl/>
              <w:spacing w:line="240" w:lineRule="exact"/>
              <w:jc w:val="left"/>
              <w:rPr>
                <w:rFonts w:ascii="仿宋_GB2312" w:hAnsi="新宋体" w:eastAsia="仿宋_GB2312" w:cs="仿宋_GB2312"/>
                <w:kern w:val="0"/>
                <w:szCs w:val="21"/>
              </w:rPr>
            </w:pPr>
          </w:p>
        </w:tc>
        <w:tc>
          <w:tcPr>
            <w:tcW w:w="743" w:type="dxa"/>
            <w:vMerge w:val="continue"/>
            <w:tcBorders>
              <w:left w:val="single" w:color="000000" w:sz="4" w:space="0"/>
              <w:right w:val="single" w:color="000000" w:sz="4" w:space="0"/>
            </w:tcBorders>
            <w:vAlign w:val="center"/>
          </w:tcPr>
          <w:p w14:paraId="158EF650">
            <w:pPr>
              <w:widowControl/>
              <w:spacing w:line="240" w:lineRule="exact"/>
              <w:jc w:val="left"/>
              <w:rPr>
                <w:rFonts w:ascii="仿宋_GB2312" w:hAnsi="新宋体" w:eastAsia="仿宋_GB2312" w:cs="仿宋_GB2312"/>
                <w:kern w:val="0"/>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3FF659E7">
            <w:pPr>
              <w:widowControl/>
              <w:spacing w:line="240" w:lineRule="exac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社会效益（5分）</w:t>
            </w:r>
          </w:p>
        </w:tc>
        <w:tc>
          <w:tcPr>
            <w:tcW w:w="3436" w:type="dxa"/>
            <w:tcBorders>
              <w:top w:val="single" w:color="000000" w:sz="4" w:space="0"/>
              <w:left w:val="single" w:color="auto" w:sz="4" w:space="0"/>
              <w:bottom w:val="single" w:color="000000" w:sz="4" w:space="0"/>
              <w:right w:val="single" w:color="auto" w:sz="4" w:space="0"/>
            </w:tcBorders>
            <w:vAlign w:val="center"/>
          </w:tcPr>
          <w:p w14:paraId="4F8339AF">
            <w:pPr>
              <w:widowControl/>
              <w:spacing w:line="240" w:lineRule="exac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部门及所属二级单位履行职责对社会发展所带来的直接或间接影响。</w:t>
            </w:r>
          </w:p>
          <w:p w14:paraId="79ACC239">
            <w:pPr>
              <w:widowControl/>
              <w:spacing w:line="240" w:lineRule="exact"/>
              <w:textAlignment w:val="center"/>
              <w:rPr>
                <w:rFonts w:ascii="仿宋" w:hAnsi="仿宋" w:eastAsia="仿宋" w:cs="仿宋"/>
                <w:color w:val="000000"/>
                <w:kern w:val="0"/>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1.通过部门所属企事业单位的改革，促进了企事业单位可持续发展，带动就业增长情况；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2.通过预算支出项目的实施，是否明显促进了行业精神文明建设；</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3.通过部门履职是否明显提高城乡居民生活水平，满足了人们日益增长的物质与文化生活需求；</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4.通过预算项目的实施，是否提高了劳动生产率，降低了劳动强度，促进了劳动人民的身心健康；</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5.通过部门履职行业形象是否得到了大大提升了，增强了部门影响力。</w:t>
            </w:r>
          </w:p>
        </w:tc>
        <w:tc>
          <w:tcPr>
            <w:tcW w:w="2373" w:type="dxa"/>
            <w:tcBorders>
              <w:top w:val="single" w:color="000000" w:sz="4" w:space="0"/>
              <w:left w:val="single" w:color="auto" w:sz="4" w:space="0"/>
              <w:bottom w:val="single" w:color="000000" w:sz="4" w:space="0"/>
              <w:right w:val="single" w:color="auto" w:sz="4" w:space="0"/>
            </w:tcBorders>
            <w:vAlign w:val="center"/>
          </w:tcPr>
          <w:p w14:paraId="53C27542">
            <w:pPr>
              <w:widowControl/>
              <w:spacing w:line="240" w:lineRule="exact"/>
              <w:textAlignment w:val="center"/>
              <w:rPr>
                <w:rFonts w:ascii="仿宋" w:hAnsi="仿宋" w:eastAsia="仿宋" w:cs="仿宋"/>
                <w:szCs w:val="21"/>
              </w:rPr>
            </w:pPr>
            <w:r>
              <w:rPr>
                <w:rFonts w:hint="eastAsia" w:ascii="仿宋" w:hAnsi="仿宋" w:eastAsia="仿宋" w:cs="仿宋"/>
                <w:color w:val="000000"/>
                <w:kern w:val="0"/>
                <w:szCs w:val="21"/>
              </w:rPr>
              <w:t>根据不同部门履职的内容和特点，具体测算部门履职产生的社会效益。</w:t>
            </w:r>
          </w:p>
        </w:tc>
        <w:tc>
          <w:tcPr>
            <w:tcW w:w="764" w:type="dxa"/>
            <w:tcBorders>
              <w:top w:val="single" w:color="000000" w:sz="4" w:space="0"/>
              <w:left w:val="single" w:color="auto" w:sz="4" w:space="0"/>
              <w:bottom w:val="single" w:color="000000" w:sz="4" w:space="0"/>
              <w:right w:val="single" w:color="000000" w:sz="4" w:space="0"/>
            </w:tcBorders>
            <w:vAlign w:val="center"/>
          </w:tcPr>
          <w:p w14:paraId="71A11C0A">
            <w:pPr>
              <w:widowControl/>
              <w:spacing w:line="240" w:lineRule="exact"/>
              <w:jc w:val="left"/>
              <w:rPr>
                <w:szCs w:val="21"/>
              </w:rPr>
            </w:pPr>
            <w:r>
              <w:rPr>
                <w:rFonts w:hint="eastAsia"/>
                <w:szCs w:val="21"/>
              </w:rPr>
              <w:t>5</w:t>
            </w:r>
          </w:p>
        </w:tc>
      </w:tr>
      <w:tr w14:paraId="72174FC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left w:val="single" w:color="000000" w:sz="4" w:space="0"/>
              <w:right w:val="single" w:color="000000" w:sz="4" w:space="0"/>
            </w:tcBorders>
            <w:vAlign w:val="center"/>
          </w:tcPr>
          <w:p w14:paraId="583D84C5">
            <w:pPr>
              <w:widowControl/>
              <w:spacing w:line="240" w:lineRule="exact"/>
              <w:jc w:val="left"/>
              <w:rPr>
                <w:rFonts w:ascii="仿宋_GB2312" w:hAnsi="新宋体" w:eastAsia="仿宋_GB2312" w:cs="仿宋_GB2312"/>
                <w:kern w:val="0"/>
                <w:szCs w:val="21"/>
              </w:rPr>
            </w:pPr>
          </w:p>
        </w:tc>
        <w:tc>
          <w:tcPr>
            <w:tcW w:w="743" w:type="dxa"/>
            <w:vMerge w:val="continue"/>
            <w:tcBorders>
              <w:left w:val="single" w:color="000000" w:sz="4" w:space="0"/>
              <w:right w:val="single" w:color="000000" w:sz="4" w:space="0"/>
            </w:tcBorders>
            <w:vAlign w:val="center"/>
          </w:tcPr>
          <w:p w14:paraId="40BDCB88">
            <w:pPr>
              <w:widowControl/>
              <w:spacing w:line="240" w:lineRule="exact"/>
              <w:jc w:val="left"/>
              <w:rPr>
                <w:rFonts w:ascii="仿宋_GB2312" w:hAnsi="新宋体" w:eastAsia="仿宋_GB2312" w:cs="仿宋_GB2312"/>
                <w:kern w:val="0"/>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3DA7FB67">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生态效益（5分）</w:t>
            </w:r>
          </w:p>
        </w:tc>
        <w:tc>
          <w:tcPr>
            <w:tcW w:w="3436" w:type="dxa"/>
            <w:tcBorders>
              <w:top w:val="single" w:color="000000" w:sz="4" w:space="0"/>
              <w:left w:val="single" w:color="auto" w:sz="4" w:space="0"/>
              <w:bottom w:val="single" w:color="000000" w:sz="4" w:space="0"/>
              <w:right w:val="single" w:color="auto" w:sz="4" w:space="0"/>
            </w:tcBorders>
            <w:vAlign w:val="center"/>
          </w:tcPr>
          <w:p w14:paraId="6EB854FA">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部门及所属二级单位履行职责对生态环境所带来的直接或间接影响。</w:t>
            </w:r>
          </w:p>
          <w:p w14:paraId="43CFBC5B">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1.通过预算支出项目的实施，绿色、节能环保新技术的应用和推广，明显带动各环节的节能减排，也具有一定的环境效益；</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2.通过履职有效地控制虚假、伪劣、霉变等劣质产品进入市场，影响了人民生活质量，净化地市场环境；</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3.通过预算支出项目的实施，是否达到减少污染物排放；</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4.通过预算支出项目的实施，周围环境得到了整治，面貌得到了改善。</w:t>
            </w:r>
          </w:p>
        </w:tc>
        <w:tc>
          <w:tcPr>
            <w:tcW w:w="2373" w:type="dxa"/>
            <w:tcBorders>
              <w:top w:val="single" w:color="000000" w:sz="4" w:space="0"/>
              <w:left w:val="single" w:color="auto" w:sz="4" w:space="0"/>
              <w:bottom w:val="single" w:color="000000" w:sz="4" w:space="0"/>
              <w:right w:val="single" w:color="auto" w:sz="4" w:space="0"/>
            </w:tcBorders>
            <w:vAlign w:val="center"/>
          </w:tcPr>
          <w:p w14:paraId="5339F8C9">
            <w:pPr>
              <w:widowControl/>
              <w:spacing w:line="240" w:lineRule="exact"/>
              <w:jc w:val="left"/>
              <w:textAlignment w:val="center"/>
              <w:rPr>
                <w:szCs w:val="21"/>
              </w:rPr>
            </w:pPr>
            <w:r>
              <w:rPr>
                <w:rFonts w:hint="eastAsia" w:ascii="仿宋" w:hAnsi="仿宋" w:eastAsia="仿宋" w:cs="仿宋"/>
                <w:color w:val="000000"/>
                <w:kern w:val="0"/>
                <w:szCs w:val="21"/>
              </w:rPr>
              <w:t>根据不同部门履职的内容和特点，具体测算部门履职产生的生态效益。</w:t>
            </w:r>
          </w:p>
        </w:tc>
        <w:tc>
          <w:tcPr>
            <w:tcW w:w="764" w:type="dxa"/>
            <w:tcBorders>
              <w:top w:val="single" w:color="000000" w:sz="4" w:space="0"/>
              <w:left w:val="single" w:color="auto" w:sz="4" w:space="0"/>
              <w:bottom w:val="single" w:color="000000" w:sz="4" w:space="0"/>
              <w:right w:val="single" w:color="000000" w:sz="4" w:space="0"/>
            </w:tcBorders>
            <w:vAlign w:val="center"/>
          </w:tcPr>
          <w:p w14:paraId="4743EA50">
            <w:pPr>
              <w:widowControl/>
              <w:spacing w:line="240" w:lineRule="exact"/>
              <w:jc w:val="left"/>
              <w:rPr>
                <w:szCs w:val="21"/>
              </w:rPr>
            </w:pPr>
            <w:r>
              <w:rPr>
                <w:rFonts w:hint="eastAsia"/>
                <w:szCs w:val="21"/>
              </w:rPr>
              <w:t>4</w:t>
            </w:r>
          </w:p>
        </w:tc>
      </w:tr>
      <w:tr w14:paraId="4AD6915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42D7B764">
            <w:pPr>
              <w:spacing w:line="240" w:lineRule="exact"/>
              <w:rPr>
                <w:rFonts w:ascii="宋体"/>
                <w:szCs w:val="21"/>
              </w:rPr>
            </w:pPr>
          </w:p>
        </w:tc>
        <w:tc>
          <w:tcPr>
            <w:tcW w:w="743" w:type="dxa"/>
            <w:vMerge w:val="continue"/>
            <w:tcBorders>
              <w:left w:val="single" w:color="000000" w:sz="4" w:space="0"/>
              <w:right w:val="single" w:color="000000" w:sz="4" w:space="0"/>
            </w:tcBorders>
            <w:vAlign w:val="center"/>
          </w:tcPr>
          <w:p w14:paraId="685E7043">
            <w:pPr>
              <w:widowControl/>
              <w:spacing w:line="240" w:lineRule="exact"/>
              <w:jc w:val="left"/>
              <w:rPr>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187A2F9D">
            <w:pPr>
              <w:widowControl/>
              <w:spacing w:line="240" w:lineRule="exact"/>
              <w:jc w:val="left"/>
              <w:rPr>
                <w:szCs w:val="21"/>
              </w:rPr>
            </w:pPr>
            <w:r>
              <w:rPr>
                <w:rFonts w:hint="eastAsia" w:ascii="仿宋_GB2312" w:hAnsi="新宋体" w:eastAsia="仿宋_GB2312" w:cs="仿宋_GB2312"/>
                <w:kern w:val="0"/>
                <w:szCs w:val="21"/>
              </w:rPr>
              <w:t>服务对象</w:t>
            </w:r>
            <w:r>
              <w:rPr>
                <w:rFonts w:ascii="仿宋_GB2312" w:hAnsi="新宋体" w:eastAsia="仿宋_GB2312" w:cs="仿宋_GB2312"/>
                <w:kern w:val="0"/>
                <w:szCs w:val="21"/>
              </w:rPr>
              <w:t>满意度（5）</w:t>
            </w:r>
          </w:p>
        </w:tc>
        <w:tc>
          <w:tcPr>
            <w:tcW w:w="3436" w:type="dxa"/>
            <w:tcBorders>
              <w:top w:val="single" w:color="000000" w:sz="4" w:space="0"/>
              <w:left w:val="single" w:color="auto" w:sz="4" w:space="0"/>
              <w:bottom w:val="single" w:color="000000" w:sz="4" w:space="0"/>
              <w:right w:val="single" w:color="auto" w:sz="4" w:space="0"/>
            </w:tcBorders>
            <w:vAlign w:val="center"/>
          </w:tcPr>
          <w:p w14:paraId="4375F7D6">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hint="eastAsia" w:ascii="仿宋_GB2312" w:hAnsi="新宋体" w:eastAsia="仿宋_GB2312" w:cs="仿宋_GB2312"/>
                <w:kern w:val="0"/>
                <w:szCs w:val="21"/>
              </w:rPr>
              <w:t>通过对部门（单位）的服务对象对部门履职效果的满意程度调查，反映和考核社会公众或服务对象对部门履职的满意度。</w:t>
            </w:r>
          </w:p>
        </w:tc>
        <w:tc>
          <w:tcPr>
            <w:tcW w:w="2373" w:type="dxa"/>
            <w:tcBorders>
              <w:top w:val="single" w:color="000000" w:sz="4" w:space="0"/>
              <w:left w:val="single" w:color="auto" w:sz="4" w:space="0"/>
              <w:bottom w:val="single" w:color="000000" w:sz="4" w:space="0"/>
              <w:right w:val="single" w:color="auto" w:sz="4" w:space="0"/>
            </w:tcBorders>
            <w:vAlign w:val="center"/>
          </w:tcPr>
          <w:p w14:paraId="6FC92743">
            <w:pPr>
              <w:widowControl/>
              <w:spacing w:line="240" w:lineRule="exact"/>
              <w:rPr>
                <w:rFonts w:ascii="仿宋" w:hAnsi="仿宋" w:eastAsia="仿宋" w:cs="宋体"/>
                <w:kern w:val="0"/>
                <w:szCs w:val="21"/>
              </w:rPr>
            </w:pPr>
            <w:r>
              <w:rPr>
                <w:rFonts w:ascii="仿宋" w:hAnsi="仿宋" w:eastAsia="仿宋" w:cs="Arial"/>
                <w:kern w:val="0"/>
                <w:szCs w:val="21"/>
              </w:rPr>
              <w:t>按照满意度调查的优秀、良好、合格、不合格给予该项指标打分：</w:t>
            </w:r>
          </w:p>
          <w:p w14:paraId="0343AD0D">
            <w:pPr>
              <w:widowControl/>
              <w:spacing w:line="240" w:lineRule="exact"/>
              <w:rPr>
                <w:szCs w:val="21"/>
              </w:rPr>
            </w:pPr>
            <w:r>
              <w:rPr>
                <w:rFonts w:ascii="仿宋" w:hAnsi="仿宋" w:eastAsia="仿宋" w:cs="Arial"/>
                <w:kern w:val="0"/>
                <w:szCs w:val="21"/>
              </w:rPr>
              <w:t>优秀（</w:t>
            </w:r>
            <w:r>
              <w:rPr>
                <w:rFonts w:hint="eastAsia" w:ascii="仿宋" w:hAnsi="仿宋" w:eastAsia="仿宋" w:cs="Arial"/>
                <w:kern w:val="0"/>
                <w:szCs w:val="21"/>
              </w:rPr>
              <w:t>5</w:t>
            </w:r>
            <w:r>
              <w:rPr>
                <w:rFonts w:ascii="仿宋" w:hAnsi="仿宋" w:eastAsia="仿宋" w:cs="Arial"/>
                <w:kern w:val="0"/>
                <w:szCs w:val="21"/>
              </w:rPr>
              <w:t>）；良好（</w:t>
            </w:r>
            <w:r>
              <w:rPr>
                <w:rFonts w:hint="eastAsia" w:ascii="仿宋" w:hAnsi="仿宋" w:eastAsia="仿宋" w:cs="Arial"/>
                <w:kern w:val="0"/>
                <w:szCs w:val="21"/>
              </w:rPr>
              <w:t>3</w:t>
            </w:r>
            <w:r>
              <w:rPr>
                <w:rFonts w:ascii="仿宋" w:hAnsi="仿宋" w:eastAsia="仿宋" w:cs="Arial"/>
                <w:kern w:val="0"/>
                <w:szCs w:val="21"/>
              </w:rPr>
              <w:t>）；合格（</w:t>
            </w:r>
            <w:r>
              <w:rPr>
                <w:rFonts w:hint="eastAsia" w:ascii="仿宋" w:hAnsi="仿宋" w:eastAsia="仿宋" w:cs="Arial"/>
                <w:kern w:val="0"/>
                <w:szCs w:val="21"/>
              </w:rPr>
              <w:t>1</w:t>
            </w:r>
            <w:r>
              <w:rPr>
                <w:rFonts w:ascii="仿宋" w:hAnsi="仿宋" w:eastAsia="仿宋" w:cs="Arial"/>
                <w:kern w:val="0"/>
                <w:szCs w:val="21"/>
              </w:rPr>
              <w:t>）；不合格（</w:t>
            </w:r>
            <w:r>
              <w:rPr>
                <w:rFonts w:hint="eastAsia" w:ascii="仿宋" w:hAnsi="仿宋" w:eastAsia="仿宋" w:cs="Arial"/>
                <w:kern w:val="0"/>
                <w:szCs w:val="21"/>
              </w:rPr>
              <w:t>0</w:t>
            </w:r>
            <w:r>
              <w:rPr>
                <w:rFonts w:ascii="仿宋" w:hAnsi="仿宋" w:eastAsia="仿宋" w:cs="Arial"/>
                <w:kern w:val="0"/>
                <w:szCs w:val="21"/>
              </w:rPr>
              <w:t>）。</w:t>
            </w:r>
          </w:p>
        </w:tc>
        <w:tc>
          <w:tcPr>
            <w:tcW w:w="764" w:type="dxa"/>
            <w:tcBorders>
              <w:top w:val="single" w:color="000000" w:sz="4" w:space="0"/>
              <w:left w:val="single" w:color="auto" w:sz="4" w:space="0"/>
              <w:bottom w:val="single" w:color="000000" w:sz="4" w:space="0"/>
              <w:right w:val="single" w:color="000000" w:sz="4" w:space="0"/>
            </w:tcBorders>
            <w:vAlign w:val="center"/>
          </w:tcPr>
          <w:p w14:paraId="6EF0FAB1">
            <w:pPr>
              <w:widowControl/>
              <w:spacing w:line="240" w:lineRule="exact"/>
              <w:jc w:val="left"/>
              <w:rPr>
                <w:szCs w:val="21"/>
              </w:rPr>
            </w:pPr>
            <w:r>
              <w:rPr>
                <w:rFonts w:hint="eastAsia"/>
                <w:szCs w:val="21"/>
              </w:rPr>
              <w:t>5</w:t>
            </w:r>
          </w:p>
        </w:tc>
      </w:tr>
      <w:tr w14:paraId="4D33B50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04" w:hRule="atLeast"/>
        </w:trPr>
        <w:tc>
          <w:tcPr>
            <w:tcW w:w="779" w:type="dxa"/>
            <w:tcBorders>
              <w:top w:val="single" w:color="000000" w:sz="4" w:space="0"/>
              <w:left w:val="single" w:color="000000" w:sz="4" w:space="0"/>
              <w:bottom w:val="single" w:color="000000" w:sz="4" w:space="0"/>
              <w:right w:val="single" w:color="000000" w:sz="4" w:space="0"/>
            </w:tcBorders>
            <w:vAlign w:val="center"/>
          </w:tcPr>
          <w:p w14:paraId="1FD00361">
            <w:pPr>
              <w:spacing w:line="240" w:lineRule="exact"/>
              <w:rPr>
                <w:rFonts w:ascii="宋体"/>
                <w:szCs w:val="21"/>
              </w:rPr>
            </w:pPr>
            <w:r>
              <w:rPr>
                <w:rFonts w:hint="eastAsia" w:ascii="宋体"/>
                <w:szCs w:val="21"/>
              </w:rPr>
              <w:t>合计</w:t>
            </w:r>
          </w:p>
        </w:tc>
        <w:tc>
          <w:tcPr>
            <w:tcW w:w="743" w:type="dxa"/>
            <w:tcBorders>
              <w:left w:val="single" w:color="000000" w:sz="4" w:space="0"/>
              <w:bottom w:val="single" w:color="auto" w:sz="4" w:space="0"/>
              <w:right w:val="single" w:color="000000" w:sz="4" w:space="0"/>
            </w:tcBorders>
            <w:vAlign w:val="center"/>
          </w:tcPr>
          <w:p w14:paraId="5420A2A2">
            <w:pPr>
              <w:widowControl/>
              <w:spacing w:line="240" w:lineRule="exact"/>
              <w:jc w:val="left"/>
              <w:rPr>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118A03FA">
            <w:pPr>
              <w:widowControl/>
              <w:spacing w:line="240" w:lineRule="exact"/>
              <w:jc w:val="left"/>
              <w:rPr>
                <w:rFonts w:ascii="仿宋_GB2312" w:hAnsi="新宋体" w:eastAsia="仿宋_GB2312" w:cs="仿宋_GB2312"/>
                <w:kern w:val="0"/>
                <w:szCs w:val="21"/>
              </w:rPr>
            </w:pPr>
          </w:p>
        </w:tc>
        <w:tc>
          <w:tcPr>
            <w:tcW w:w="3436" w:type="dxa"/>
            <w:tcBorders>
              <w:top w:val="single" w:color="000000" w:sz="4" w:space="0"/>
              <w:left w:val="single" w:color="auto" w:sz="4" w:space="0"/>
              <w:bottom w:val="single" w:color="000000" w:sz="4" w:space="0"/>
              <w:right w:val="single" w:color="auto" w:sz="4" w:space="0"/>
            </w:tcBorders>
            <w:vAlign w:val="center"/>
          </w:tcPr>
          <w:p w14:paraId="1E896448">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新宋体" w:eastAsia="仿宋_GB2312" w:cs="仿宋_GB2312"/>
                <w:kern w:val="0"/>
                <w:szCs w:val="21"/>
              </w:rPr>
            </w:pPr>
          </w:p>
        </w:tc>
        <w:tc>
          <w:tcPr>
            <w:tcW w:w="2373" w:type="dxa"/>
            <w:tcBorders>
              <w:top w:val="single" w:color="000000" w:sz="4" w:space="0"/>
              <w:left w:val="single" w:color="auto" w:sz="4" w:space="0"/>
              <w:bottom w:val="single" w:color="000000" w:sz="4" w:space="0"/>
              <w:right w:val="single" w:color="auto" w:sz="4" w:space="0"/>
            </w:tcBorders>
            <w:vAlign w:val="center"/>
          </w:tcPr>
          <w:p w14:paraId="707AE3B6">
            <w:pPr>
              <w:widowControl/>
              <w:spacing w:line="240" w:lineRule="exact"/>
              <w:rPr>
                <w:rFonts w:ascii="仿宋" w:hAnsi="仿宋" w:eastAsia="仿宋" w:cs="Arial"/>
                <w:kern w:val="0"/>
                <w:szCs w:val="21"/>
              </w:rPr>
            </w:pPr>
          </w:p>
        </w:tc>
        <w:tc>
          <w:tcPr>
            <w:tcW w:w="764" w:type="dxa"/>
            <w:tcBorders>
              <w:top w:val="single" w:color="000000" w:sz="4" w:space="0"/>
              <w:left w:val="single" w:color="auto" w:sz="4" w:space="0"/>
              <w:bottom w:val="single" w:color="000000" w:sz="4" w:space="0"/>
              <w:right w:val="single" w:color="000000" w:sz="4" w:space="0"/>
            </w:tcBorders>
            <w:vAlign w:val="center"/>
          </w:tcPr>
          <w:p w14:paraId="437EB5F5">
            <w:pPr>
              <w:widowControl/>
              <w:spacing w:line="240" w:lineRule="exact"/>
              <w:jc w:val="left"/>
              <w:rPr>
                <w:szCs w:val="21"/>
              </w:rPr>
            </w:pPr>
            <w:r>
              <w:rPr>
                <w:rFonts w:hint="eastAsia"/>
                <w:szCs w:val="21"/>
              </w:rPr>
              <w:t>95</w:t>
            </w:r>
          </w:p>
        </w:tc>
      </w:tr>
    </w:tbl>
    <w:p w14:paraId="7C968766">
      <w:pPr>
        <w:spacing w:line="240" w:lineRule="exact"/>
        <w:rPr>
          <w:rFonts w:ascii="仿宋" w:hAnsi="仿宋" w:eastAsia="仿宋" w:cs="仿宋"/>
          <w:sz w:val="32"/>
          <w:szCs w:val="32"/>
        </w:rPr>
      </w:pPr>
    </w:p>
    <w:p w14:paraId="5085C518">
      <w:pPr>
        <w:spacing w:line="240" w:lineRule="exact"/>
        <w:rPr>
          <w:rFonts w:ascii="仿宋" w:hAnsi="仿宋" w:eastAsia="仿宋" w:cs="仿宋"/>
          <w:sz w:val="32"/>
          <w:szCs w:val="32"/>
        </w:rPr>
      </w:pPr>
    </w:p>
    <w:p w14:paraId="76937402">
      <w:pPr>
        <w:spacing w:line="240" w:lineRule="exact"/>
        <w:rPr>
          <w:rFonts w:ascii="仿宋" w:hAnsi="仿宋" w:eastAsia="仿宋" w:cs="仿宋"/>
          <w:sz w:val="32"/>
          <w:szCs w:val="32"/>
        </w:rPr>
      </w:pPr>
    </w:p>
    <w:p w14:paraId="5B717325">
      <w:pPr>
        <w:rPr>
          <w:rFonts w:ascii="仿宋" w:hAnsi="仿宋" w:eastAsia="仿宋" w:cs="仿宋"/>
          <w:b/>
          <w:bCs/>
          <w:sz w:val="30"/>
          <w:szCs w:val="30"/>
        </w:rPr>
      </w:pPr>
    </w:p>
    <w:p w14:paraId="0D978635">
      <w:pPr>
        <w:rPr>
          <w:rFonts w:ascii="仿宋" w:hAnsi="仿宋" w:eastAsia="仿宋" w:cs="仿宋"/>
          <w:b/>
          <w:bCs/>
          <w:sz w:val="30"/>
          <w:szCs w:val="30"/>
        </w:rPr>
      </w:pPr>
    </w:p>
    <w:p w14:paraId="0CE5D7B6">
      <w:pPr>
        <w:rPr>
          <w:rFonts w:ascii="仿宋" w:hAnsi="仿宋" w:eastAsia="仿宋" w:cs="仿宋"/>
          <w:b/>
          <w:bCs/>
          <w:sz w:val="30"/>
          <w:szCs w:val="30"/>
        </w:rPr>
      </w:pPr>
    </w:p>
    <w:p w14:paraId="599AC782">
      <w:pPr>
        <w:rPr>
          <w:rFonts w:ascii="仿宋" w:hAnsi="仿宋" w:eastAsia="仿宋" w:cs="仿宋"/>
          <w:b/>
          <w:bCs/>
          <w:sz w:val="30"/>
          <w:szCs w:val="30"/>
        </w:rPr>
      </w:pPr>
    </w:p>
    <w:p w14:paraId="7906675B">
      <w:pPr>
        <w:rPr>
          <w:rFonts w:ascii="仿宋" w:hAnsi="仿宋" w:eastAsia="仿宋" w:cs="仿宋"/>
          <w:b/>
          <w:bCs/>
          <w:sz w:val="30"/>
          <w:szCs w:val="30"/>
        </w:rPr>
      </w:pPr>
    </w:p>
    <w:p w14:paraId="61BFEAAC">
      <w:pPr>
        <w:rPr>
          <w:rFonts w:ascii="仿宋" w:hAnsi="仿宋" w:eastAsia="仿宋" w:cs="仿宋"/>
          <w:b/>
          <w:bCs/>
          <w:sz w:val="30"/>
          <w:szCs w:val="30"/>
        </w:rPr>
      </w:pPr>
    </w:p>
    <w:p w14:paraId="42431DC8">
      <w:pPr>
        <w:rPr>
          <w:rFonts w:ascii="仿宋" w:hAnsi="仿宋" w:eastAsia="仿宋" w:cs="仿宋"/>
          <w:b/>
          <w:bCs/>
          <w:sz w:val="30"/>
          <w:szCs w:val="30"/>
        </w:rPr>
      </w:pPr>
    </w:p>
    <w:p w14:paraId="6465302D">
      <w:pPr>
        <w:ind w:left="640"/>
        <w:jc w:val="center"/>
        <w:rPr>
          <w:rFonts w:hint="eastAsia" w:ascii="宋体" w:hAnsi="宋体" w:eastAsia="宋体" w:cs="宋体"/>
          <w:b/>
          <w:sz w:val="44"/>
          <w:szCs w:val="44"/>
        </w:rPr>
      </w:pPr>
    </w:p>
    <w:p w14:paraId="11E510AA">
      <w:pPr>
        <w:ind w:left="640"/>
        <w:jc w:val="center"/>
        <w:rPr>
          <w:rFonts w:hint="eastAsia" w:ascii="宋体" w:hAnsi="宋体" w:eastAsia="宋体" w:cs="宋体"/>
          <w:b/>
          <w:sz w:val="44"/>
          <w:szCs w:val="44"/>
        </w:rPr>
      </w:pPr>
    </w:p>
    <w:p w14:paraId="766C6C6D">
      <w:pPr>
        <w:ind w:left="640"/>
        <w:jc w:val="center"/>
        <w:rPr>
          <w:rFonts w:hint="eastAsia" w:ascii="宋体" w:hAnsi="宋体" w:eastAsia="宋体" w:cs="宋体"/>
          <w:b/>
          <w:sz w:val="44"/>
          <w:szCs w:val="44"/>
        </w:rPr>
      </w:pPr>
    </w:p>
    <w:p w14:paraId="439E1A95">
      <w:pPr>
        <w:ind w:left="640"/>
        <w:jc w:val="center"/>
        <w:rPr>
          <w:rFonts w:ascii="宋体" w:hAnsi="宋体" w:eastAsia="宋体" w:cs="宋体"/>
          <w:b/>
          <w:sz w:val="44"/>
          <w:szCs w:val="44"/>
        </w:rPr>
      </w:pPr>
      <w:r>
        <w:rPr>
          <w:rFonts w:hint="eastAsia" w:ascii="宋体" w:hAnsi="宋体" w:eastAsia="宋体" w:cs="宋体"/>
          <w:b/>
          <w:sz w:val="44"/>
          <w:szCs w:val="44"/>
        </w:rPr>
        <w:t>宁晋县住房和城乡建设局</w:t>
      </w:r>
    </w:p>
    <w:p w14:paraId="48AAA384">
      <w:pPr>
        <w:ind w:left="640"/>
        <w:jc w:val="center"/>
        <w:rPr>
          <w:rFonts w:ascii="宋体" w:hAnsi="宋体" w:eastAsia="宋体" w:cs="宋体"/>
          <w:b/>
          <w:bCs/>
          <w:sz w:val="44"/>
          <w:szCs w:val="44"/>
        </w:rPr>
      </w:pPr>
      <w:r>
        <w:rPr>
          <w:rFonts w:hint="eastAsia" w:ascii="宋体" w:hAnsi="宋体" w:eastAsia="宋体" w:cs="宋体"/>
          <w:b/>
          <w:sz w:val="44"/>
          <w:szCs w:val="44"/>
        </w:rPr>
        <w:t>年度整体</w:t>
      </w:r>
      <w:r>
        <w:rPr>
          <w:rFonts w:hint="eastAsia" w:ascii="宋体" w:hAnsi="宋体" w:eastAsia="宋体" w:cs="宋体"/>
          <w:b/>
          <w:bCs/>
          <w:sz w:val="44"/>
          <w:szCs w:val="44"/>
        </w:rPr>
        <w:t>支出绩效自评报告</w:t>
      </w:r>
    </w:p>
    <w:p w14:paraId="349D6196">
      <w:pPr>
        <w:ind w:left="640"/>
        <w:jc w:val="left"/>
        <w:rPr>
          <w:rFonts w:ascii="宋体" w:hAnsi="宋体" w:eastAsia="宋体" w:cs="宋体"/>
          <w:b/>
          <w:bCs/>
          <w:sz w:val="44"/>
          <w:szCs w:val="44"/>
        </w:rPr>
      </w:pPr>
    </w:p>
    <w:p w14:paraId="02AB6E7E">
      <w:pPr>
        <w:ind w:firstLine="640" w:firstLineChars="200"/>
        <w:rPr>
          <w:rFonts w:ascii="仿宋" w:hAnsi="仿宋" w:eastAsia="仿宋"/>
          <w:sz w:val="32"/>
          <w:szCs w:val="32"/>
          <w:shd w:val="clear" w:color="auto" w:fill="FFFFFF"/>
        </w:rPr>
      </w:pPr>
      <w:r>
        <w:rPr>
          <w:rFonts w:hint="eastAsia" w:ascii="仿宋" w:hAnsi="仿宋" w:eastAsia="仿宋"/>
          <w:sz w:val="32"/>
          <w:szCs w:val="32"/>
          <w:shd w:val="clear" w:color="auto" w:fill="FFFFFF"/>
        </w:rPr>
        <w:t>根据《宁晋县财政局关于做好 2020年度财政支出绩效评价工作的通知》，我单位对2020年度部门整体支出绩效进行了全面综合评价。2020年度我单位部门整体支出绩效自评等分95分，现将有关情况报告如下：</w:t>
      </w:r>
    </w:p>
    <w:p w14:paraId="0AE5AF9D">
      <w:pPr>
        <w:spacing w:line="360" w:lineRule="auto"/>
        <w:ind w:firstLine="826" w:firstLineChars="246"/>
        <w:jc w:val="left"/>
        <w:rPr>
          <w:rFonts w:ascii="仿宋" w:hAnsi="仿宋" w:eastAsia="仿宋" w:cs="仿宋"/>
          <w:bCs/>
          <w:sz w:val="32"/>
          <w:szCs w:val="32"/>
        </w:rPr>
      </w:pPr>
      <w:r>
        <w:rPr>
          <w:rFonts w:hint="eastAsia" w:ascii="仿宋" w:hAnsi="仿宋" w:eastAsia="仿宋"/>
          <w:color w:val="333333"/>
          <w:spacing w:val="8"/>
          <w:sz w:val="32"/>
          <w:szCs w:val="32"/>
          <w:shd w:val="clear" w:color="auto" w:fill="FFFFFF"/>
        </w:rPr>
        <w:t>一、部门概况</w:t>
      </w:r>
    </w:p>
    <w:p w14:paraId="45245DBA">
      <w:pPr>
        <w:numPr>
          <w:ilvl w:val="0"/>
          <w:numId w:val="1"/>
        </w:numPr>
        <w:spacing w:line="360" w:lineRule="auto"/>
        <w:ind w:firstLine="640" w:firstLineChars="200"/>
        <w:jc w:val="left"/>
        <w:rPr>
          <w:rFonts w:ascii="仿宋" w:hAnsi="仿宋" w:eastAsia="仿宋" w:cs="仿宋"/>
          <w:sz w:val="32"/>
          <w:szCs w:val="32"/>
        </w:rPr>
      </w:pPr>
      <w:r>
        <w:rPr>
          <w:rFonts w:hint="eastAsia" w:ascii="仿宋" w:hAnsi="仿宋" w:eastAsia="仿宋" w:cs="仿宋"/>
          <w:sz w:val="32"/>
          <w:szCs w:val="32"/>
        </w:rPr>
        <w:t>主要职责：</w:t>
      </w:r>
    </w:p>
    <w:p w14:paraId="0E31BDEF">
      <w:pPr>
        <w:pStyle w:val="19"/>
        <w:spacing w:line="580" w:lineRule="exact"/>
        <w:ind w:left="420" w:firstLine="0" w:firstLineChars="0"/>
        <w:rPr>
          <w:rFonts w:ascii="仿宋_GB2312" w:eastAsia="仿宋_GB2312"/>
          <w:sz w:val="32"/>
          <w:szCs w:val="32"/>
        </w:rPr>
      </w:pPr>
      <w:r>
        <w:rPr>
          <w:rFonts w:hint="eastAsia" w:ascii="仿宋_GB2312" w:eastAsia="仿宋_GB2312"/>
          <w:sz w:val="32"/>
          <w:szCs w:val="32"/>
        </w:rPr>
        <w:t>1、贯彻执行国家、省、市住房城乡建设工作的方针、政策和法律、法规。贯彻落实住房城乡建设方面的地方性法规、政府规章；拟订全县住房城乡建设行业发展规划并组织实施；研究提出住房城乡建设重大问题的政策建议；负责住房城乡建设行业安全生产监管，研究制定全县住房和城乡建设工作措施并组织实施。</w:t>
      </w:r>
    </w:p>
    <w:p w14:paraId="395D3F69">
      <w:pPr>
        <w:pStyle w:val="19"/>
        <w:spacing w:line="580" w:lineRule="exact"/>
        <w:ind w:left="420" w:firstLine="0" w:firstLineChars="0"/>
        <w:rPr>
          <w:rFonts w:ascii="仿宋_GB2312" w:eastAsia="仿宋_GB2312"/>
          <w:i/>
          <w:sz w:val="32"/>
          <w:szCs w:val="32"/>
        </w:rPr>
      </w:pPr>
      <w:r>
        <w:rPr>
          <w:rFonts w:hint="eastAsia" w:ascii="仿宋_GB2312" w:eastAsia="仿宋_GB2312"/>
          <w:sz w:val="32"/>
          <w:szCs w:val="32"/>
        </w:rPr>
        <w:t>2、负责城镇低收入家庭住房保障。拟订城镇住房保障相关政策并指导实施；会同有关部门做好中央和省、市、县城镇保障性安居工程资金安排并监督实施；组织编制、实施城镇住房保障发展规划和年度计划；负责保障性住房建设和管理工作。</w:t>
      </w:r>
    </w:p>
    <w:p w14:paraId="4546B763">
      <w:pPr>
        <w:pStyle w:val="19"/>
        <w:spacing w:line="580" w:lineRule="exact"/>
        <w:ind w:left="420" w:firstLine="0" w:firstLineChars="0"/>
        <w:rPr>
          <w:rFonts w:ascii="仿宋_GB2312" w:eastAsia="仿宋_GB2312"/>
          <w:sz w:val="32"/>
          <w:szCs w:val="32"/>
        </w:rPr>
      </w:pPr>
      <w:r>
        <w:rPr>
          <w:rFonts w:hint="eastAsia" w:ascii="仿宋_GB2312" w:eastAsia="仿宋_GB2312"/>
          <w:sz w:val="32"/>
          <w:szCs w:val="32"/>
        </w:rPr>
        <w:t>3、负责推进住房制度改革。拟订适合县情的住房政策，指导住房建设，推动住房制度改革；拟订住房建设发展规划并组织实施。</w:t>
      </w:r>
    </w:p>
    <w:p w14:paraId="00D26C7D">
      <w:pPr>
        <w:pStyle w:val="19"/>
        <w:spacing w:line="580" w:lineRule="exact"/>
        <w:ind w:left="420" w:firstLine="0" w:firstLineChars="0"/>
        <w:rPr>
          <w:rFonts w:ascii="仿宋_GB2312" w:eastAsia="仿宋_GB2312"/>
          <w:sz w:val="32"/>
          <w:szCs w:val="32"/>
        </w:rPr>
      </w:pPr>
      <w:r>
        <w:rPr>
          <w:rFonts w:hint="eastAsia" w:ascii="仿宋_GB2312" w:eastAsia="仿宋_GB2312"/>
          <w:sz w:val="32"/>
          <w:szCs w:val="32"/>
        </w:rPr>
        <w:t>4、负责推行工程建设标准。组织实施工程建设实施阶段的国家和省、市标准及国家和省、市统一的行业标准；参与编制工程建设地方标准和工程量计量规则；监督实施公共服务设施（不含通信设施）建设标准；指导工程建设标准和工程量计量规则的实施；收集、发布工程材料、人工、机械设备使用等市场价格信息。</w:t>
      </w:r>
    </w:p>
    <w:p w14:paraId="3CA0F8C2">
      <w:pPr>
        <w:pStyle w:val="19"/>
        <w:spacing w:line="580" w:lineRule="exact"/>
        <w:ind w:left="420" w:firstLine="0" w:firstLineChars="0"/>
        <w:rPr>
          <w:rFonts w:ascii="仿宋_GB2312" w:eastAsia="仿宋_GB2312"/>
          <w:sz w:val="32"/>
          <w:szCs w:val="32"/>
        </w:rPr>
      </w:pPr>
      <w:r>
        <w:rPr>
          <w:rFonts w:hint="eastAsia" w:ascii="仿宋_GB2312" w:eastAsia="仿宋_GB2312"/>
          <w:sz w:val="32"/>
          <w:szCs w:val="32"/>
        </w:rPr>
        <w:t>5、负责房地产市场的监督管理。会同有关部门拟订房地产市场调控政策并监督执行；拟订房地产业的行业发展规划、产业政策，制定房地产开发、房屋交易、房屋租赁、房地产估价与经纪管理、物业管理的规章制度并监督实施；负责住宅建设、房地产交易、房地产开发、商品房预售、物业管理等工作；负责住宅与房地产行业管理工作；指导国有土地上房屋征收与补偿工作。</w:t>
      </w:r>
    </w:p>
    <w:p w14:paraId="5E396E31">
      <w:pPr>
        <w:pStyle w:val="19"/>
        <w:spacing w:line="580" w:lineRule="exact"/>
        <w:ind w:left="420" w:firstLine="0" w:firstLineChars="0"/>
        <w:rPr>
          <w:rFonts w:ascii="仿宋_GB2312" w:eastAsia="仿宋_GB2312"/>
          <w:sz w:val="32"/>
          <w:szCs w:val="32"/>
        </w:rPr>
      </w:pPr>
      <w:r>
        <w:rPr>
          <w:rFonts w:hint="eastAsia" w:ascii="仿宋_GB2312" w:eastAsia="仿宋_GB2312"/>
          <w:sz w:val="32"/>
          <w:szCs w:val="32"/>
        </w:rPr>
        <w:t>6、负责建筑市场的监督管理。负责国家规定必须招标的房屋建筑和市政基础设施工程招标投标活动的监督工作；负责监督建筑市场准入、建设工程招投标工作；贯彻落实勘察设计、施工、建设监理的地方性法规、政府规章；拟订工程建设、建筑业、勘察设计的行业发展战略、中长期发展规划、改革方案、产业政策、规章制度并监督执行；按照有关法律法规的规定拟定勘察设计建筑施工、工程监理、工程造价咨询和相关中介组织管理办法并监督实施；负责住房和城乡建设行业各类企业以及相关中介组织的资质管理和从业人员资格管理；制定规范建筑市场各方主体行为的规章制度并监督执行；组织协调建筑企业参与县外与国际工程承包、建筑劳务合作。</w:t>
      </w:r>
    </w:p>
    <w:p w14:paraId="5B3FB7D2">
      <w:pPr>
        <w:pStyle w:val="19"/>
        <w:spacing w:line="580" w:lineRule="exact"/>
        <w:ind w:left="420" w:firstLine="0" w:firstLineChars="0"/>
        <w:rPr>
          <w:rFonts w:ascii="仿宋_GB2312" w:eastAsia="仿宋_GB2312"/>
          <w:color w:val="000000"/>
          <w:sz w:val="32"/>
          <w:szCs w:val="32"/>
        </w:rPr>
      </w:pPr>
      <w:r>
        <w:rPr>
          <w:rFonts w:hint="eastAsia" w:ascii="仿宋_GB2312" w:eastAsia="仿宋_GB2312"/>
          <w:color w:val="000000"/>
          <w:sz w:val="32"/>
          <w:szCs w:val="32"/>
        </w:rPr>
        <w:t>7、</w:t>
      </w:r>
      <w:r>
        <w:rPr>
          <w:rFonts w:hint="eastAsia" w:ascii="仿宋_GB2312" w:eastAsia="仿宋_GB2312"/>
          <w:sz w:val="32"/>
          <w:szCs w:val="32"/>
        </w:rPr>
        <w:t>负责城市建设工作。研究</w:t>
      </w:r>
      <w:r>
        <w:rPr>
          <w:rFonts w:hint="eastAsia" w:ascii="仿宋_GB2312" w:hAnsi="宋体" w:eastAsia="仿宋_GB2312" w:cs="宋体"/>
          <w:sz w:val="32"/>
          <w:szCs w:val="32"/>
        </w:rPr>
        <w:t>拟订</w:t>
      </w:r>
      <w:r>
        <w:rPr>
          <w:rFonts w:hint="eastAsia" w:ascii="仿宋_GB2312" w:hAnsi="仿宋_GB2312" w:eastAsia="仿宋_GB2312" w:cs="仿宋_GB2312"/>
          <w:sz w:val="32"/>
          <w:szCs w:val="32"/>
        </w:rPr>
        <w:t>城市建设</w:t>
      </w:r>
      <w:r>
        <w:rPr>
          <w:rFonts w:hint="eastAsia" w:ascii="仿宋_GB2312" w:eastAsia="仿宋_GB2312"/>
          <w:sz w:val="32"/>
          <w:szCs w:val="32"/>
        </w:rPr>
        <w:t>政策、规章制度并指导实施;编制县级住房和城乡建设行业发展规划并组织实施；指导住房和城乡建设行业相关专业规划编制和实施；指导参与城区旧城改造和城中村改造工作；负责城市建设档案管理工作；负责协助县政府统筹指导县政府投资的市政公用设施项目建设；会同有关部门做好城市建设投资融资工作；会同有关部门负责历史文化名镇名村的保护和监督管理工作；</w:t>
      </w:r>
      <w:r>
        <w:rPr>
          <w:rFonts w:hint="eastAsia" w:ascii="仿宋_GB2312" w:eastAsia="仿宋_GB2312"/>
          <w:color w:val="000000"/>
          <w:sz w:val="32"/>
          <w:szCs w:val="32"/>
        </w:rPr>
        <w:t>负责编制城市道路、排水等市政公用设施的年度建设计划和资金使用计划，并组织实施；负责城市道路桥梁、排水防涝等市政公用设施的管理和维护工作，确保正常运行；负责城市生活污水处理设施和管网配套建设及运行管理；负责市政公用设施运行管理的监督检查和考核评价；负责城市的防汛应急管理；负责城市道路、桥梁的应急保障和燃气、供热、污水处理的应急指导。</w:t>
      </w:r>
    </w:p>
    <w:p w14:paraId="673CF4AC">
      <w:pPr>
        <w:pStyle w:val="19"/>
        <w:spacing w:line="580" w:lineRule="exact"/>
        <w:ind w:left="420" w:firstLine="0" w:firstLineChars="0"/>
        <w:rPr>
          <w:rFonts w:ascii="仿宋_GB2312" w:eastAsia="仿宋_GB2312"/>
          <w:color w:val="FF0000"/>
          <w:sz w:val="32"/>
          <w:szCs w:val="32"/>
        </w:rPr>
      </w:pPr>
      <w:r>
        <w:rPr>
          <w:rFonts w:hint="eastAsia" w:ascii="仿宋_GB2312" w:eastAsia="仿宋_GB2312"/>
          <w:color w:val="000000"/>
          <w:sz w:val="32"/>
          <w:szCs w:val="32"/>
        </w:rPr>
        <w:t>8、指导村镇建设。拟订村镇建设政策并指导实施；</w:t>
      </w:r>
      <w:r>
        <w:rPr>
          <w:rFonts w:hint="eastAsia" w:ascii="仿宋_GB2312" w:eastAsia="仿宋_GB2312"/>
          <w:sz w:val="32"/>
          <w:szCs w:val="32"/>
        </w:rPr>
        <w:t>指导乡村建筑风貌管控（建设方面）；指导农村住房建设和安全</w:t>
      </w:r>
      <w:r>
        <w:rPr>
          <w:rFonts w:hint="eastAsia" w:ascii="仿宋_GB2312" w:eastAsia="仿宋_GB2312"/>
          <w:color w:val="000000"/>
          <w:sz w:val="32"/>
          <w:szCs w:val="32"/>
        </w:rPr>
        <w:t>及危房改造；指导建制镇生活污水处理；指导重点镇和特色小城镇建设。</w:t>
      </w:r>
    </w:p>
    <w:p w14:paraId="3CA8CB45">
      <w:pPr>
        <w:pStyle w:val="19"/>
        <w:spacing w:line="580" w:lineRule="exact"/>
        <w:ind w:left="420" w:firstLine="0" w:firstLineChars="0"/>
        <w:rPr>
          <w:rFonts w:ascii="仿宋_GB2312" w:eastAsia="仿宋_GB2312"/>
          <w:sz w:val="32"/>
          <w:szCs w:val="32"/>
        </w:rPr>
      </w:pPr>
      <w:r>
        <w:rPr>
          <w:rFonts w:hint="eastAsia" w:ascii="仿宋_GB2312" w:eastAsia="仿宋_GB2312"/>
          <w:color w:val="000000"/>
          <w:sz w:val="32"/>
          <w:szCs w:val="32"/>
        </w:rPr>
        <w:t>9、负责建筑工程质量安全监管。负责对办理《建设工程规划许可证》后的建筑工程进行监督管理和查处，对各乡镇（区）、街道、相关单位移交的违反建筑市场法律法规案件的立案查处工作；负责已办理施工许可证的建筑工程的质量监督和安全监督管理；拟订建筑工程质量、施工安全和竣工验收备案的政策、规章制度并监督执行；组织或参与工程重大质量、安全事故的调查</w:t>
      </w:r>
      <w:r>
        <w:rPr>
          <w:rFonts w:hint="eastAsia" w:ascii="仿宋_GB2312" w:hAnsi="仿宋_GB2312" w:eastAsia="仿宋_GB2312" w:cs="仿宋_GB2312"/>
          <w:color w:val="000000"/>
          <w:sz w:val="32"/>
          <w:szCs w:val="32"/>
        </w:rPr>
        <w:t>处理；拟订建筑</w:t>
      </w:r>
      <w:r>
        <w:rPr>
          <w:rFonts w:hint="eastAsia" w:ascii="仿宋_GB2312" w:eastAsia="仿宋_GB2312"/>
          <w:color w:val="000000"/>
          <w:sz w:val="32"/>
          <w:szCs w:val="32"/>
        </w:rPr>
        <w:t>业、工程勘察设计咨询业的技术政策并指导实施</w:t>
      </w:r>
      <w:r>
        <w:rPr>
          <w:rFonts w:hint="eastAsia" w:ascii="仿宋_GB2312" w:eastAsia="仿宋_GB2312"/>
          <w:sz w:val="32"/>
          <w:szCs w:val="32"/>
        </w:rPr>
        <w:t>。负责建设工程消防设计审查工作。</w:t>
      </w:r>
    </w:p>
    <w:p w14:paraId="75936F7D">
      <w:pPr>
        <w:pStyle w:val="19"/>
        <w:spacing w:line="580" w:lineRule="exact"/>
        <w:ind w:left="420" w:firstLine="0" w:firstLineChars="0"/>
        <w:rPr>
          <w:rFonts w:ascii="仿宋_GB2312" w:eastAsia="仿宋_GB2312"/>
          <w:color w:val="000000"/>
          <w:sz w:val="32"/>
          <w:szCs w:val="32"/>
        </w:rPr>
      </w:pPr>
      <w:r>
        <w:rPr>
          <w:rFonts w:hint="eastAsia" w:ascii="仿宋_GB2312" w:eastAsia="仿宋_GB2312"/>
          <w:color w:val="000000"/>
          <w:sz w:val="32"/>
          <w:szCs w:val="32"/>
        </w:rPr>
        <w:t>10、负责推进建筑节能减排。会同有关部门拟订建筑节能的政策、规划并指导实施；制定住房城乡建设的科技发展规划和政策；组织实施重大建筑节能项目；指导和推动建筑节能减排、绿色建筑发展和住房城乡建设行业信息化；负责全县建筑行业新技术、新材料、新产品的推广、使用和管理；负责全县推行新型墙体材料革新和建筑节能工作；负责统一收取新型墙体材料专项基金，按比例与发展和改革局使用；管理全县建筑技术市场；指导技术引进和创新工作。</w:t>
      </w:r>
    </w:p>
    <w:p w14:paraId="4FC2677A">
      <w:pPr>
        <w:pStyle w:val="19"/>
        <w:spacing w:line="580" w:lineRule="exact"/>
        <w:ind w:left="420" w:firstLine="0" w:firstLineChars="0"/>
        <w:rPr>
          <w:rFonts w:ascii="仿宋_GB2312" w:eastAsia="仿宋_GB2312"/>
          <w:color w:val="000000"/>
          <w:sz w:val="32"/>
          <w:szCs w:val="32"/>
        </w:rPr>
      </w:pPr>
      <w:r>
        <w:rPr>
          <w:rFonts w:hint="eastAsia" w:ascii="仿宋_GB2312" w:eastAsia="仿宋_GB2312"/>
          <w:color w:val="000000"/>
          <w:kern w:val="0"/>
          <w:sz w:val="32"/>
          <w:szCs w:val="32"/>
        </w:rPr>
        <w:t>11、负责行政执法监督。负责落实住房城乡建设系统行政执法的政策法规；开展住房城乡建设系统执法行为监督与考核；组织查处住房城乡建设领域重大案件以及依法应由县住房城乡建设局实施行政处罚的案件；依法行使市政、燃气、供热用热、排水与污水处理等方面的行政处罚权及有关行政强制措施。</w:t>
      </w:r>
    </w:p>
    <w:p w14:paraId="061C0D62">
      <w:pPr>
        <w:pStyle w:val="19"/>
        <w:spacing w:line="580" w:lineRule="exact"/>
        <w:ind w:left="420" w:firstLine="0" w:firstLineChars="0"/>
        <w:jc w:val="left"/>
        <w:rPr>
          <w:rFonts w:ascii="仿宋_GB2312" w:eastAsia="仿宋_GB2312"/>
          <w:color w:val="000000"/>
          <w:kern w:val="0"/>
          <w:sz w:val="32"/>
          <w:szCs w:val="32"/>
        </w:rPr>
      </w:pPr>
      <w:r>
        <w:rPr>
          <w:rFonts w:hint="eastAsia" w:ascii="仿宋_GB2312" w:eastAsia="仿宋_GB2312"/>
          <w:color w:val="000000"/>
          <w:kern w:val="0"/>
          <w:sz w:val="32"/>
          <w:szCs w:val="32"/>
        </w:rPr>
        <w:t>12、负责城乡燃气和集中供热工作，负责供热、燃气企业资质和从业人员资格监督管理；指导城乡燃气、集中供热等设施的建设和运行管理；指导燃气、热力行业完善落实安全管理制度。</w:t>
      </w:r>
    </w:p>
    <w:p w14:paraId="71A111AC">
      <w:pPr>
        <w:pStyle w:val="19"/>
        <w:spacing w:line="580" w:lineRule="exact"/>
        <w:ind w:left="420" w:firstLine="0" w:firstLineChars="0"/>
        <w:jc w:val="left"/>
        <w:rPr>
          <w:rFonts w:ascii="仿宋_GB2312" w:eastAsia="仿宋_GB2312"/>
          <w:color w:val="000000"/>
          <w:kern w:val="0"/>
          <w:sz w:val="32"/>
          <w:szCs w:val="32"/>
        </w:rPr>
      </w:pPr>
      <w:r>
        <w:rPr>
          <w:rFonts w:hint="eastAsia" w:ascii="仿宋_GB2312" w:eastAsia="仿宋_GB2312"/>
          <w:color w:val="000000"/>
          <w:kern w:val="0"/>
          <w:sz w:val="32"/>
          <w:szCs w:val="32"/>
        </w:rPr>
        <w:t>13、负责审查各类房屋建筑及其附属设施和城市市政设施建设工作的抗震设防管理；指导城市地下空间开发和利用工作。</w:t>
      </w:r>
    </w:p>
    <w:p w14:paraId="103D1E28">
      <w:pPr>
        <w:pStyle w:val="19"/>
        <w:spacing w:line="580" w:lineRule="exact"/>
        <w:ind w:left="420" w:firstLine="0" w:firstLineChars="0"/>
        <w:jc w:val="left"/>
        <w:rPr>
          <w:rFonts w:ascii="仿宋_GB2312" w:eastAsia="仿宋_GB2312"/>
          <w:color w:val="000000"/>
          <w:kern w:val="0"/>
          <w:sz w:val="32"/>
          <w:szCs w:val="32"/>
        </w:rPr>
      </w:pPr>
      <w:r>
        <w:rPr>
          <w:rFonts w:hint="eastAsia" w:ascii="仿宋_GB2312" w:eastAsia="仿宋_GB2312"/>
          <w:color w:val="000000"/>
          <w:kern w:val="0"/>
          <w:sz w:val="32"/>
          <w:szCs w:val="32"/>
        </w:rPr>
        <w:t>14、开展住房城乡建设方面的对外交流与合作；管理建设行业对外技术合作和引进、利用外资工作；指导组织企业开拓县外建筑市场。</w:t>
      </w:r>
    </w:p>
    <w:p w14:paraId="1240CF7F">
      <w:pPr>
        <w:pStyle w:val="19"/>
        <w:spacing w:line="580" w:lineRule="exact"/>
        <w:ind w:left="420" w:firstLine="0" w:firstLineChars="0"/>
        <w:jc w:val="left"/>
        <w:rPr>
          <w:rFonts w:ascii="仿宋_GB2312" w:eastAsia="仿宋_GB2312"/>
          <w:color w:val="000000"/>
          <w:sz w:val="32"/>
          <w:szCs w:val="32"/>
        </w:rPr>
      </w:pPr>
      <w:r>
        <w:rPr>
          <w:rFonts w:hint="eastAsia" w:ascii="仿宋_GB2312" w:eastAsia="仿宋_GB2312"/>
          <w:color w:val="000000"/>
          <w:sz w:val="32"/>
          <w:szCs w:val="32"/>
        </w:rPr>
        <w:t>15、完成县委、县政府交办的其他任务。</w:t>
      </w:r>
    </w:p>
    <w:p w14:paraId="2833E978">
      <w:pPr>
        <w:pStyle w:val="19"/>
        <w:numPr>
          <w:ilvl w:val="0"/>
          <w:numId w:val="2"/>
        </w:numPr>
        <w:spacing w:line="360" w:lineRule="auto"/>
        <w:ind w:firstLineChars="0"/>
        <w:jc w:val="left"/>
        <w:rPr>
          <w:rFonts w:ascii="仿宋" w:hAnsi="仿宋" w:eastAsia="仿宋" w:cs="仿宋"/>
          <w:sz w:val="32"/>
          <w:szCs w:val="32"/>
        </w:rPr>
      </w:pPr>
      <w:r>
        <w:rPr>
          <w:rFonts w:hint="eastAsia" w:ascii="仿宋" w:hAnsi="仿宋" w:eastAsia="仿宋" w:cs="仿宋"/>
          <w:sz w:val="32"/>
          <w:szCs w:val="32"/>
        </w:rPr>
        <w:t>内设机构。</w:t>
      </w:r>
    </w:p>
    <w:p w14:paraId="11816508">
      <w:pPr>
        <w:widowControl/>
        <w:spacing w:line="580" w:lineRule="exact"/>
        <w:ind w:left="567"/>
        <w:rPr>
          <w:rFonts w:ascii="仿宋_GB2312" w:eastAsia="仿宋_GB2312"/>
          <w:color w:val="000000"/>
          <w:kern w:val="0"/>
          <w:sz w:val="32"/>
          <w:szCs w:val="32"/>
        </w:rPr>
      </w:pPr>
      <w:r>
        <w:rPr>
          <w:rFonts w:hint="eastAsia" w:ascii="仿宋_GB2312" w:eastAsia="仿宋_GB2312"/>
          <w:color w:val="000000"/>
          <w:kern w:val="0"/>
          <w:sz w:val="32"/>
          <w:szCs w:val="32"/>
        </w:rPr>
        <w:t>1、办公室（综合财务股）。承担机关日常运转工作；承担文秘、档案、值班、信息、安全、保密、新闻宣传、政务公开、综合性文稿起草工作；承担重要会议组织、督查督办、建议提案办理和机关后勤、固定资产管理及机关信息化建设工作；负责精神文明、党风廉政建设和行风建设工作；牵头机关应急管理和信访工作；指导城市建设档案管理工作。负责编制城区建设和维护资金使用计划；会同有关部门做好城市建设利用外资、融资工作；负责城建资金管理和预决算管理；组织编制部门预算、决算草案；组织和监督部门预算的执行；</w:t>
      </w:r>
      <w:r>
        <w:rPr>
          <w:rFonts w:hint="eastAsia" w:ascii="仿宋_GB2312" w:hAnsi="仿宋" w:eastAsia="仿宋_GB2312"/>
          <w:sz w:val="32"/>
          <w:szCs w:val="32"/>
        </w:rPr>
        <w:t>负责</w:t>
      </w:r>
      <w:r>
        <w:rPr>
          <w:rFonts w:hint="eastAsia" w:ascii="仿宋_GB2312" w:eastAsia="仿宋_GB2312"/>
          <w:color w:val="000000"/>
          <w:kern w:val="0"/>
          <w:sz w:val="32"/>
          <w:szCs w:val="32"/>
        </w:rPr>
        <w:t>机关各项资金管理和使用，监督所属单位财务管理工作；负责机关和所属单位国有资产的管理和内部审计工作；负责机关及行业的行政事业性收费的收缴；对财政拨付资金的使用实施监督管理；负责综合统计报表和年报工作；负责城市（县城）建设年度统计。负责机关和所属单位的人事管理、机构编制、劳动工资和教育培训工作；</w:t>
      </w:r>
      <w:r>
        <w:rPr>
          <w:rFonts w:hint="eastAsia" w:ascii="仿宋_GB2312" w:hAnsi="宋体" w:eastAsia="仿宋_GB2312" w:cs="宋体"/>
          <w:sz w:val="32"/>
          <w:szCs w:val="32"/>
        </w:rPr>
        <w:t>指导住房城乡建设领域人才队伍建设工作。</w:t>
      </w:r>
      <w:r>
        <w:rPr>
          <w:rFonts w:hint="eastAsia" w:ascii="仿宋_GB2312" w:eastAsia="仿宋_GB2312"/>
          <w:color w:val="000000"/>
          <w:kern w:val="0"/>
          <w:sz w:val="32"/>
          <w:szCs w:val="32"/>
        </w:rPr>
        <w:t>负责机关离退休干部工作，指导所属单位离退休干部工作。负责机关和所属事业单位的党群工作。</w:t>
      </w:r>
    </w:p>
    <w:p w14:paraId="47427C06">
      <w:pPr>
        <w:widowControl/>
        <w:spacing w:line="580" w:lineRule="exact"/>
        <w:ind w:left="525" w:leftChars="250"/>
        <w:rPr>
          <w:rFonts w:ascii="仿宋_GB2312" w:hAnsi="黑体" w:eastAsia="仿宋_GB2312"/>
          <w:sz w:val="32"/>
          <w:szCs w:val="32"/>
          <w:highlight w:val="green"/>
        </w:rPr>
      </w:pPr>
      <w:r>
        <w:rPr>
          <w:rFonts w:hint="eastAsia" w:ascii="仿宋_GB2312" w:eastAsia="仿宋_GB2312"/>
          <w:color w:val="000000"/>
          <w:kern w:val="0"/>
          <w:sz w:val="32"/>
          <w:szCs w:val="32"/>
        </w:rPr>
        <w:t>2、房产管理股（住房保障股、物业管理股）。</w:t>
      </w:r>
      <w:r>
        <w:rPr>
          <w:rFonts w:hint="eastAsia" w:ascii="仿宋_GB2312" w:hAnsi="仿宋" w:eastAsia="仿宋_GB2312"/>
          <w:sz w:val="32"/>
          <w:szCs w:val="32"/>
        </w:rPr>
        <w:t>负责房地产市场的监督管理，监测房地产市场运行；拟订房地产市场调控政策、措施并监督执行；拟订房地产业和住房建设的发展规划、政策；拟订房屋交易、房地产开发、房屋租赁、房地产估价与经纪管理的规章制度并监督实施；负责拟定住宅建设、房地产开发、房地产市场的规范性文件并监督执行；负责规范房地产市场行为；负责房地产开发企业、房地产中介的资质和从业人员资格管理；负责房地产经纪（咨询）资格备案管理和房地产评估机构资质初审、上报；</w:t>
      </w:r>
      <w:r>
        <w:rPr>
          <w:rFonts w:hint="eastAsia" w:ascii="仿宋_GB2312" w:hAnsi="黑体" w:eastAsia="仿宋_GB2312"/>
          <w:sz w:val="32"/>
          <w:szCs w:val="32"/>
        </w:rPr>
        <w:t>负责房屋租赁市场的管理；负责房屋中介市场的监督管理；负责房屋产权、房屋面积的管理；负责各类房产政策、房产遗留问题的处置工作；负责房产市场基础数据的统计和分析；负责房地产市场信息系统建设和使用管理；负责房地产市场信息系统和预警、预报体系建设和管理，发布市场调控和相关统计信息；</w:t>
      </w:r>
      <w:r>
        <w:rPr>
          <w:rFonts w:hint="eastAsia" w:ascii="仿宋_GB2312" w:hAnsi="仿宋" w:eastAsia="仿宋_GB2312"/>
          <w:sz w:val="32"/>
          <w:szCs w:val="32"/>
        </w:rPr>
        <w:t>承担公房产权管理工作；负责县直管公房管理和租金收取工作；承担直管公房出售审批及售后公共部位维修工作；承担</w:t>
      </w:r>
      <w:r>
        <w:rPr>
          <w:rFonts w:hint="eastAsia" w:ascii="仿宋_GB2312" w:hAnsi="仿宋" w:eastAsia="仿宋_GB2312" w:cs="宋体"/>
          <w:kern w:val="0"/>
          <w:sz w:val="32"/>
          <w:szCs w:val="32"/>
        </w:rPr>
        <w:t>制定全县公产房屋的租金标准工作；承担县级领导周转房管理工作；</w:t>
      </w:r>
      <w:r>
        <w:rPr>
          <w:rFonts w:hint="eastAsia" w:ascii="仿宋_GB2312" w:hAnsi="仿宋" w:eastAsia="仿宋_GB2312"/>
          <w:sz w:val="32"/>
          <w:szCs w:val="32"/>
        </w:rPr>
        <w:t>承担管理、接受县政府公产、法院判决公产、绝产及撤销单位的房产；代管无主房产工作；承担</w:t>
      </w:r>
      <w:r>
        <w:rPr>
          <w:rFonts w:hint="eastAsia" w:ascii="仿宋_GB2312" w:hAnsi="仿宋" w:eastAsia="仿宋_GB2312" w:cs="宋体"/>
          <w:color w:val="000000"/>
          <w:kern w:val="0"/>
          <w:sz w:val="32"/>
          <w:szCs w:val="32"/>
        </w:rPr>
        <w:t>全县住房制度改革工作；承担拟订城区房改方案工作；</w:t>
      </w:r>
      <w:r>
        <w:rPr>
          <w:rFonts w:hint="eastAsia" w:ascii="仿宋_GB2312" w:hAnsi="仿宋" w:eastAsia="仿宋_GB2312"/>
          <w:sz w:val="32"/>
          <w:szCs w:val="32"/>
        </w:rPr>
        <w:t>承担城区房改资金的归集</w:t>
      </w:r>
      <w:r>
        <w:rPr>
          <w:rFonts w:hint="eastAsia" w:ascii="仿宋_GB2312" w:hAnsi="仿宋" w:eastAsia="仿宋_GB2312" w:cs="宋体"/>
          <w:kern w:val="0"/>
          <w:sz w:val="32"/>
          <w:szCs w:val="32"/>
        </w:rPr>
        <w:t>、管理和使用审批工作；</w:t>
      </w:r>
      <w:r>
        <w:rPr>
          <w:rFonts w:hint="eastAsia" w:ascii="仿宋_GB2312" w:hAnsi="仿宋" w:eastAsia="仿宋_GB2312"/>
          <w:sz w:val="32"/>
          <w:szCs w:val="32"/>
        </w:rPr>
        <w:t>承担全县购房补贴发放管理工作。拟订城镇住房保障政策并指导实施；负责廉租住房等保障性住房的建设和管理工作；负责经济适用住房的发展与建设；负责城镇低收入住房困难家庭住房保障资格审核工作；负责各类保障性住房的入住、退出、使用情况的登记和检查工作；负责廉租住房租赁补贴发放工作；负责各类保障性住房数据的搜集、整理、统计、汇总、上报、建档、保管以及市数字化系统管理工作；负责保障性住房配建工作；承担中央和省、市、县城镇保障性安居工程资金的安排等有关事项；组织编制、实施城镇住房保障发展规划和年度计划；指导保障性住房的安全使用；牵头拟订适合县情的住房政策，推动住房制度改革；负责全县保障性安居工程的协调、调度及综合管理工作；负责城区经济适用住房、集资建房等遗留问题处理工作；承担城区回迁安置房统计管理工作；承担廉租住房产权管理工作和廉租住房的租金收取工作。</w:t>
      </w:r>
      <w:r>
        <w:rPr>
          <w:rFonts w:hint="eastAsia" w:ascii="仿宋_GB2312" w:hAnsi="黑体" w:eastAsia="仿宋_GB2312"/>
          <w:sz w:val="32"/>
          <w:szCs w:val="32"/>
        </w:rPr>
        <w:t>负责全县危旧房改造整体规划及年度计划的起草工作；</w:t>
      </w:r>
      <w:r>
        <w:rPr>
          <w:rFonts w:hint="eastAsia" w:ascii="仿宋_GB2312" w:hAnsi="仿宋" w:eastAsia="仿宋_GB2312"/>
          <w:sz w:val="32"/>
          <w:szCs w:val="32"/>
        </w:rPr>
        <w:t>指导城市危险房屋的鉴定和治理</w:t>
      </w:r>
      <w:r>
        <w:rPr>
          <w:rFonts w:hint="eastAsia" w:ascii="仿宋_GB2312" w:hAnsi="黑体" w:eastAsia="仿宋_GB2312"/>
          <w:sz w:val="32"/>
          <w:szCs w:val="32"/>
        </w:rPr>
        <w:t>；负责危旧房改造项目的初审、报批；负责危旧房现状调查及数据库的建立；负责危旧房改造项目管理、协调、调度、督导；负责城市棚户区改造的项目报批；负责</w:t>
      </w:r>
      <w:r>
        <w:rPr>
          <w:rFonts w:hint="eastAsia" w:ascii="仿宋_GB2312" w:hAnsi="仿宋" w:eastAsia="仿宋_GB2312"/>
          <w:sz w:val="32"/>
          <w:szCs w:val="32"/>
        </w:rPr>
        <w:t>城市棚户区改造组织实施工作和监督管理工作；负责棚户区改造项目贷款申请、发放资料的县级初审工作；负责县级政府购买棚改服务工作。</w:t>
      </w:r>
      <w:r>
        <w:rPr>
          <w:rFonts w:hint="eastAsia" w:ascii="仿宋_GB2312" w:hAnsi="黑体" w:eastAsia="仿宋_GB2312"/>
          <w:sz w:val="32"/>
          <w:szCs w:val="32"/>
        </w:rPr>
        <w:t>负责起草全县物业管理政策办法、发展规划和年度计划并组织实施；负责物业管理活动的监督管理工作；会同有关部门建立守信联合激励和失信联合惩戒机制，加强行业诚信管理；负责物业管理从业人员的业务培训；负责城区商品房物业共用部位、共用设施设备维修资金归集、管理、使用和房改房维修资金使用的监督管理工作；负责全县物业管理招投标活动的监督管理；负责城区住宅小区物业管理办公用房配置情况审核、验收和日常监管工作；负责物业企业诚信档案管理工作。</w:t>
      </w:r>
      <w:r>
        <w:rPr>
          <w:rFonts w:hint="eastAsia" w:ascii="仿宋_GB2312" w:eastAsia="仿宋_GB2312"/>
          <w:color w:val="000000"/>
          <w:kern w:val="0"/>
          <w:sz w:val="32"/>
          <w:szCs w:val="32"/>
        </w:rPr>
        <w:t>按照有关法律法规，</w:t>
      </w:r>
      <w:r>
        <w:rPr>
          <w:rFonts w:hint="eastAsia" w:ascii="仿宋_GB2312" w:hAnsi="仿宋" w:eastAsia="仿宋_GB2312"/>
          <w:sz w:val="32"/>
          <w:szCs w:val="32"/>
        </w:rPr>
        <w:t>指导</w:t>
      </w:r>
      <w:r>
        <w:rPr>
          <w:rFonts w:hint="eastAsia" w:ascii="仿宋_GB2312" w:eastAsia="仿宋_GB2312"/>
          <w:color w:val="000000"/>
          <w:kern w:val="0"/>
          <w:sz w:val="32"/>
          <w:szCs w:val="32"/>
        </w:rPr>
        <w:t>本行政区域的国有土地上房屋征收与拆迁工作。</w:t>
      </w:r>
    </w:p>
    <w:p w14:paraId="7F73F2AB">
      <w:pPr>
        <w:widowControl/>
        <w:spacing w:line="580" w:lineRule="exact"/>
        <w:ind w:left="525" w:leftChars="250"/>
        <w:rPr>
          <w:rFonts w:ascii="仿宋_GB2312" w:eastAsia="仿宋_GB2312"/>
          <w:kern w:val="0"/>
          <w:sz w:val="32"/>
          <w:szCs w:val="32"/>
        </w:rPr>
      </w:pPr>
      <w:r>
        <w:rPr>
          <w:rFonts w:hint="eastAsia" w:ascii="仿宋_GB2312" w:eastAsia="仿宋_GB2312"/>
          <w:color w:val="000000"/>
          <w:kern w:val="0"/>
          <w:sz w:val="32"/>
          <w:szCs w:val="32"/>
        </w:rPr>
        <w:t>3、城市建设股（村镇建设股、建筑业管理股）。</w:t>
      </w:r>
      <w:r>
        <w:rPr>
          <w:rFonts w:hint="eastAsia" w:ascii="仿宋_GB2312" w:eastAsia="仿宋_GB2312"/>
          <w:sz w:val="32"/>
          <w:szCs w:val="32"/>
        </w:rPr>
        <w:t>组织实施工程建设实施阶段的国家标准及全国统一的行业标准；监督执行房屋建筑和市政基础设施工程建设地方标准；监督执行公共服务设施（不含通信设施）建设标准；指导工程建设标准实施；负责房屋建筑和市政基础设施工程质量、施工安全的监督管理；监督执行建筑工程质量、施工安全和竣工验收备案的政策、规章制度；组织或参与工程重大质量、安全事故的调查处理；监督执行工程建设发展规划、产业政策和规章制度；监督执行建设监理的规章制度；指导县城及城市规划建设用地范围内的房屋建筑和市政基础设施扬尘治理工作。监督执行建筑施工企业安全生产许可和工程质量检测、建设监理企业、建筑制品企业、起重设备安装企业的资质标准；指导建筑材料设备的使用认证。</w:t>
      </w:r>
      <w:r>
        <w:rPr>
          <w:rFonts w:hint="eastAsia" w:ascii="仿宋_GB2312" w:eastAsia="仿宋_GB2312"/>
          <w:color w:val="000000"/>
          <w:kern w:val="0"/>
          <w:sz w:val="32"/>
          <w:szCs w:val="32"/>
        </w:rPr>
        <w:t>拟订规范建筑市场各方主体行为、施工许可、竣工验收备案、工程风险管理的规章制度并监督执行；制定全县建筑业发展规划、改革方案；负责建筑市场综合管理，依照有关规定规范建筑市场各方主体市场行为；负责建筑队伍准入的审核；负责建筑施工、建筑制品以及装饰装修企业的资质管理；负责国家规定必须招标的房屋建筑和市政基础设施工程招标投标活动的监督工作；指导建筑市场信用体系建设和管理；拟订建筑业行业发展政策，指导建筑业的发展改革；组织编制地方建设工程量计量规则，收集、发布工程材料、人工、机械设备使用等市场价格信息；负责建筑业企业、工程造价咨询单位资质管理；组织协调建筑企业劳务合作、对外承包等事宜，</w:t>
      </w:r>
      <w:r>
        <w:rPr>
          <w:rFonts w:hint="eastAsia" w:ascii="仿宋_GB2312" w:hAnsi="宋体" w:eastAsia="仿宋_GB2312" w:cs="宋体"/>
          <w:color w:val="000000"/>
          <w:kern w:val="0"/>
          <w:sz w:val="32"/>
          <w:szCs w:val="32"/>
        </w:rPr>
        <w:t>指导建筑业企业开拓国内市场，协助市住房城乡建设局监督管理在我县的外地建筑业企业；负责制定房地产综合开发建设管理办法并组织实施；负责房地产开发企业的资质管理；指导城区房地产综合开发工作；负责房地产开发项目管理。</w:t>
      </w:r>
      <w:r>
        <w:rPr>
          <w:rFonts w:hint="eastAsia" w:ascii="仿宋_GB2312" w:eastAsia="仿宋_GB2312"/>
          <w:color w:val="000000"/>
          <w:kern w:val="0"/>
          <w:sz w:val="32"/>
          <w:szCs w:val="32"/>
        </w:rPr>
        <w:t>拟订住房城乡建设科技、建筑节能、绿色建筑和住房城乡建设行业信息化的发展规划和政策并指导实施；组织重大科技课题研究和重大建筑节能项目实施；指导关键共性技术研发和科技成果及新技术、新产品、新工艺、新材料的转化推广应用；指导和推动建筑节能减排、绿色建筑发展和建筑产业现代化；指导房屋墙体材料革新工作；指导和管理建设工程材料设备使用；组织发布限制和禁止使用建设工程材料设备产品目录；指导和管理绿色建筑评价、绿色建材评价标识。</w:t>
      </w:r>
      <w:r>
        <w:rPr>
          <w:rFonts w:hint="eastAsia" w:ascii="仿宋_GB2312" w:eastAsia="仿宋_GB2312"/>
          <w:kern w:val="0"/>
          <w:sz w:val="32"/>
          <w:szCs w:val="32"/>
        </w:rPr>
        <w:t>拟订勘察设计行业发展规划、产业政策和规章制度并监督执行；组织编制城乡建设防灾减灾规划并监督实施，</w:t>
      </w:r>
      <w:r>
        <w:rPr>
          <w:rFonts w:hint="eastAsia" w:ascii="仿宋_GB2312" w:eastAsia="仿宋_GB2312"/>
          <w:sz w:val="32"/>
          <w:szCs w:val="32"/>
        </w:rPr>
        <w:t>监督实施房屋建筑及其附属设施、城市市政基础设施的建设工程勘察设计规范和抗震技术规范；指导房屋建筑和市政基础设施工程抗震设防监督管理,</w:t>
      </w:r>
      <w:r>
        <w:rPr>
          <w:rFonts w:hint="eastAsia" w:ascii="仿宋_GB2312" w:eastAsia="仿宋_GB2312"/>
          <w:kern w:val="0"/>
          <w:sz w:val="32"/>
          <w:szCs w:val="32"/>
        </w:rPr>
        <w:t>负责</w:t>
      </w:r>
      <w:r>
        <w:rPr>
          <w:rFonts w:hint="eastAsia" w:ascii="仿宋_GB2312" w:hAnsi="仿宋_GB2312" w:eastAsia="仿宋_GB2312" w:cs="仿宋_GB2312"/>
          <w:kern w:val="0"/>
          <w:sz w:val="32"/>
          <w:szCs w:val="32"/>
        </w:rPr>
        <w:t>超限高层建筑工程抗震设防的专项审查工</w:t>
      </w:r>
      <w:r>
        <w:rPr>
          <w:rFonts w:hint="eastAsia" w:ascii="仿宋_GB2312" w:eastAsia="仿宋_GB2312"/>
          <w:kern w:val="0"/>
          <w:sz w:val="32"/>
          <w:szCs w:val="32"/>
        </w:rPr>
        <w:t>作</w:t>
      </w:r>
      <w:r>
        <w:rPr>
          <w:rFonts w:hint="eastAsia" w:ascii="仿宋_GB2312" w:eastAsia="仿宋_GB2312"/>
          <w:sz w:val="32"/>
          <w:szCs w:val="32"/>
        </w:rPr>
        <w:t>；监督执行房屋建筑和市政基础设施工程施工图设计审查的管理制度；</w:t>
      </w:r>
      <w:r>
        <w:rPr>
          <w:rFonts w:hint="eastAsia" w:ascii="仿宋_GB2312" w:hAnsi="仿宋_GB2312" w:eastAsia="仿宋_GB2312" w:cs="仿宋_GB2312"/>
          <w:kern w:val="0"/>
          <w:sz w:val="32"/>
          <w:szCs w:val="32"/>
        </w:rPr>
        <w:t>负责</w:t>
      </w:r>
      <w:r>
        <w:rPr>
          <w:rFonts w:hint="eastAsia" w:ascii="仿宋_GB2312" w:eastAsia="仿宋_GB2312"/>
          <w:kern w:val="0"/>
          <w:sz w:val="32"/>
          <w:szCs w:val="32"/>
        </w:rPr>
        <w:t>勘察设计企业的资质管理；</w:t>
      </w:r>
      <w:r>
        <w:rPr>
          <w:rFonts w:hint="eastAsia" w:ascii="仿宋_GB2312" w:eastAsia="仿宋_GB2312"/>
          <w:sz w:val="32"/>
          <w:szCs w:val="32"/>
        </w:rPr>
        <w:t>负责建设工程消防设计审查工作。</w:t>
      </w:r>
      <w:r>
        <w:rPr>
          <w:rFonts w:hint="eastAsia" w:ascii="仿宋_GB2312" w:hAnsi="仿宋_GB2312" w:eastAsia="仿宋_GB2312" w:cs="仿宋_GB2312"/>
          <w:sz w:val="32"/>
          <w:szCs w:val="32"/>
        </w:rPr>
        <w:t>研究拟订城市建设发展改革措施、政策措施和规章制度；</w:t>
      </w:r>
      <w:r>
        <w:rPr>
          <w:rFonts w:hint="eastAsia" w:ascii="仿宋_GB2312" w:eastAsia="仿宋_GB2312"/>
          <w:sz w:val="32"/>
          <w:szCs w:val="32"/>
        </w:rPr>
        <w:t>编制县级住房城乡建设行业和市政公用事业发展规划并组织实施；指导住房和城乡建设行业相关专业规划编制和实施；负责政府投入的市政公用设施及城市重点建设工程的前期准备与报批、工程建设实施工作，组织竣工验收，参与工程预决算的编制与审核工作；指导城市市政公用设施建设；</w:t>
      </w:r>
      <w:r>
        <w:rPr>
          <w:rFonts w:hint="eastAsia" w:ascii="仿宋_GB2312" w:hAnsi="仿宋_GB2312" w:eastAsia="仿宋_GB2312" w:cs="仿宋_GB2312"/>
          <w:sz w:val="32"/>
          <w:szCs w:val="32"/>
        </w:rPr>
        <w:t>指导轨道交通建设；</w:t>
      </w:r>
      <w:r>
        <w:rPr>
          <w:rFonts w:hint="eastAsia" w:ascii="仿宋_GB2312" w:eastAsia="仿宋_GB2312"/>
          <w:sz w:val="32"/>
          <w:szCs w:val="32"/>
        </w:rPr>
        <w:t>负责协助</w:t>
      </w:r>
      <w:r>
        <w:rPr>
          <w:rFonts w:hint="eastAsia" w:ascii="仿宋_GB2312" w:hAnsi="仿宋" w:eastAsia="仿宋_GB2312"/>
          <w:sz w:val="32"/>
          <w:szCs w:val="32"/>
        </w:rPr>
        <w:t>县</w:t>
      </w:r>
      <w:r>
        <w:rPr>
          <w:rFonts w:hint="eastAsia" w:ascii="仿宋_GB2312" w:eastAsia="仿宋_GB2312"/>
          <w:sz w:val="32"/>
          <w:szCs w:val="32"/>
        </w:rPr>
        <w:t>政府统筹指导县政府投资的市政公用设施项目建设。拟订村镇建设政策并指导实施；指导农村住房建设、住房安全及危房改造；负责村镇建设统计工作；会同有关部门组织指导、监督历史文化名镇名村和传统村落保护工作</w:t>
      </w:r>
      <w:r>
        <w:rPr>
          <w:rFonts w:hint="eastAsia" w:ascii="仿宋_GB2312" w:eastAsia="仿宋_GB2312"/>
          <w:kern w:val="0"/>
          <w:sz w:val="32"/>
          <w:szCs w:val="32"/>
        </w:rPr>
        <w:t>；指导村镇建设工程标准、民居通用设计图的编制研究和推广工作；</w:t>
      </w:r>
      <w:r>
        <w:rPr>
          <w:rFonts w:hint="eastAsia" w:ascii="仿宋_GB2312" w:eastAsia="仿宋_GB2312"/>
          <w:sz w:val="32"/>
          <w:szCs w:val="32"/>
        </w:rPr>
        <w:t>组织村镇建设试点，指导重点镇和特色小城镇建设；指导小城镇和村庄人居生态环境的改善工作；指导建制镇生活污水处理；统筹指导农村气代煤电代煤工作。</w:t>
      </w:r>
      <w:r>
        <w:rPr>
          <w:rFonts w:hint="eastAsia" w:ascii="仿宋_GB2312" w:eastAsia="仿宋_GB2312"/>
          <w:kern w:val="0"/>
          <w:sz w:val="32"/>
          <w:szCs w:val="32"/>
        </w:rPr>
        <w:t>协调支援油田建设事宜。负责城镇化建设和县城建设有关工作。</w:t>
      </w:r>
    </w:p>
    <w:p w14:paraId="750BE7B2">
      <w:pPr>
        <w:snapToGrid w:val="0"/>
        <w:spacing w:line="580" w:lineRule="exact"/>
        <w:ind w:left="525" w:leftChars="250"/>
        <w:rPr>
          <w:rFonts w:ascii="黑体" w:hAnsi="黑体" w:eastAsia="仿宋_GB2312" w:cs="黑体"/>
          <w:sz w:val="32"/>
          <w:szCs w:val="32"/>
        </w:rPr>
      </w:pPr>
      <w:r>
        <w:rPr>
          <w:rFonts w:hint="eastAsia" w:ascii="仿宋_GB2312" w:hAnsi="仿宋_GB2312" w:eastAsia="仿宋_GB2312" w:cs="仿宋_GB2312"/>
          <w:sz w:val="32"/>
          <w:szCs w:val="32"/>
        </w:rPr>
        <w:t>4、政策法规与执法监督股（稽查办公室）。研</w:t>
      </w:r>
      <w:r>
        <w:rPr>
          <w:rFonts w:hint="eastAsia" w:ascii="仿宋_GB2312" w:hAnsi="仿宋" w:eastAsia="仿宋_GB2312"/>
          <w:sz w:val="32"/>
          <w:szCs w:val="32"/>
        </w:rPr>
        <w:t>究分析住房城乡建设的重大问题，组织开展综合调研，提出行业相关政策建议；贯彻落实地方性法规、政府规章；拟订住房城乡建设系统行政执法的规章制度，开展住房城乡建设系统执法行为监督与考核；组织查处住房建设领域重大案件以及依法应由县住房城乡建设局实施行政处罚的案件；承担机关有关重大决策、行政处罚和规范性文件的合法性审核；组织有关法律法规宣传教育；负责住房城乡建设系统依法行政；承担有关行政复议、行政应诉工作；负责已办理建设工程规划许可证的住房和建设工程项目的稽查工作；具体负责对已办理建设工程规划许可证后的建筑工程各方市场主体违法违规建设行为、尚未取得商品预售许可证的违规预售违反房地产市场违法违规行为的立案调查工作，并提出处理意见；负责各乡镇（区）、街道、相关单位和局各科室移交的违法违规建设行为的立案调查工作，并提出处理意见；做好建设行政相对人违法行为记录系统管理记录工作。</w:t>
      </w:r>
    </w:p>
    <w:p w14:paraId="12095769">
      <w:pPr>
        <w:pStyle w:val="19"/>
        <w:numPr>
          <w:ilvl w:val="0"/>
          <w:numId w:val="2"/>
        </w:numPr>
        <w:ind w:firstLineChars="0"/>
        <w:jc w:val="left"/>
        <w:rPr>
          <w:rFonts w:ascii="仿宋" w:hAnsi="仿宋" w:eastAsia="仿宋" w:cs="仿宋"/>
          <w:sz w:val="32"/>
          <w:szCs w:val="32"/>
        </w:rPr>
      </w:pPr>
      <w:r>
        <w:rPr>
          <w:rFonts w:hint="eastAsia" w:ascii="仿宋" w:hAnsi="仿宋" w:eastAsia="仿宋" w:cs="仿宋"/>
          <w:sz w:val="32"/>
          <w:szCs w:val="32"/>
        </w:rPr>
        <w:t>人员编制和领导职数</w:t>
      </w:r>
    </w:p>
    <w:p w14:paraId="56BAC3F2">
      <w:pPr>
        <w:ind w:firstLine="800" w:firstLineChars="250"/>
        <w:jc w:val="left"/>
        <w:rPr>
          <w:rFonts w:ascii="仿宋" w:hAnsi="仿宋" w:eastAsia="仿宋" w:cs="仿宋"/>
          <w:sz w:val="32"/>
          <w:szCs w:val="32"/>
        </w:rPr>
      </w:pPr>
      <w:r>
        <w:rPr>
          <w:rFonts w:hint="eastAsia" w:ascii="仿宋" w:hAnsi="仿宋" w:eastAsia="仿宋"/>
          <w:color w:val="000000"/>
          <w:sz w:val="32"/>
          <w:szCs w:val="32"/>
        </w:rPr>
        <w:t>财政开支在职人员共计34人（其中：行政人员10人，事业人员24人），自收自支事业人员50人，企业自收自支及临时人员72人，转业士官2人。</w:t>
      </w:r>
    </w:p>
    <w:p w14:paraId="0F8CF9A6">
      <w:pPr>
        <w:ind w:firstLine="800" w:firstLineChars="250"/>
        <w:jc w:val="left"/>
        <w:rPr>
          <w:rFonts w:ascii="仿宋" w:hAnsi="仿宋" w:eastAsia="仿宋" w:cs="仿宋_GB2312"/>
          <w:bCs/>
          <w:sz w:val="32"/>
          <w:szCs w:val="32"/>
        </w:rPr>
      </w:pPr>
      <w:r>
        <w:rPr>
          <w:rFonts w:hint="eastAsia" w:ascii="仿宋" w:hAnsi="仿宋" w:eastAsia="仿宋" w:cs="仿宋_GB2312"/>
          <w:bCs/>
          <w:sz w:val="32"/>
          <w:szCs w:val="32"/>
        </w:rPr>
        <w:t>二、部门整体支出自评及组织实施情况</w:t>
      </w:r>
    </w:p>
    <w:p w14:paraId="78BBB4A7">
      <w:pPr>
        <w:ind w:firstLine="640" w:firstLineChars="200"/>
        <w:jc w:val="left"/>
        <w:rPr>
          <w:rFonts w:ascii="仿宋" w:hAnsi="仿宋" w:eastAsia="仿宋" w:cs="仿宋_GB2312"/>
          <w:sz w:val="32"/>
          <w:szCs w:val="32"/>
        </w:rPr>
      </w:pPr>
      <w:r>
        <w:rPr>
          <w:rFonts w:hint="eastAsia" w:ascii="仿宋" w:hAnsi="仿宋" w:eastAsia="仿宋" w:cs="仿宋_GB2312"/>
          <w:sz w:val="32"/>
          <w:szCs w:val="32"/>
        </w:rPr>
        <w:t>（一）预算执行情况</w:t>
      </w:r>
    </w:p>
    <w:p w14:paraId="11EF996E">
      <w:pPr>
        <w:ind w:firstLine="640" w:firstLineChars="200"/>
        <w:jc w:val="left"/>
        <w:rPr>
          <w:rFonts w:ascii="仿宋" w:hAnsi="仿宋" w:eastAsia="仿宋" w:cs="仿宋_GB2312"/>
          <w:sz w:val="32"/>
          <w:szCs w:val="32"/>
        </w:rPr>
      </w:pPr>
      <w:r>
        <w:rPr>
          <w:rFonts w:hint="eastAsia" w:ascii="仿宋" w:hAnsi="仿宋" w:eastAsia="仿宋" w:cs="仿宋"/>
          <w:sz w:val="32"/>
          <w:szCs w:val="32"/>
        </w:rPr>
        <w:t>本年支出合计</w:t>
      </w:r>
      <w:r>
        <w:rPr>
          <w:rFonts w:hint="eastAsia" w:ascii="仿宋_GB2312" w:hAnsi="仿宋" w:eastAsia="仿宋_GB2312"/>
          <w:sz w:val="32"/>
          <w:szCs w:val="32"/>
        </w:rPr>
        <w:t>45577.09</w:t>
      </w:r>
      <w:r>
        <w:rPr>
          <w:rFonts w:hint="eastAsia" w:ascii="仿宋" w:hAnsi="仿宋" w:eastAsia="仿宋" w:cs="仿宋"/>
          <w:sz w:val="32"/>
          <w:szCs w:val="32"/>
        </w:rPr>
        <w:t>万元。其中，基本支出</w:t>
      </w:r>
      <w:r>
        <w:rPr>
          <w:rFonts w:hint="eastAsia" w:ascii="仿宋_GB2312" w:hAnsi="仿宋" w:eastAsia="仿宋_GB2312"/>
          <w:sz w:val="32"/>
          <w:szCs w:val="32"/>
        </w:rPr>
        <w:t>372.01</w:t>
      </w:r>
      <w:r>
        <w:rPr>
          <w:rFonts w:hint="eastAsia" w:ascii="仿宋" w:hAnsi="仿宋" w:eastAsia="仿宋" w:cs="仿宋"/>
          <w:sz w:val="32"/>
          <w:szCs w:val="32"/>
        </w:rPr>
        <w:t>万元，占</w:t>
      </w:r>
      <w:r>
        <w:rPr>
          <w:rFonts w:hint="eastAsia" w:ascii="仿宋_GB2312" w:hAnsi="仿宋" w:eastAsia="仿宋_GB2312" w:cs="Times New Roman"/>
          <w:sz w:val="32"/>
          <w:szCs w:val="32"/>
        </w:rPr>
        <w:t>比</w:t>
      </w:r>
      <w:r>
        <w:rPr>
          <w:rFonts w:hint="eastAsia" w:ascii="仿宋_GB2312" w:hAnsi="仿宋" w:eastAsia="仿宋_GB2312"/>
          <w:sz w:val="32"/>
          <w:szCs w:val="32"/>
        </w:rPr>
        <w:t>0.82</w:t>
      </w:r>
      <w:r>
        <w:rPr>
          <w:rFonts w:hint="eastAsia" w:ascii="仿宋" w:hAnsi="仿宋" w:eastAsia="仿宋" w:cs="仿宋"/>
          <w:sz w:val="32"/>
          <w:szCs w:val="32"/>
        </w:rPr>
        <w:t>%，项目支出</w:t>
      </w:r>
      <w:r>
        <w:rPr>
          <w:rFonts w:hint="eastAsia" w:ascii="仿宋_GB2312" w:hAnsi="仿宋" w:eastAsia="仿宋_GB2312"/>
          <w:sz w:val="32"/>
          <w:szCs w:val="32"/>
        </w:rPr>
        <w:t>45205.08</w:t>
      </w:r>
      <w:r>
        <w:rPr>
          <w:rFonts w:hint="eastAsia" w:ascii="仿宋" w:hAnsi="仿宋" w:eastAsia="仿宋" w:cs="仿宋"/>
          <w:sz w:val="32"/>
          <w:szCs w:val="32"/>
        </w:rPr>
        <w:t>万元，占</w:t>
      </w:r>
      <w:r>
        <w:rPr>
          <w:rFonts w:hint="eastAsia" w:ascii="仿宋_GB2312" w:hAnsi="仿宋" w:eastAsia="仿宋_GB2312" w:cs="Times New Roman"/>
          <w:sz w:val="32"/>
          <w:szCs w:val="32"/>
        </w:rPr>
        <w:t>比</w:t>
      </w:r>
      <w:r>
        <w:rPr>
          <w:rFonts w:hint="eastAsia" w:ascii="仿宋_GB2312" w:hAnsi="仿宋" w:eastAsia="仿宋_GB2312"/>
          <w:sz w:val="32"/>
          <w:szCs w:val="32"/>
        </w:rPr>
        <w:t>99.18</w:t>
      </w:r>
      <w:r>
        <w:rPr>
          <w:rFonts w:hint="eastAsia" w:ascii="仿宋" w:hAnsi="仿宋" w:eastAsia="仿宋" w:cs="仿宋"/>
          <w:sz w:val="32"/>
          <w:szCs w:val="32"/>
        </w:rPr>
        <w:t>%，</w:t>
      </w:r>
      <w:r>
        <w:rPr>
          <w:rFonts w:hint="eastAsia" w:ascii="仿宋" w:hAnsi="仿宋" w:eastAsia="仿宋" w:cs="仿宋_GB2312"/>
          <w:sz w:val="32"/>
          <w:szCs w:val="32"/>
        </w:rPr>
        <w:t>具体情况如下：</w:t>
      </w:r>
    </w:p>
    <w:p w14:paraId="5CE305A0">
      <w:pPr>
        <w:numPr>
          <w:ilvl w:val="0"/>
          <w:numId w:val="3"/>
        </w:numPr>
        <w:ind w:firstLine="640" w:firstLineChars="200"/>
        <w:jc w:val="left"/>
        <w:rPr>
          <w:rFonts w:ascii="仿宋" w:hAnsi="仿宋" w:eastAsia="仿宋" w:cs="仿宋_GB2312"/>
          <w:sz w:val="32"/>
          <w:szCs w:val="32"/>
        </w:rPr>
      </w:pPr>
      <w:r>
        <w:rPr>
          <w:rFonts w:hint="eastAsia" w:ascii="仿宋" w:hAnsi="仿宋" w:eastAsia="仿宋" w:cs="仿宋"/>
          <w:sz w:val="32"/>
          <w:szCs w:val="32"/>
        </w:rPr>
        <w:t>2020 年度财政拨款基本支出372.01万元，其中：人员经费343.23万元，主要包括基本工资、津贴补贴、奖金、绩效工资、 机关事业单位基本养老保险缴费、职业年金缴费、职工基本医疗 保险缴费、住房公积金、其他社会保障缴费、其他工资福利支出、奖励金、其他对个人和家庭的补助支出；公用经费28.78万元，主要包括办公费、邮电费、公务接待费、公务用车运行维护费、工会经费、福利费等。</w:t>
      </w:r>
    </w:p>
    <w:p w14:paraId="7C4E54D9">
      <w:pPr>
        <w:numPr>
          <w:ilvl w:val="0"/>
          <w:numId w:val="3"/>
        </w:numPr>
        <w:ind w:firstLine="640" w:firstLineChars="200"/>
        <w:jc w:val="left"/>
        <w:rPr>
          <w:rFonts w:ascii="仿宋" w:hAnsi="仿宋" w:eastAsia="仿宋" w:cs="仿宋_GB2312"/>
          <w:sz w:val="32"/>
          <w:szCs w:val="32"/>
        </w:rPr>
      </w:pPr>
      <w:r>
        <w:rPr>
          <w:rFonts w:hint="eastAsia" w:ascii="仿宋" w:hAnsi="仿宋" w:eastAsia="仿宋" w:cs="仿宋_GB2312"/>
          <w:sz w:val="32"/>
          <w:szCs w:val="32"/>
        </w:rPr>
        <w:t>项目支出</w:t>
      </w:r>
      <w:r>
        <w:rPr>
          <w:rFonts w:hint="eastAsia" w:ascii="仿宋_GB2312" w:hAnsi="仿宋" w:eastAsia="仿宋_GB2312"/>
          <w:sz w:val="32"/>
          <w:szCs w:val="32"/>
        </w:rPr>
        <w:t>45205.08</w:t>
      </w:r>
      <w:r>
        <w:rPr>
          <w:rFonts w:hint="eastAsia" w:ascii="仿宋" w:hAnsi="仿宋" w:eastAsia="仿宋" w:cs="仿宋"/>
          <w:sz w:val="32"/>
          <w:szCs w:val="32"/>
        </w:rPr>
        <w:t>万元</w:t>
      </w:r>
      <w:r>
        <w:rPr>
          <w:rFonts w:hint="eastAsia" w:ascii="仿宋" w:hAnsi="仿宋" w:eastAsia="仿宋" w:cs="仿宋_GB2312"/>
          <w:sz w:val="32"/>
          <w:szCs w:val="32"/>
        </w:rPr>
        <w:t>，包括：自收自支人员经费、城乡建设日常管理支出、城乡建设工作经费、双代工作经费、住房保障工作经费、精神文明奖、目标绩效、平安建设奖、黑臭水体变压器电费、房地产网签交易档案信息管理系统、体育馆工程、汪洋沟综合文化公园提升改造项目、凤凰路（九河大街-和平大街）道路提升改造项目、鼓楼街（石坊路-状元路）沥青照面等重点工程、大气污染防治清洁取暖改造补助资金、低收入家庭租赁住房补贴、公共租赁住房管理及维护支出、2020年老旧小区改造项目、农村危房改造补助资金、征地和拆迁补偿支出、市政公共设施管理与维护支出、碧源污水厂托管运营费等等。</w:t>
      </w:r>
    </w:p>
    <w:p w14:paraId="4B6CB740">
      <w:pPr>
        <w:numPr>
          <w:ilvl w:val="0"/>
          <w:numId w:val="3"/>
        </w:numPr>
        <w:ind w:firstLine="640" w:firstLineChars="200"/>
        <w:jc w:val="left"/>
        <w:rPr>
          <w:rFonts w:ascii="仿宋" w:hAnsi="仿宋" w:eastAsia="仿宋" w:cs="仿宋_GB2312"/>
          <w:sz w:val="32"/>
          <w:szCs w:val="32"/>
        </w:rPr>
      </w:pPr>
      <w:r>
        <w:rPr>
          <w:rFonts w:hint="eastAsia" w:ascii="仿宋" w:hAnsi="仿宋" w:eastAsia="仿宋" w:cs="仿宋_GB2312"/>
          <w:color w:val="000000" w:themeColor="text1"/>
          <w:sz w:val="32"/>
          <w:szCs w:val="32"/>
        </w:rPr>
        <w:t>本年度</w:t>
      </w:r>
      <w:r>
        <w:rPr>
          <w:rFonts w:hint="eastAsia" w:ascii="仿宋" w:hAnsi="仿宋" w:eastAsia="仿宋" w:cs="仿宋_GB2312"/>
          <w:sz w:val="32"/>
          <w:szCs w:val="32"/>
        </w:rPr>
        <w:t>调整预算数49798.67万元，上年结转8308.91万元，本年实际支出</w:t>
      </w:r>
      <w:r>
        <w:rPr>
          <w:rFonts w:hint="eastAsia" w:ascii="仿宋_GB2312" w:hAnsi="仿宋" w:eastAsia="仿宋_GB2312"/>
          <w:sz w:val="32"/>
          <w:szCs w:val="32"/>
        </w:rPr>
        <w:t>45577.09</w:t>
      </w:r>
      <w:r>
        <w:rPr>
          <w:rFonts w:hint="eastAsia" w:ascii="仿宋" w:hAnsi="仿宋" w:eastAsia="仿宋" w:cs="仿宋_GB2312"/>
          <w:sz w:val="32"/>
          <w:szCs w:val="32"/>
        </w:rPr>
        <w:t>万元，结转下年12530.48万元。</w:t>
      </w:r>
    </w:p>
    <w:p w14:paraId="6EBB9A00">
      <w:pPr>
        <w:ind w:left="640"/>
        <w:jc w:val="left"/>
        <w:rPr>
          <w:rFonts w:ascii="仿宋" w:hAnsi="仿宋" w:eastAsia="仿宋" w:cs="仿宋"/>
          <w:sz w:val="32"/>
          <w:szCs w:val="32"/>
        </w:rPr>
      </w:pPr>
      <w:r>
        <w:rPr>
          <w:rFonts w:hint="eastAsia" w:ascii="仿宋" w:hAnsi="仿宋" w:eastAsia="仿宋" w:cs="仿宋"/>
          <w:sz w:val="32"/>
          <w:szCs w:val="32"/>
        </w:rPr>
        <w:t>（二）评价分析</w:t>
      </w:r>
    </w:p>
    <w:p w14:paraId="3165F6DF">
      <w:pPr>
        <w:ind w:firstLine="672" w:firstLineChars="200"/>
        <w:rPr>
          <w:rFonts w:ascii="仿宋" w:hAnsi="仿宋" w:eastAsia="仿宋" w:cs="仿宋"/>
          <w:sz w:val="32"/>
          <w:szCs w:val="32"/>
        </w:rPr>
      </w:pPr>
      <w:r>
        <w:rPr>
          <w:rFonts w:hint="eastAsia" w:ascii="仿宋" w:hAnsi="仿宋" w:eastAsia="仿宋" w:cs="仿宋"/>
          <w:color w:val="333333"/>
          <w:spacing w:val="8"/>
          <w:sz w:val="32"/>
          <w:szCs w:val="32"/>
          <w:shd w:val="clear" w:color="auto" w:fill="FFFFFF"/>
        </w:rPr>
        <w:t>从整体情况来看，我单位严格按照财政局年初预算批复和追加预算审批文件进行部门整体支出，在支出过程中，能严格遵守各项规章制度，所有支出都</w:t>
      </w:r>
      <w:r>
        <w:rPr>
          <w:rFonts w:hint="eastAsia" w:ascii="仿宋" w:hAnsi="仿宋" w:eastAsia="仿宋" w:cs="仿宋"/>
          <w:sz w:val="32"/>
          <w:szCs w:val="32"/>
        </w:rPr>
        <w:t>实行先预算再支出，项目经费专款专用，无挪用滥用资金现象。</w:t>
      </w:r>
    </w:p>
    <w:p w14:paraId="30D269D1">
      <w:pPr>
        <w:ind w:firstLine="640" w:firstLineChars="200"/>
        <w:jc w:val="left"/>
        <w:rPr>
          <w:rFonts w:ascii="仿宋" w:hAnsi="仿宋" w:eastAsia="仿宋" w:cs="仿宋"/>
          <w:sz w:val="32"/>
          <w:szCs w:val="32"/>
        </w:rPr>
      </w:pPr>
      <w:r>
        <w:rPr>
          <w:rFonts w:hint="eastAsia" w:ascii="仿宋" w:hAnsi="仿宋" w:eastAsia="仿宋" w:cs="仿宋"/>
          <w:sz w:val="32"/>
          <w:szCs w:val="32"/>
        </w:rPr>
        <w:t>（三）绩效评价工作的实施</w:t>
      </w:r>
    </w:p>
    <w:p w14:paraId="307D19A9">
      <w:pPr>
        <w:ind w:firstLine="640" w:firstLineChars="200"/>
        <w:jc w:val="left"/>
        <w:rPr>
          <w:rFonts w:ascii="仿宋" w:hAnsi="仿宋" w:eastAsia="仿宋" w:cs="仿宋"/>
          <w:sz w:val="32"/>
          <w:szCs w:val="32"/>
        </w:rPr>
      </w:pPr>
      <w:r>
        <w:rPr>
          <w:rFonts w:hint="eastAsia" w:ascii="仿宋" w:hAnsi="仿宋" w:eastAsia="仿宋" w:cs="仿宋"/>
          <w:sz w:val="32"/>
          <w:szCs w:val="32"/>
        </w:rPr>
        <w:t>1、核实相关资料的真实性、合法性，对项目资料中反映的或分析中发现的问题进行重点核查。</w:t>
      </w:r>
    </w:p>
    <w:p w14:paraId="663A4600">
      <w:pPr>
        <w:ind w:firstLine="640" w:firstLineChars="200"/>
        <w:jc w:val="left"/>
        <w:rPr>
          <w:rFonts w:ascii="仿宋" w:hAnsi="仿宋" w:eastAsia="仿宋" w:cs="仿宋"/>
          <w:sz w:val="32"/>
          <w:szCs w:val="32"/>
        </w:rPr>
      </w:pPr>
      <w:r>
        <w:rPr>
          <w:rFonts w:hint="eastAsia" w:ascii="仿宋" w:hAnsi="仿宋" w:eastAsia="仿宋" w:cs="仿宋"/>
          <w:sz w:val="32"/>
          <w:szCs w:val="32"/>
        </w:rPr>
        <w:t>2、实地检查的形式：采取回访调查、查阅资料等方式。</w:t>
      </w:r>
    </w:p>
    <w:p w14:paraId="41B62BFF">
      <w:pPr>
        <w:ind w:firstLine="640" w:firstLineChars="200"/>
        <w:jc w:val="left"/>
        <w:rPr>
          <w:rFonts w:ascii="仿宋" w:hAnsi="仿宋" w:eastAsia="仿宋" w:cs="仿宋"/>
          <w:sz w:val="32"/>
          <w:szCs w:val="32"/>
        </w:rPr>
      </w:pPr>
      <w:r>
        <w:rPr>
          <w:rFonts w:hint="eastAsia" w:ascii="仿宋" w:hAnsi="仿宋" w:eastAsia="仿宋" w:cs="仿宋"/>
          <w:sz w:val="32"/>
          <w:szCs w:val="32"/>
        </w:rPr>
        <w:t>3、综合评价。在全面分析整理被评价项目的相关数据资料的基础上，总结评价情况，对照评价指标和标准，进行综合评议与打分，得出评价结论，撰写评价报告。</w:t>
      </w:r>
    </w:p>
    <w:p w14:paraId="172586D7">
      <w:pPr>
        <w:ind w:firstLine="672" w:firstLineChars="200"/>
        <w:jc w:val="left"/>
        <w:rPr>
          <w:rFonts w:ascii="仿宋" w:hAnsi="仿宋" w:eastAsia="仿宋"/>
          <w:color w:val="333333"/>
          <w:spacing w:val="8"/>
          <w:sz w:val="32"/>
          <w:szCs w:val="32"/>
          <w:shd w:val="clear" w:color="auto" w:fill="FFFFFF"/>
        </w:rPr>
      </w:pPr>
      <w:r>
        <w:rPr>
          <w:rFonts w:hint="eastAsia" w:ascii="仿宋" w:hAnsi="仿宋" w:eastAsia="仿宋"/>
          <w:color w:val="333333"/>
          <w:spacing w:val="8"/>
          <w:sz w:val="32"/>
          <w:szCs w:val="32"/>
          <w:shd w:val="clear" w:color="auto" w:fill="FFFFFF"/>
        </w:rPr>
        <w:t>三、存在的问题和改进的方向</w:t>
      </w:r>
    </w:p>
    <w:p w14:paraId="385EA67B">
      <w:pPr>
        <w:ind w:firstLine="672" w:firstLineChars="200"/>
        <w:jc w:val="left"/>
        <w:rPr>
          <w:rFonts w:ascii="仿宋" w:hAnsi="仿宋" w:eastAsia="仿宋" w:cs="仿宋"/>
          <w:sz w:val="32"/>
          <w:szCs w:val="32"/>
        </w:rPr>
      </w:pPr>
      <w:r>
        <w:rPr>
          <w:rFonts w:hint="eastAsia" w:ascii="仿宋" w:hAnsi="仿宋" w:eastAsia="仿宋"/>
          <w:color w:val="333333"/>
          <w:spacing w:val="8"/>
          <w:sz w:val="32"/>
          <w:szCs w:val="32"/>
          <w:shd w:val="clear" w:color="auto" w:fill="FFFFFF"/>
        </w:rPr>
        <w:t>2020年，我单位各项工作取得了良好的成绩，但也存在一些问题。主要是年初预算数编制不够全面不够细致。</w:t>
      </w:r>
    </w:p>
    <w:p w14:paraId="36FA1574">
      <w:pPr>
        <w:ind w:firstLine="672" w:firstLineChars="200"/>
        <w:jc w:val="left"/>
        <w:rPr>
          <w:rFonts w:ascii="仿宋" w:hAnsi="仿宋" w:eastAsia="仿宋"/>
          <w:color w:val="333333"/>
          <w:spacing w:val="8"/>
          <w:sz w:val="32"/>
          <w:szCs w:val="32"/>
          <w:shd w:val="clear" w:color="auto" w:fill="FFFFFF"/>
        </w:rPr>
      </w:pPr>
      <w:r>
        <w:rPr>
          <w:rFonts w:hint="eastAsia" w:ascii="仿宋" w:hAnsi="仿宋" w:eastAsia="仿宋"/>
          <w:color w:val="333333"/>
          <w:spacing w:val="8"/>
          <w:sz w:val="32"/>
          <w:szCs w:val="32"/>
          <w:shd w:val="clear" w:color="auto" w:fill="FFFFFF"/>
        </w:rPr>
        <w:t>通过开展部门整体支出绩效自评，我们吸取了一些教训也收获一定的经验，要科学合理地编制部门预算，预算要结合本部门的事业发展计划、职责，要确保部门预算编制真实、准确、完整，切合单位实际。要强化绩效管理考核，围绕绩效考核目标任务，层层分解落实，明确责任人，强化责任意识，确保各项绩效考核指标保质保量完成。</w:t>
      </w:r>
    </w:p>
    <w:p w14:paraId="1592D33E">
      <w:pPr>
        <w:ind w:firstLine="672" w:firstLineChars="200"/>
        <w:jc w:val="left"/>
        <w:rPr>
          <w:rFonts w:ascii="仿宋" w:hAnsi="仿宋" w:eastAsia="仿宋"/>
          <w:color w:val="333333"/>
          <w:spacing w:val="8"/>
          <w:sz w:val="32"/>
          <w:szCs w:val="32"/>
          <w:shd w:val="clear" w:color="auto" w:fill="FFFFFF"/>
        </w:rPr>
      </w:pPr>
    </w:p>
    <w:p w14:paraId="6809B207">
      <w:pPr>
        <w:ind w:firstLine="672" w:firstLineChars="200"/>
        <w:jc w:val="left"/>
        <w:rPr>
          <w:rFonts w:ascii="仿宋" w:hAnsi="仿宋" w:eastAsia="仿宋"/>
          <w:color w:val="333333"/>
          <w:spacing w:val="8"/>
          <w:sz w:val="32"/>
          <w:szCs w:val="32"/>
          <w:shd w:val="clear" w:color="auto" w:fill="FFFFFF"/>
        </w:rPr>
      </w:pPr>
    </w:p>
    <w:p w14:paraId="3FCC1FFD">
      <w:pPr>
        <w:ind w:firstLine="6048" w:firstLineChars="1800"/>
        <w:jc w:val="left"/>
        <w:rPr>
          <w:rFonts w:ascii="仿宋" w:hAnsi="仿宋" w:eastAsia="仿宋"/>
          <w:color w:val="333333"/>
          <w:spacing w:val="8"/>
          <w:sz w:val="32"/>
          <w:szCs w:val="32"/>
          <w:shd w:val="clear" w:color="auto" w:fill="FFFFFF"/>
        </w:rPr>
      </w:pPr>
      <w:r>
        <w:rPr>
          <w:rFonts w:hint="eastAsia" w:ascii="仿宋" w:hAnsi="仿宋" w:eastAsia="仿宋"/>
          <w:color w:val="333333"/>
          <w:spacing w:val="8"/>
          <w:sz w:val="32"/>
          <w:szCs w:val="32"/>
          <w:shd w:val="clear" w:color="auto" w:fill="FFFFFF"/>
        </w:rPr>
        <w:t>2021年5月11日</w:t>
      </w:r>
    </w:p>
    <w:p w14:paraId="7838FB30">
      <w:pPr>
        <w:rPr>
          <w:rFonts w:ascii="仿宋" w:hAnsi="仿宋" w:eastAsia="仿宋" w:cs="仿宋"/>
          <w:b/>
          <w:bCs/>
          <w:sz w:val="30"/>
          <w:szCs w:val="30"/>
        </w:rPr>
      </w:pPr>
    </w:p>
    <w:sectPr>
      <w:footerReference r:id="rId3" w:type="default"/>
      <w:footerReference r:id="rId4" w:type="even"/>
      <w:pgSz w:w="11906" w:h="16838"/>
      <w:pgMar w:top="1985" w:right="1418" w:bottom="1985" w:left="1418" w:header="851" w:footer="1701" w:gutter="0"/>
      <w:cols w:space="425" w:num="1"/>
      <w:formProt w:val="1"/>
      <w:docGrid w:type="lines" w:linePitch="313"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新宋体">
    <w:panose1 w:val="02010609030101010101"/>
    <w:charset w:val="86"/>
    <w:family w:val="modern"/>
    <w:pitch w:val="default"/>
    <w:sig w:usb0="00000003" w:usb1="288F0000" w:usb2="0000000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70C3E9">
    <w:pPr>
      <w:pStyle w:val="6"/>
      <w:framePr w:wrap="around" w:vAnchor="text" w:hAnchor="margin" w:xAlign="outside" w:y="1"/>
      <w:rPr>
        <w:rStyle w:val="13"/>
        <w:rFonts w:ascii="宋体" w:hAnsi="宋体" w:eastAsia="宋体"/>
        <w:sz w:val="28"/>
        <w:szCs w:val="28"/>
      </w:rPr>
    </w:pPr>
    <w:r>
      <w:rPr>
        <w:rStyle w:val="13"/>
        <w:rFonts w:hint="eastAsia" w:ascii="宋体" w:hAnsi="宋体" w:eastAsia="宋体"/>
        <w:sz w:val="28"/>
        <w:szCs w:val="28"/>
      </w:rPr>
      <w:t>-</w:t>
    </w:r>
    <w:r>
      <w:rPr>
        <w:rStyle w:val="13"/>
        <w:rFonts w:ascii="宋体" w:hAnsi="宋体" w:eastAsia="宋体"/>
        <w:sz w:val="28"/>
        <w:szCs w:val="28"/>
      </w:rPr>
      <w:fldChar w:fldCharType="begin"/>
    </w:r>
    <w:r>
      <w:rPr>
        <w:rStyle w:val="13"/>
        <w:rFonts w:ascii="宋体" w:hAnsi="宋体" w:eastAsia="宋体"/>
        <w:sz w:val="28"/>
        <w:szCs w:val="28"/>
      </w:rPr>
      <w:instrText xml:space="preserve">PAGE  </w:instrText>
    </w:r>
    <w:r>
      <w:rPr>
        <w:rStyle w:val="13"/>
        <w:rFonts w:ascii="宋体" w:hAnsi="宋体" w:eastAsia="宋体"/>
        <w:sz w:val="28"/>
        <w:szCs w:val="28"/>
      </w:rPr>
      <w:fldChar w:fldCharType="separate"/>
    </w:r>
    <w:r>
      <w:rPr>
        <w:rStyle w:val="13"/>
        <w:rFonts w:ascii="宋体" w:hAnsi="宋体" w:eastAsia="宋体"/>
        <w:sz w:val="28"/>
        <w:szCs w:val="28"/>
      </w:rPr>
      <w:t>18</w:t>
    </w:r>
    <w:r>
      <w:rPr>
        <w:rStyle w:val="13"/>
        <w:rFonts w:ascii="宋体" w:hAnsi="宋体" w:eastAsia="宋体"/>
        <w:sz w:val="28"/>
        <w:szCs w:val="28"/>
      </w:rPr>
      <w:fldChar w:fldCharType="end"/>
    </w:r>
    <w:r>
      <w:rPr>
        <w:rStyle w:val="13"/>
        <w:rFonts w:hint="eastAsia" w:ascii="宋体" w:hAnsi="宋体" w:eastAsia="宋体"/>
        <w:sz w:val="28"/>
        <w:szCs w:val="28"/>
      </w:rPr>
      <w:t>-</w:t>
    </w:r>
  </w:p>
  <w:p w14:paraId="169CF002">
    <w:pPr>
      <w:pStyle w:val="6"/>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F6AB4F">
    <w:pPr>
      <w:pStyle w:val="6"/>
      <w:framePr w:wrap="around" w:vAnchor="text" w:hAnchor="margin" w:xAlign="outside" w:y="1"/>
      <w:rPr>
        <w:rStyle w:val="13"/>
      </w:rPr>
    </w:pPr>
    <w:r>
      <w:rPr>
        <w:rStyle w:val="13"/>
      </w:rPr>
      <w:fldChar w:fldCharType="begin"/>
    </w:r>
    <w:r>
      <w:rPr>
        <w:rStyle w:val="13"/>
      </w:rPr>
      <w:instrText xml:space="preserve">PAGE  </w:instrText>
    </w:r>
    <w:r>
      <w:rPr>
        <w:rStyle w:val="13"/>
      </w:rPr>
      <w:fldChar w:fldCharType="end"/>
    </w:r>
  </w:p>
  <w:p w14:paraId="7028E1A4">
    <w:pPr>
      <w:pStyle w:val="6"/>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183276B"/>
    <w:multiLevelType w:val="multilevel"/>
    <w:tmpl w:val="0183276B"/>
    <w:lvl w:ilvl="0" w:tentative="0">
      <w:start w:val="2"/>
      <w:numFmt w:val="japaneseCounting"/>
      <w:lvlText w:val="（%1）"/>
      <w:lvlJc w:val="left"/>
      <w:pPr>
        <w:ind w:left="1647" w:hanging="1080"/>
      </w:pPr>
      <w:rPr>
        <w:rFonts w:hint="default"/>
      </w:rPr>
    </w:lvl>
    <w:lvl w:ilvl="1" w:tentative="0">
      <w:start w:val="1"/>
      <w:numFmt w:val="lowerLetter"/>
      <w:lvlText w:val="%2)"/>
      <w:lvlJc w:val="left"/>
      <w:pPr>
        <w:ind w:left="1407" w:hanging="420"/>
      </w:pPr>
    </w:lvl>
    <w:lvl w:ilvl="2" w:tentative="0">
      <w:start w:val="1"/>
      <w:numFmt w:val="lowerRoman"/>
      <w:lvlText w:val="%3."/>
      <w:lvlJc w:val="right"/>
      <w:pPr>
        <w:ind w:left="1827" w:hanging="420"/>
      </w:pPr>
    </w:lvl>
    <w:lvl w:ilvl="3" w:tentative="0">
      <w:start w:val="1"/>
      <w:numFmt w:val="decimal"/>
      <w:lvlText w:val="%4."/>
      <w:lvlJc w:val="left"/>
      <w:pPr>
        <w:ind w:left="2247" w:hanging="420"/>
      </w:pPr>
    </w:lvl>
    <w:lvl w:ilvl="4" w:tentative="0">
      <w:start w:val="1"/>
      <w:numFmt w:val="lowerLetter"/>
      <w:lvlText w:val="%5)"/>
      <w:lvlJc w:val="left"/>
      <w:pPr>
        <w:ind w:left="2667" w:hanging="420"/>
      </w:pPr>
    </w:lvl>
    <w:lvl w:ilvl="5" w:tentative="0">
      <w:start w:val="1"/>
      <w:numFmt w:val="lowerRoman"/>
      <w:lvlText w:val="%6."/>
      <w:lvlJc w:val="right"/>
      <w:pPr>
        <w:ind w:left="3087" w:hanging="420"/>
      </w:pPr>
    </w:lvl>
    <w:lvl w:ilvl="6" w:tentative="0">
      <w:start w:val="1"/>
      <w:numFmt w:val="decimal"/>
      <w:lvlText w:val="%7."/>
      <w:lvlJc w:val="left"/>
      <w:pPr>
        <w:ind w:left="3507" w:hanging="420"/>
      </w:pPr>
    </w:lvl>
    <w:lvl w:ilvl="7" w:tentative="0">
      <w:start w:val="1"/>
      <w:numFmt w:val="lowerLetter"/>
      <w:lvlText w:val="%8)"/>
      <w:lvlJc w:val="left"/>
      <w:pPr>
        <w:ind w:left="3927" w:hanging="420"/>
      </w:pPr>
    </w:lvl>
    <w:lvl w:ilvl="8" w:tentative="0">
      <w:start w:val="1"/>
      <w:numFmt w:val="lowerRoman"/>
      <w:lvlText w:val="%9."/>
      <w:lvlJc w:val="right"/>
      <w:pPr>
        <w:ind w:left="4347" w:hanging="420"/>
      </w:pPr>
    </w:lvl>
  </w:abstractNum>
  <w:abstractNum w:abstractNumId="1">
    <w:nsid w:val="2F21361D"/>
    <w:multiLevelType w:val="singleLevel"/>
    <w:tmpl w:val="2F21361D"/>
    <w:lvl w:ilvl="0" w:tentative="0">
      <w:start w:val="1"/>
      <w:numFmt w:val="decimal"/>
      <w:suff w:val="nothing"/>
      <w:lvlText w:val="%1、"/>
      <w:lvlJc w:val="left"/>
    </w:lvl>
  </w:abstractNum>
  <w:abstractNum w:abstractNumId="2">
    <w:nsid w:val="41EDEA68"/>
    <w:multiLevelType w:val="singleLevel"/>
    <w:tmpl w:val="41EDEA68"/>
    <w:lvl w:ilvl="0" w:tentative="0">
      <w:start w:val="1"/>
      <w:numFmt w:val="chineseCounting"/>
      <w:suff w:val="nothing"/>
      <w:lvlText w:val="（%1）"/>
      <w:lvlJc w:val="left"/>
      <w:rPr>
        <w:rFonts w:hint="eastAsia"/>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dit="comments" w:enforcement="0"/>
  <w:defaultTabStop w:val="420"/>
  <w:drawingGridHorizontalSpacing w:val="105"/>
  <w:drawingGridVerticalSpacing w:val="313"/>
  <w:displayHorizontalDrawingGridEvery w:val="0"/>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DocGlobalSDAFBBDHA" w:val="1Ewx4BjFOSqyzXhfVqymT3yCLIbiM2wZuSXhcjQSv9DKhHXnH5+ZJBo9LHYMqSSaFVyQz9SGaOHYXJDP1IZo4dhckM/Uhmjh2FyQz9SGaOHYXJDP1IZo4dhckM/Uhmjh2FyQz9SGaOHYXJDP1IZo4dhckM/Uhmjh2FyQz9SGaOHYXJDP1IZo4dhckM/Uhmjh2FyQz9SGaOHYAAAAAA=="/>
  </w:docVars>
  <w:rsids>
    <w:rsidRoot w:val="00042933"/>
    <w:rsid w:val="00002F2C"/>
    <w:rsid w:val="000070A8"/>
    <w:rsid w:val="00016CA4"/>
    <w:rsid w:val="000324AE"/>
    <w:rsid w:val="00042933"/>
    <w:rsid w:val="0008033E"/>
    <w:rsid w:val="0008759D"/>
    <w:rsid w:val="00094F2B"/>
    <w:rsid w:val="000B0A83"/>
    <w:rsid w:val="000B6322"/>
    <w:rsid w:val="000C2CC1"/>
    <w:rsid w:val="000E4A5A"/>
    <w:rsid w:val="00103547"/>
    <w:rsid w:val="001212C8"/>
    <w:rsid w:val="0017068B"/>
    <w:rsid w:val="00177D8F"/>
    <w:rsid w:val="0018102E"/>
    <w:rsid w:val="00185A3C"/>
    <w:rsid w:val="00186D32"/>
    <w:rsid w:val="001919B5"/>
    <w:rsid w:val="00192D5A"/>
    <w:rsid w:val="001C59B3"/>
    <w:rsid w:val="001E0886"/>
    <w:rsid w:val="001E7300"/>
    <w:rsid w:val="001F4F4C"/>
    <w:rsid w:val="001F7E31"/>
    <w:rsid w:val="002071BC"/>
    <w:rsid w:val="00225AE6"/>
    <w:rsid w:val="00235F0F"/>
    <w:rsid w:val="00255783"/>
    <w:rsid w:val="00290BA1"/>
    <w:rsid w:val="002A08AB"/>
    <w:rsid w:val="002A6AEA"/>
    <w:rsid w:val="002E273F"/>
    <w:rsid w:val="002F2268"/>
    <w:rsid w:val="003C50C2"/>
    <w:rsid w:val="0041099F"/>
    <w:rsid w:val="00436A1D"/>
    <w:rsid w:val="004379D7"/>
    <w:rsid w:val="0044716E"/>
    <w:rsid w:val="00483C75"/>
    <w:rsid w:val="00496251"/>
    <w:rsid w:val="004A68B1"/>
    <w:rsid w:val="004B64F3"/>
    <w:rsid w:val="004E3B64"/>
    <w:rsid w:val="005020C5"/>
    <w:rsid w:val="00540A29"/>
    <w:rsid w:val="00565BB4"/>
    <w:rsid w:val="00567FE6"/>
    <w:rsid w:val="0057313B"/>
    <w:rsid w:val="00580A75"/>
    <w:rsid w:val="0058162A"/>
    <w:rsid w:val="005B3616"/>
    <w:rsid w:val="005E12FA"/>
    <w:rsid w:val="005E1B4B"/>
    <w:rsid w:val="005F6718"/>
    <w:rsid w:val="00683167"/>
    <w:rsid w:val="006A5056"/>
    <w:rsid w:val="006E64C9"/>
    <w:rsid w:val="007048FF"/>
    <w:rsid w:val="00712100"/>
    <w:rsid w:val="0071700D"/>
    <w:rsid w:val="00732E49"/>
    <w:rsid w:val="00732ED6"/>
    <w:rsid w:val="0073757D"/>
    <w:rsid w:val="00742652"/>
    <w:rsid w:val="00772600"/>
    <w:rsid w:val="007D5D41"/>
    <w:rsid w:val="007F01F9"/>
    <w:rsid w:val="00856BA1"/>
    <w:rsid w:val="00867620"/>
    <w:rsid w:val="008709E0"/>
    <w:rsid w:val="0088502D"/>
    <w:rsid w:val="008A6A10"/>
    <w:rsid w:val="008A6A31"/>
    <w:rsid w:val="008B3AAA"/>
    <w:rsid w:val="00904AF4"/>
    <w:rsid w:val="00905542"/>
    <w:rsid w:val="00917700"/>
    <w:rsid w:val="00956F74"/>
    <w:rsid w:val="009B0B5F"/>
    <w:rsid w:val="009B2217"/>
    <w:rsid w:val="009C04DA"/>
    <w:rsid w:val="009C4C62"/>
    <w:rsid w:val="009E3627"/>
    <w:rsid w:val="009F53E7"/>
    <w:rsid w:val="00A11BF8"/>
    <w:rsid w:val="00A14A33"/>
    <w:rsid w:val="00A328A3"/>
    <w:rsid w:val="00A44384"/>
    <w:rsid w:val="00A6449D"/>
    <w:rsid w:val="00A65738"/>
    <w:rsid w:val="00A72172"/>
    <w:rsid w:val="00A768DB"/>
    <w:rsid w:val="00AA09C8"/>
    <w:rsid w:val="00AC4C27"/>
    <w:rsid w:val="00AD5F30"/>
    <w:rsid w:val="00AE3519"/>
    <w:rsid w:val="00B0681D"/>
    <w:rsid w:val="00B9023F"/>
    <w:rsid w:val="00BC1FDC"/>
    <w:rsid w:val="00BD0FD8"/>
    <w:rsid w:val="00BE4BA6"/>
    <w:rsid w:val="00BF5AB6"/>
    <w:rsid w:val="00C059AE"/>
    <w:rsid w:val="00C216F9"/>
    <w:rsid w:val="00C44804"/>
    <w:rsid w:val="00C51211"/>
    <w:rsid w:val="00C60E86"/>
    <w:rsid w:val="00C6362A"/>
    <w:rsid w:val="00C74E4F"/>
    <w:rsid w:val="00C81363"/>
    <w:rsid w:val="00CB27A5"/>
    <w:rsid w:val="00CD55ED"/>
    <w:rsid w:val="00CD63C0"/>
    <w:rsid w:val="00CE62A0"/>
    <w:rsid w:val="00D007D0"/>
    <w:rsid w:val="00D13E40"/>
    <w:rsid w:val="00D21F0C"/>
    <w:rsid w:val="00D22711"/>
    <w:rsid w:val="00D366C1"/>
    <w:rsid w:val="00D423B2"/>
    <w:rsid w:val="00D72D56"/>
    <w:rsid w:val="00D83D00"/>
    <w:rsid w:val="00D877F7"/>
    <w:rsid w:val="00DB18B9"/>
    <w:rsid w:val="00DB2D43"/>
    <w:rsid w:val="00DC0F8A"/>
    <w:rsid w:val="00E02884"/>
    <w:rsid w:val="00E266F1"/>
    <w:rsid w:val="00E65D34"/>
    <w:rsid w:val="00EB16A8"/>
    <w:rsid w:val="00EC7904"/>
    <w:rsid w:val="00F721C6"/>
    <w:rsid w:val="00F72E93"/>
    <w:rsid w:val="00F87A11"/>
    <w:rsid w:val="00FB7E01"/>
    <w:rsid w:val="00FE5F4C"/>
    <w:rsid w:val="00FF39F6"/>
    <w:rsid w:val="05374814"/>
    <w:rsid w:val="0C8F0285"/>
    <w:rsid w:val="0F8F6BFC"/>
    <w:rsid w:val="107166F3"/>
    <w:rsid w:val="1C841DE7"/>
    <w:rsid w:val="2D2C4169"/>
    <w:rsid w:val="3791647A"/>
    <w:rsid w:val="455969D8"/>
    <w:rsid w:val="48725571"/>
    <w:rsid w:val="4BDB04ED"/>
    <w:rsid w:val="52280AFE"/>
    <w:rsid w:val="526A3656"/>
    <w:rsid w:val="54B24407"/>
    <w:rsid w:val="5A517D4F"/>
    <w:rsid w:val="5D643D56"/>
    <w:rsid w:val="64283056"/>
    <w:rsid w:val="69BD0A47"/>
    <w:rsid w:val="71A911C9"/>
    <w:rsid w:val="7793669D"/>
    <w:rsid w:val="77A3265C"/>
    <w:rsid w:val="7CCC213E"/>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7"/>
    <w:qFormat/>
    <w:uiPriority w:val="9"/>
    <w:pPr>
      <w:spacing w:before="100" w:beforeAutospacing="1" w:after="100" w:afterAutospacing="1"/>
      <w:jc w:val="left"/>
      <w:outlineLvl w:val="0"/>
    </w:pPr>
    <w:rPr>
      <w:rFonts w:hint="eastAsia" w:ascii="宋体" w:hAnsi="宋体" w:eastAsia="宋体" w:cs="宋体"/>
      <w:b/>
      <w:kern w:val="44"/>
      <w:sz w:val="48"/>
      <w:szCs w:val="48"/>
    </w:rPr>
  </w:style>
  <w:style w:type="character" w:default="1" w:styleId="11">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3">
    <w:name w:val="Body Text"/>
    <w:basedOn w:val="1"/>
    <w:qFormat/>
    <w:uiPriority w:val="99"/>
    <w:pPr>
      <w:autoSpaceDE w:val="0"/>
      <w:autoSpaceDN w:val="0"/>
      <w:adjustRightInd w:val="0"/>
      <w:snapToGrid w:val="0"/>
      <w:spacing w:line="588" w:lineRule="atLeast"/>
    </w:pPr>
    <w:rPr>
      <w:rFonts w:ascii="宋体" w:hAnsi="宋体" w:eastAsia="仿宋_GB2312"/>
      <w:spacing w:val="-2"/>
      <w:sz w:val="32"/>
      <w:szCs w:val="24"/>
    </w:rPr>
  </w:style>
  <w:style w:type="paragraph" w:styleId="4">
    <w:name w:val="Body Text Indent"/>
    <w:basedOn w:val="1"/>
    <w:link w:val="20"/>
    <w:semiHidden/>
    <w:unhideWhenUsed/>
    <w:qFormat/>
    <w:uiPriority w:val="99"/>
    <w:pPr>
      <w:spacing w:after="120"/>
      <w:ind w:left="420" w:leftChars="200"/>
    </w:pPr>
  </w:style>
  <w:style w:type="paragraph" w:styleId="5">
    <w:name w:val="Plain Text"/>
    <w:basedOn w:val="1"/>
    <w:link w:val="16"/>
    <w:qFormat/>
    <w:uiPriority w:val="0"/>
    <w:rPr>
      <w:rFonts w:ascii="宋体" w:hAnsi="Courier New" w:eastAsia="宋体" w:cs="Courier New"/>
      <w:szCs w:val="21"/>
    </w:rPr>
  </w:style>
  <w:style w:type="paragraph" w:styleId="6">
    <w:name w:val="footer"/>
    <w:basedOn w:val="1"/>
    <w:link w:val="15"/>
    <w:unhideWhenUsed/>
    <w:qFormat/>
    <w:uiPriority w:val="99"/>
    <w:pPr>
      <w:tabs>
        <w:tab w:val="center" w:pos="4153"/>
        <w:tab w:val="right" w:pos="8306"/>
      </w:tabs>
      <w:snapToGrid w:val="0"/>
      <w:jc w:val="left"/>
    </w:pPr>
    <w:rPr>
      <w:sz w:val="18"/>
      <w:szCs w:val="18"/>
    </w:rPr>
  </w:style>
  <w:style w:type="paragraph" w:styleId="7">
    <w:name w:val="header"/>
    <w:basedOn w:val="1"/>
    <w:link w:val="14"/>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Normal (Web)"/>
    <w:basedOn w:val="1"/>
    <w:qFormat/>
    <w:uiPriority w:val="99"/>
    <w:pPr>
      <w:widowControl/>
      <w:spacing w:before="100" w:beforeAutospacing="1" w:after="100" w:afterAutospacing="1"/>
      <w:jc w:val="left"/>
    </w:pPr>
    <w:rPr>
      <w:rFonts w:ascii="宋体" w:hAnsi="宋体" w:eastAsia="宋体" w:cs="宋体"/>
      <w:kern w:val="0"/>
      <w:sz w:val="24"/>
      <w:szCs w:val="24"/>
    </w:rPr>
  </w:style>
  <w:style w:type="paragraph" w:styleId="9">
    <w:name w:val="Body Text First Indent 2"/>
    <w:basedOn w:val="4"/>
    <w:link w:val="21"/>
    <w:qFormat/>
    <w:uiPriority w:val="0"/>
    <w:pPr>
      <w:ind w:firstLine="420" w:firstLineChars="200"/>
    </w:pPr>
    <w:rPr>
      <w:rFonts w:ascii="Calibri" w:hAnsi="Calibri" w:eastAsia="宋体" w:cs="Times New Roman"/>
      <w:szCs w:val="24"/>
    </w:rPr>
  </w:style>
  <w:style w:type="character" w:styleId="12">
    <w:name w:val="Strong"/>
    <w:basedOn w:val="11"/>
    <w:qFormat/>
    <w:uiPriority w:val="22"/>
    <w:rPr>
      <w:b/>
      <w:bCs/>
    </w:rPr>
  </w:style>
  <w:style w:type="character" w:styleId="13">
    <w:name w:val="page number"/>
    <w:basedOn w:val="11"/>
    <w:semiHidden/>
    <w:unhideWhenUsed/>
    <w:qFormat/>
    <w:uiPriority w:val="99"/>
  </w:style>
  <w:style w:type="character" w:customStyle="1" w:styleId="14">
    <w:name w:val="页眉 Char"/>
    <w:basedOn w:val="11"/>
    <w:link w:val="7"/>
    <w:qFormat/>
    <w:uiPriority w:val="99"/>
    <w:rPr>
      <w:sz w:val="18"/>
      <w:szCs w:val="18"/>
    </w:rPr>
  </w:style>
  <w:style w:type="character" w:customStyle="1" w:styleId="15">
    <w:name w:val="页脚 Char"/>
    <w:basedOn w:val="11"/>
    <w:link w:val="6"/>
    <w:qFormat/>
    <w:uiPriority w:val="99"/>
    <w:rPr>
      <w:sz w:val="18"/>
      <w:szCs w:val="18"/>
    </w:rPr>
  </w:style>
  <w:style w:type="character" w:customStyle="1" w:styleId="16">
    <w:name w:val="纯文本 Char"/>
    <w:basedOn w:val="11"/>
    <w:link w:val="5"/>
    <w:qFormat/>
    <w:uiPriority w:val="0"/>
    <w:rPr>
      <w:rFonts w:ascii="宋体" w:hAnsi="Courier New" w:eastAsia="宋体" w:cs="Courier New"/>
      <w:szCs w:val="21"/>
    </w:rPr>
  </w:style>
  <w:style w:type="character" w:customStyle="1" w:styleId="17">
    <w:name w:val="标题 1 Char"/>
    <w:basedOn w:val="11"/>
    <w:link w:val="2"/>
    <w:qFormat/>
    <w:uiPriority w:val="9"/>
    <w:rPr>
      <w:rFonts w:ascii="宋体" w:hAnsi="宋体" w:eastAsia="宋体" w:cs="宋体"/>
      <w:b/>
      <w:kern w:val="44"/>
      <w:sz w:val="48"/>
      <w:szCs w:val="48"/>
    </w:rPr>
  </w:style>
  <w:style w:type="character" w:customStyle="1" w:styleId="18">
    <w:name w:val="font31"/>
    <w:basedOn w:val="11"/>
    <w:qFormat/>
    <w:uiPriority w:val="0"/>
    <w:rPr>
      <w:rFonts w:hint="eastAsia" w:ascii="宋体" w:hAnsi="宋体" w:eastAsia="宋体" w:cs="宋体"/>
      <w:b/>
      <w:color w:val="000000"/>
      <w:sz w:val="36"/>
      <w:szCs w:val="36"/>
      <w:u w:val="none"/>
    </w:rPr>
  </w:style>
  <w:style w:type="paragraph" w:styleId="19">
    <w:name w:val="List Paragraph"/>
    <w:basedOn w:val="1"/>
    <w:unhideWhenUsed/>
    <w:qFormat/>
    <w:uiPriority w:val="99"/>
    <w:pPr>
      <w:ind w:firstLine="420" w:firstLineChars="200"/>
    </w:pPr>
  </w:style>
  <w:style w:type="character" w:customStyle="1" w:styleId="20">
    <w:name w:val="正文文本缩进 Char"/>
    <w:basedOn w:val="11"/>
    <w:link w:val="4"/>
    <w:semiHidden/>
    <w:qFormat/>
    <w:uiPriority w:val="99"/>
    <w:rPr>
      <w:rFonts w:asciiTheme="minorHAnsi" w:hAnsiTheme="minorHAnsi" w:eastAsiaTheme="minorEastAsia" w:cstheme="minorBidi"/>
      <w:kern w:val="2"/>
      <w:sz w:val="21"/>
      <w:szCs w:val="22"/>
    </w:rPr>
  </w:style>
  <w:style w:type="character" w:customStyle="1" w:styleId="21">
    <w:name w:val="正文首行缩进 2 Char"/>
    <w:basedOn w:val="20"/>
    <w:link w:val="9"/>
    <w:qFormat/>
    <w:uiPriority w:val="0"/>
    <w:rPr>
      <w:rFonts w:ascii="Calibri" w:hAnsi="Calibri"/>
      <w:szCs w:val="24"/>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numbering.xml" Type="http://schemas.openxmlformats.org/officeDocument/2006/relationships/numbering"/><Relationship Id="rId7" Target="../customXml/item1.xml" Type="http://schemas.openxmlformats.org/officeDocument/2006/relationships/customXml"/><Relationship Id="rId8"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9450D0E6-5B23-45C7-9630-DCEF8E8710BB}">
  <ds:schemaRefs/>
</ds:datastoreItem>
</file>

<file path=docProps/app.xml><?xml version="1.0" encoding="utf-8"?>
<Properties xmlns="http://schemas.openxmlformats.org/officeDocument/2006/extended-properties" xmlns:vt="http://schemas.openxmlformats.org/officeDocument/2006/docPropsVTypes">
  <Template>Normal</Template>
  <Company>Sky123.Org</Company>
  <Pages>20</Pages>
  <Words>11705</Words>
  <Characters>12133</Characters>
  <Lines>88</Lines>
  <Paragraphs>25</Paragraphs>
  <TotalTime>95</TotalTime>
  <ScaleCrop>false</ScaleCrop>
  <LinksUpToDate>false</LinksUpToDate>
  <CharactersWithSpaces>12170</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2021-06-02T07:46:00Z</dcterms:created>
  <dc:creator>Administrator</dc:creator>
  <cp:lastModifiedBy>你渴望力量吗？</cp:lastModifiedBy>
  <cp:lastPrinted>2021-12-27T06:07:00Z</cp:lastPrinted>
  <dcterms:modified xsi:type="dcterms:W3CDTF">2025-02-10T06:20:52Z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KSOTemplateDocerSaveRecord">
    <vt:lpwstr>eyJoZGlkIjoiZDE4NWUwZWQ0ZWY4NGY5MjZkYzU3ZGI3ODMyNmNiNmIiLCJ1c2VySWQiOiI1MTM2NDE5MjQifQ==</vt:lpwstr>
  </property>
  <property fmtid="{D5CDD505-2E9C-101B-9397-08002B2CF9AE}" pid="4" name="ICV">
    <vt:lpwstr>406A9AE1F67D4DFBB4835A8E160EC64E_12</vt:lpwstr>
  </property>
</Properties>
</file>