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footer+xml" PartName="/word/footer7.xml"/>
  <Override ContentType="application/vnd.openxmlformats-officedocument.wordprocessingml.footer+xml" PartName="/word/footer8.xml"/>
  <Override ContentType="application/vnd.openxmlformats-officedocument.wordprocessingml.footer+xml" PartName="/word/footer9.xml"/>
  <Override ContentType="application/vnd.openxmlformats-officedocument.wordprocessingml.footer+xml" PartName="/word/footer10.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2E17B8">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jc w:val="center"/>
        <w:textAlignment w:val="auto"/>
        <w:outlineLvl w:val="9"/>
        <w:rPr>
          <w:rFonts w:hint="eastAsia" w:ascii="黑体" w:hAnsi="黑体" w:eastAsia="黑体" w:cs="黑体"/>
          <w:b/>
          <w:bCs/>
          <w:sz w:val="44"/>
          <w:szCs w:val="44"/>
        </w:rPr>
      </w:pPr>
      <w:r>
        <w:rPr>
          <w:rFonts w:hint="eastAsia" w:ascii="黑体" w:hAnsi="黑体" w:eastAsia="黑体" w:cs="黑体"/>
          <w:b/>
          <w:bCs/>
          <w:sz w:val="44"/>
          <w:szCs w:val="44"/>
        </w:rPr>
        <w:t>202</w:t>
      </w:r>
      <w:r>
        <w:rPr>
          <w:rFonts w:hint="eastAsia" w:ascii="黑体" w:hAnsi="黑体" w:eastAsia="黑体" w:cs="黑体"/>
          <w:b/>
          <w:bCs/>
          <w:sz w:val="44"/>
          <w:szCs w:val="44"/>
          <w:lang w:val="en-US" w:eastAsia="zh-CN"/>
        </w:rPr>
        <w:t>2</w:t>
      </w:r>
      <w:r>
        <w:rPr>
          <w:rFonts w:hint="eastAsia" w:ascii="黑体" w:hAnsi="黑体" w:eastAsia="黑体" w:cs="黑体"/>
          <w:b/>
          <w:bCs/>
          <w:sz w:val="44"/>
          <w:szCs w:val="44"/>
        </w:rPr>
        <w:t>年部门预算信息公开目</w:t>
      </w:r>
      <w:bookmarkStart w:id="11" w:name="_GoBack"/>
      <w:bookmarkEnd w:id="11"/>
      <w:r>
        <w:rPr>
          <w:rFonts w:hint="eastAsia" w:ascii="黑体" w:hAnsi="黑体" w:eastAsia="黑体" w:cs="黑体"/>
          <w:b/>
          <w:bCs/>
          <w:sz w:val="44"/>
          <w:szCs w:val="44"/>
        </w:rPr>
        <w:t>录</w:t>
      </w:r>
    </w:p>
    <w:p w14:paraId="0EDC683C">
      <w:pPr>
        <w:keepNext w:val="0"/>
        <w:keepLines w:val="0"/>
        <w:pageBreakBefore w:val="0"/>
        <w:widowControl w:val="0"/>
        <w:kinsoku/>
        <w:wordWrap/>
        <w:overflowPunct/>
        <w:topLinePunct w:val="0"/>
        <w:autoSpaceDE/>
        <w:autoSpaceDN/>
        <w:bidi w:val="0"/>
        <w:adjustRightInd/>
        <w:snapToGrid/>
        <w:spacing w:before="0" w:after="0" w:line="580" w:lineRule="exact"/>
        <w:ind w:firstLine="0"/>
        <w:jc w:val="left"/>
        <w:textAlignment w:val="auto"/>
        <w:outlineLvl w:val="9"/>
      </w:pPr>
      <w:r>
        <w:rPr>
          <w:rFonts w:ascii="方正楷体_GBK" w:hAnsi="方正楷体_GBK" w:eastAsia="方正楷体_GBK" w:cs="方正楷体_GBK"/>
          <w:b/>
          <w:color w:val="000000"/>
          <w:sz w:val="28"/>
        </w:rPr>
        <w:t>部门预算公开表</w:t>
      </w:r>
    </w:p>
    <w:p w14:paraId="25E5634A">
      <w:pPr>
        <w:pStyle w:val="4"/>
        <w:keepNext w:val="0"/>
        <w:keepLines w:val="0"/>
        <w:pageBreakBefore w:val="0"/>
        <w:widowControl w:val="0"/>
        <w:tabs>
          <w:tab w:val="right" w:leader="dot" w:pos="14562"/>
        </w:tabs>
        <w:kinsoku/>
        <w:wordWrap/>
        <w:overflowPunct/>
        <w:topLinePunct w:val="0"/>
        <w:autoSpaceDE/>
        <w:autoSpaceDN/>
        <w:bidi w:val="0"/>
        <w:adjustRightInd/>
        <w:snapToGrid/>
        <w:spacing w:line="580" w:lineRule="exact"/>
        <w:textAlignment w:val="auto"/>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14:paraId="35942091">
      <w:pPr>
        <w:pStyle w:val="4"/>
        <w:keepNext w:val="0"/>
        <w:keepLines w:val="0"/>
        <w:pageBreakBefore w:val="0"/>
        <w:widowControl w:val="0"/>
        <w:tabs>
          <w:tab w:val="right" w:leader="dot" w:pos="14562"/>
        </w:tabs>
        <w:kinsoku/>
        <w:wordWrap/>
        <w:overflowPunct/>
        <w:topLinePunct w:val="0"/>
        <w:autoSpaceDE/>
        <w:autoSpaceDN/>
        <w:bidi w:val="0"/>
        <w:adjustRightInd/>
        <w:snapToGrid/>
        <w:spacing w:line="580" w:lineRule="exact"/>
        <w:textAlignment w:val="auto"/>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14:paraId="51E6D2CE">
      <w:pPr>
        <w:pStyle w:val="4"/>
        <w:keepNext w:val="0"/>
        <w:keepLines w:val="0"/>
        <w:pageBreakBefore w:val="0"/>
        <w:widowControl w:val="0"/>
        <w:tabs>
          <w:tab w:val="right" w:leader="dot" w:pos="14562"/>
        </w:tabs>
        <w:kinsoku/>
        <w:wordWrap/>
        <w:overflowPunct/>
        <w:topLinePunct w:val="0"/>
        <w:autoSpaceDE/>
        <w:autoSpaceDN/>
        <w:bidi w:val="0"/>
        <w:adjustRightInd/>
        <w:snapToGrid/>
        <w:spacing w:line="580" w:lineRule="exact"/>
        <w:textAlignment w:val="auto"/>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14:paraId="24CBAFF1">
      <w:pPr>
        <w:pStyle w:val="4"/>
        <w:keepNext w:val="0"/>
        <w:keepLines w:val="0"/>
        <w:pageBreakBefore w:val="0"/>
        <w:widowControl w:val="0"/>
        <w:tabs>
          <w:tab w:val="right" w:leader="dot" w:pos="14562"/>
        </w:tabs>
        <w:kinsoku/>
        <w:wordWrap/>
        <w:overflowPunct/>
        <w:topLinePunct w:val="0"/>
        <w:autoSpaceDE/>
        <w:autoSpaceDN/>
        <w:bidi w:val="0"/>
        <w:adjustRightInd/>
        <w:snapToGrid/>
        <w:spacing w:line="580" w:lineRule="exact"/>
        <w:textAlignment w:val="auto"/>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14:paraId="4248381C">
      <w:pPr>
        <w:pStyle w:val="4"/>
        <w:keepNext w:val="0"/>
        <w:keepLines w:val="0"/>
        <w:pageBreakBefore w:val="0"/>
        <w:widowControl w:val="0"/>
        <w:tabs>
          <w:tab w:val="right" w:leader="dot" w:pos="14562"/>
        </w:tabs>
        <w:kinsoku/>
        <w:wordWrap/>
        <w:overflowPunct/>
        <w:topLinePunct w:val="0"/>
        <w:autoSpaceDE/>
        <w:autoSpaceDN/>
        <w:bidi w:val="0"/>
        <w:adjustRightInd/>
        <w:snapToGrid/>
        <w:spacing w:line="580" w:lineRule="exact"/>
        <w:textAlignment w:val="auto"/>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1</w:t>
      </w:r>
      <w:r>
        <w:fldChar w:fldCharType="end"/>
      </w:r>
      <w:r>
        <w:fldChar w:fldCharType="end"/>
      </w:r>
    </w:p>
    <w:p w14:paraId="59DC689A">
      <w:pPr>
        <w:pStyle w:val="4"/>
        <w:keepNext w:val="0"/>
        <w:keepLines w:val="0"/>
        <w:pageBreakBefore w:val="0"/>
        <w:widowControl w:val="0"/>
        <w:tabs>
          <w:tab w:val="right" w:leader="dot" w:pos="14562"/>
        </w:tabs>
        <w:kinsoku/>
        <w:wordWrap/>
        <w:overflowPunct/>
        <w:topLinePunct w:val="0"/>
        <w:autoSpaceDE/>
        <w:autoSpaceDN/>
        <w:bidi w:val="0"/>
        <w:adjustRightInd/>
        <w:snapToGrid/>
        <w:spacing w:line="580" w:lineRule="exact"/>
        <w:textAlignment w:val="auto"/>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3</w:t>
      </w:r>
    </w:p>
    <w:p w14:paraId="2B9C39F2">
      <w:pPr>
        <w:pStyle w:val="4"/>
        <w:keepNext w:val="0"/>
        <w:keepLines w:val="0"/>
        <w:pageBreakBefore w:val="0"/>
        <w:widowControl w:val="0"/>
        <w:tabs>
          <w:tab w:val="right" w:leader="dot" w:pos="14562"/>
        </w:tabs>
        <w:kinsoku/>
        <w:wordWrap/>
        <w:overflowPunct/>
        <w:topLinePunct w:val="0"/>
        <w:autoSpaceDE/>
        <w:autoSpaceDN/>
        <w:bidi w:val="0"/>
        <w:adjustRightInd/>
        <w:snapToGrid/>
        <w:spacing w:line="580" w:lineRule="exact"/>
        <w:textAlignment w:val="auto"/>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5</w:t>
      </w:r>
      <w:r>
        <w:fldChar w:fldCharType="end"/>
      </w:r>
      <w:r>
        <w:fldChar w:fldCharType="end"/>
      </w:r>
    </w:p>
    <w:p w14:paraId="6BE576D2">
      <w:pPr>
        <w:pStyle w:val="4"/>
        <w:keepNext w:val="0"/>
        <w:keepLines w:val="0"/>
        <w:pageBreakBefore w:val="0"/>
        <w:widowControl w:val="0"/>
        <w:tabs>
          <w:tab w:val="right" w:leader="dot" w:pos="14562"/>
        </w:tabs>
        <w:kinsoku/>
        <w:wordWrap/>
        <w:overflowPunct/>
        <w:topLinePunct w:val="0"/>
        <w:autoSpaceDE/>
        <w:autoSpaceDN/>
        <w:bidi w:val="0"/>
        <w:adjustRightInd/>
        <w:snapToGrid/>
        <w:spacing w:line="580" w:lineRule="exact"/>
        <w:textAlignment w:val="auto"/>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6</w:t>
      </w:r>
    </w:p>
    <w:p w14:paraId="133D715F">
      <w:pPr>
        <w:pStyle w:val="4"/>
        <w:keepNext w:val="0"/>
        <w:keepLines w:val="0"/>
        <w:pageBreakBefore w:val="0"/>
        <w:widowControl w:val="0"/>
        <w:tabs>
          <w:tab w:val="right" w:leader="dot" w:pos="14562"/>
        </w:tabs>
        <w:kinsoku/>
        <w:wordWrap/>
        <w:overflowPunct/>
        <w:topLinePunct w:val="0"/>
        <w:autoSpaceDE/>
        <w:autoSpaceDN/>
        <w:bidi w:val="0"/>
        <w:adjustRightInd/>
        <w:snapToGrid/>
        <w:spacing w:line="580" w:lineRule="exact"/>
        <w:textAlignment w:val="auto"/>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7</w:t>
      </w:r>
      <w:r>
        <w:fldChar w:fldCharType="end"/>
      </w:r>
      <w:r>
        <w:fldChar w:fldCharType="end"/>
      </w:r>
    </w:p>
    <w:p w14:paraId="551430B0">
      <w:pPr>
        <w:keepNext w:val="0"/>
        <w:keepLines w:val="0"/>
        <w:pageBreakBefore w:val="0"/>
        <w:widowControl w:val="0"/>
        <w:kinsoku/>
        <w:wordWrap/>
        <w:overflowPunct/>
        <w:topLinePunct w:val="0"/>
        <w:autoSpaceDE/>
        <w:autoSpaceDN/>
        <w:bidi w:val="0"/>
        <w:adjustRightInd/>
        <w:snapToGrid/>
        <w:spacing w:line="580" w:lineRule="exact"/>
        <w:textAlignment w:val="auto"/>
      </w:pPr>
      <w:r>
        <w:fldChar w:fldCharType="end"/>
      </w:r>
      <w:r>
        <w:rPr>
          <w:rFonts w:ascii="方正楷体_GBK" w:hAnsi="方正楷体_GBK" w:eastAsia="方正楷体_GBK" w:cs="方正楷体_GBK"/>
          <w:b/>
          <w:color w:val="000000"/>
          <w:sz w:val="28"/>
        </w:rPr>
        <w:t>部门预算信息公开情况说明</w:t>
      </w:r>
    </w:p>
    <w:p w14:paraId="1F46F233">
      <w:pPr>
        <w:pStyle w:val="4"/>
        <w:keepNext w:val="0"/>
        <w:keepLines w:val="0"/>
        <w:pageBreakBefore w:val="0"/>
        <w:widowControl w:val="0"/>
        <w:tabs>
          <w:tab w:val="right" w:leader="dot" w:pos="14562"/>
        </w:tabs>
        <w:kinsoku/>
        <w:wordWrap/>
        <w:overflowPunct/>
        <w:topLinePunct w:val="0"/>
        <w:autoSpaceDE/>
        <w:autoSpaceDN/>
        <w:bidi w:val="0"/>
        <w:adjustRightInd/>
        <w:snapToGrid/>
        <w:spacing w:line="580" w:lineRule="exact"/>
        <w:textAlignment w:val="auto"/>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8</w:t>
      </w:r>
    </w:p>
    <w:p w14:paraId="153A580A">
      <w:pPr>
        <w:pStyle w:val="4"/>
        <w:keepNext w:val="0"/>
        <w:keepLines w:val="0"/>
        <w:pageBreakBefore w:val="0"/>
        <w:widowControl w:val="0"/>
        <w:tabs>
          <w:tab w:val="right" w:leader="dot" w:pos="14562"/>
        </w:tabs>
        <w:kinsoku/>
        <w:wordWrap/>
        <w:overflowPunct/>
        <w:topLinePunct w:val="0"/>
        <w:autoSpaceDE/>
        <w:autoSpaceDN/>
        <w:bidi w:val="0"/>
        <w:adjustRightInd/>
        <w:snapToGrid/>
        <w:spacing w:line="580" w:lineRule="exact"/>
        <w:textAlignment w:val="auto"/>
        <w:sectPr>
          <w:pgSz w:w="16838" w:h="11906" w:orient="landscape"/>
          <w:pgMar w:top="1587" w:right="1134" w:bottom="1361" w:left="1134" w:header="851" w:footer="992" w:gutter="0"/>
          <w:pgNumType w:fmt="decimal"/>
          <w:cols w:space="0" w:num="1"/>
          <w:rtlGutter w:val="0"/>
          <w:docGrid w:type="lines" w:linePitch="312" w:charSpace="0"/>
        </w:sectPr>
      </w:pPr>
    </w:p>
    <w:p w14:paraId="68CECCBC">
      <w:pPr>
        <w:pStyle w:val="4"/>
        <w:keepNext w:val="0"/>
        <w:keepLines w:val="0"/>
        <w:pageBreakBefore w:val="0"/>
        <w:widowControl w:val="0"/>
        <w:tabs>
          <w:tab w:val="right" w:leader="dot" w:pos="14562"/>
        </w:tabs>
        <w:kinsoku/>
        <w:wordWrap/>
        <w:overflowPunct/>
        <w:topLinePunct w:val="0"/>
        <w:autoSpaceDE/>
        <w:autoSpaceDN/>
        <w:bidi w:val="0"/>
        <w:adjustRightInd/>
        <w:snapToGrid/>
        <w:spacing w:line="580" w:lineRule="exact"/>
        <w:textAlignment w:val="auto"/>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4</w:t>
      </w:r>
    </w:p>
    <w:p w14:paraId="550F5754">
      <w:pPr>
        <w:pStyle w:val="4"/>
        <w:keepNext w:val="0"/>
        <w:keepLines w:val="0"/>
        <w:pageBreakBefore w:val="0"/>
        <w:widowControl w:val="0"/>
        <w:tabs>
          <w:tab w:val="right" w:leader="dot" w:pos="14562"/>
        </w:tabs>
        <w:kinsoku/>
        <w:wordWrap/>
        <w:overflowPunct/>
        <w:topLinePunct w:val="0"/>
        <w:autoSpaceDE/>
        <w:autoSpaceDN/>
        <w:bidi w:val="0"/>
        <w:adjustRightInd/>
        <w:snapToGrid/>
        <w:spacing w:line="580" w:lineRule="exact"/>
        <w:textAlignment w:val="auto"/>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5</w:t>
      </w:r>
      <w:r>
        <w:fldChar w:fldCharType="end"/>
      </w:r>
      <w:r>
        <w:fldChar w:fldCharType="end"/>
      </w:r>
    </w:p>
    <w:p w14:paraId="5645E18C">
      <w:pPr>
        <w:pStyle w:val="4"/>
        <w:keepNext w:val="0"/>
        <w:keepLines w:val="0"/>
        <w:pageBreakBefore w:val="0"/>
        <w:widowControl w:val="0"/>
        <w:tabs>
          <w:tab w:val="right" w:leader="dot" w:pos="14562"/>
        </w:tabs>
        <w:kinsoku/>
        <w:wordWrap/>
        <w:overflowPunct/>
        <w:topLinePunct w:val="0"/>
        <w:autoSpaceDE/>
        <w:autoSpaceDN/>
        <w:bidi w:val="0"/>
        <w:adjustRightInd/>
        <w:snapToGrid/>
        <w:spacing w:line="580" w:lineRule="exact"/>
        <w:textAlignment w:val="auto"/>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5</w:t>
      </w:r>
    </w:p>
    <w:p w14:paraId="41753C3C">
      <w:pPr>
        <w:pStyle w:val="4"/>
        <w:keepNext w:val="0"/>
        <w:keepLines w:val="0"/>
        <w:pageBreakBefore w:val="0"/>
        <w:widowControl w:val="0"/>
        <w:tabs>
          <w:tab w:val="right" w:leader="dot" w:pos="14562"/>
        </w:tabs>
        <w:kinsoku/>
        <w:wordWrap/>
        <w:overflowPunct/>
        <w:topLinePunct w:val="0"/>
        <w:autoSpaceDE/>
        <w:autoSpaceDN/>
        <w:bidi w:val="0"/>
        <w:adjustRightInd/>
        <w:snapToGrid/>
        <w:spacing w:line="580" w:lineRule="exact"/>
        <w:textAlignment w:val="auto"/>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6</w:t>
      </w:r>
      <w:r>
        <w:fldChar w:fldCharType="end"/>
      </w:r>
      <w:r>
        <w:fldChar w:fldCharType="end"/>
      </w:r>
    </w:p>
    <w:p w14:paraId="6CE72200">
      <w:pPr>
        <w:pStyle w:val="4"/>
        <w:keepNext w:val="0"/>
        <w:keepLines w:val="0"/>
        <w:pageBreakBefore w:val="0"/>
        <w:widowControl w:val="0"/>
        <w:tabs>
          <w:tab w:val="right" w:leader="dot" w:pos="14562"/>
        </w:tabs>
        <w:kinsoku/>
        <w:wordWrap/>
        <w:overflowPunct/>
        <w:topLinePunct w:val="0"/>
        <w:autoSpaceDE/>
        <w:autoSpaceDN/>
        <w:bidi w:val="0"/>
        <w:adjustRightInd/>
        <w:snapToGrid/>
        <w:spacing w:line="580" w:lineRule="exact"/>
        <w:textAlignment w:val="auto"/>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4</w:t>
      </w:r>
      <w:r>
        <w:fldChar w:fldCharType="end"/>
      </w:r>
      <w:r>
        <w:rPr>
          <w:rFonts w:hint="eastAsia"/>
          <w:lang w:val="en-US" w:eastAsia="zh-CN"/>
        </w:rPr>
        <w:t>5</w:t>
      </w:r>
    </w:p>
    <w:p w14:paraId="0D0ABED9">
      <w:pPr>
        <w:pStyle w:val="4"/>
        <w:keepNext w:val="0"/>
        <w:keepLines w:val="0"/>
        <w:pageBreakBefore w:val="0"/>
        <w:widowControl w:val="0"/>
        <w:tabs>
          <w:tab w:val="right" w:leader="dot" w:pos="14562"/>
        </w:tabs>
        <w:kinsoku/>
        <w:wordWrap/>
        <w:overflowPunct/>
        <w:topLinePunct w:val="0"/>
        <w:autoSpaceDE/>
        <w:autoSpaceDN/>
        <w:bidi w:val="0"/>
        <w:adjustRightInd/>
        <w:snapToGrid/>
        <w:spacing w:line="580" w:lineRule="exact"/>
        <w:textAlignment w:val="auto"/>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w:t>
      </w:r>
      <w:r>
        <w:rPr>
          <w:rFonts w:hint="eastAsia"/>
          <w:lang w:val="en-US" w:eastAsia="zh-CN"/>
        </w:rPr>
        <w:t>6</w:t>
      </w:r>
      <w:r>
        <w:fldChar w:fldCharType="end"/>
      </w:r>
      <w:r>
        <w:fldChar w:fldCharType="end"/>
      </w:r>
    </w:p>
    <w:p w14:paraId="6B020418">
      <w:pPr>
        <w:pStyle w:val="4"/>
        <w:keepNext w:val="0"/>
        <w:keepLines w:val="0"/>
        <w:pageBreakBefore w:val="0"/>
        <w:widowControl w:val="0"/>
        <w:tabs>
          <w:tab w:val="right" w:leader="dot" w:pos="14562"/>
        </w:tabs>
        <w:kinsoku/>
        <w:wordWrap/>
        <w:overflowPunct/>
        <w:topLinePunct w:val="0"/>
        <w:autoSpaceDE/>
        <w:autoSpaceDN/>
        <w:bidi w:val="0"/>
        <w:adjustRightInd/>
        <w:snapToGrid/>
        <w:spacing w:line="580" w:lineRule="exact"/>
        <w:textAlignment w:val="auto"/>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4</w:t>
      </w:r>
      <w:r>
        <w:fldChar w:fldCharType="end"/>
      </w:r>
      <w:r>
        <w:rPr>
          <w:rFonts w:hint="eastAsia"/>
          <w:lang w:val="en-US" w:eastAsia="zh-CN"/>
        </w:rPr>
        <w:t>7</w:t>
      </w:r>
    </w:p>
    <w:p w14:paraId="78E562EC">
      <w:pPr>
        <w:pStyle w:val="4"/>
        <w:keepNext w:val="0"/>
        <w:keepLines w:val="0"/>
        <w:pageBreakBefore w:val="0"/>
        <w:widowControl w:val="0"/>
        <w:tabs>
          <w:tab w:val="right" w:leader="dot" w:pos="14562"/>
        </w:tabs>
        <w:kinsoku/>
        <w:wordWrap/>
        <w:overflowPunct/>
        <w:topLinePunct w:val="0"/>
        <w:autoSpaceDE/>
        <w:autoSpaceDN/>
        <w:bidi w:val="0"/>
        <w:adjustRightInd/>
        <w:snapToGrid/>
        <w:spacing w:line="580" w:lineRule="exact"/>
        <w:textAlignment w:val="auto"/>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4</w:t>
      </w:r>
      <w:r>
        <w:fldChar w:fldCharType="end"/>
      </w:r>
      <w:r>
        <w:rPr>
          <w:rFonts w:hint="eastAsia"/>
          <w:lang w:val="en-US" w:eastAsia="zh-CN"/>
        </w:rPr>
        <w:t>8</w:t>
      </w:r>
    </w:p>
    <w:p w14:paraId="5F789713">
      <w:pPr>
        <w:keepNext w:val="0"/>
        <w:keepLines w:val="0"/>
        <w:pageBreakBefore w:val="0"/>
        <w:widowControl w:val="0"/>
        <w:kinsoku/>
        <w:wordWrap/>
        <w:overflowPunct/>
        <w:topLinePunct w:val="0"/>
        <w:autoSpaceDE/>
        <w:autoSpaceDN/>
        <w:bidi w:val="0"/>
        <w:adjustRightInd/>
        <w:snapToGrid/>
        <w:spacing w:line="580" w:lineRule="exact"/>
        <w:jc w:val="both"/>
        <w:textAlignment w:val="auto"/>
        <w:rPr>
          <w:rFonts w:hint="eastAsia" w:ascii="宋体" w:hAnsi="宋体"/>
          <w:b/>
          <w:sz w:val="44"/>
          <w:szCs w:val="44"/>
        </w:rPr>
      </w:pPr>
      <w:r>
        <w:fldChar w:fldCharType="end"/>
      </w:r>
    </w:p>
    <w:p w14:paraId="1FB49B2B">
      <w:pPr>
        <w:spacing w:line="560" w:lineRule="exact"/>
        <w:jc w:val="both"/>
        <w:rPr>
          <w:rFonts w:hint="eastAsia" w:ascii="宋体" w:hAnsi="宋体"/>
          <w:b/>
          <w:sz w:val="44"/>
          <w:szCs w:val="44"/>
        </w:rPr>
        <w:sectPr>
          <w:footerReference r:id="rId3" w:type="default"/>
          <w:pgSz w:w="16838" w:h="11906" w:orient="landscape"/>
          <w:pgMar w:top="1587" w:right="1134" w:bottom="1361" w:left="1134" w:header="851" w:footer="992" w:gutter="0"/>
          <w:pgNumType w:fmt="decimal" w:start="1"/>
          <w:cols w:space="0" w:num="1"/>
          <w:rtlGutter w:val="0"/>
          <w:docGrid w:type="lines" w:linePitch="312" w:charSpace="0"/>
        </w:sectPr>
      </w:pPr>
    </w:p>
    <w:tbl>
      <w:tblPr>
        <w:tblStyle w:val="5"/>
        <w:tblW w:w="1398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743"/>
        <w:gridCol w:w="3668"/>
        <w:gridCol w:w="3168"/>
        <w:gridCol w:w="3452"/>
        <w:gridCol w:w="2956"/>
      </w:tblGrid>
      <w:tr w14:paraId="0C1365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60" w:hRule="atLeast"/>
        </w:trPr>
        <w:tc>
          <w:tcPr>
            <w:tcW w:w="13987" w:type="dxa"/>
            <w:gridSpan w:val="5"/>
            <w:shd w:val="clear" w:color="auto" w:fill="auto"/>
            <w:vAlign w:val="center"/>
          </w:tcPr>
          <w:p w14:paraId="046911A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36"/>
                <w:szCs w:val="36"/>
                <w:u w:val="none"/>
                <w:lang w:val="en-US" w:eastAsia="zh-CN" w:bidi="ar"/>
              </w:rPr>
              <w:t>部门预算收支总表</w:t>
            </w:r>
          </w:p>
        </w:tc>
      </w:tr>
      <w:tr w14:paraId="43D1FD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7579" w:type="dxa"/>
            <w:gridSpan w:val="3"/>
            <w:shd w:val="clear" w:color="auto" w:fill="auto"/>
            <w:vAlign w:val="center"/>
          </w:tcPr>
          <w:p w14:paraId="183442B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预算单位编码及名称：[315]宁晋县司法局</w:t>
            </w:r>
          </w:p>
        </w:tc>
        <w:tc>
          <w:tcPr>
            <w:tcW w:w="3452" w:type="dxa"/>
            <w:shd w:val="clear" w:color="auto" w:fill="auto"/>
            <w:vAlign w:val="center"/>
          </w:tcPr>
          <w:p w14:paraId="32E7557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2956" w:type="dxa"/>
            <w:shd w:val="clear" w:color="auto" w:fill="auto"/>
            <w:vAlign w:val="center"/>
          </w:tcPr>
          <w:p w14:paraId="6DFEB02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14:paraId="366018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74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64BCC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68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61CF5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收入</w:t>
            </w:r>
          </w:p>
        </w:tc>
        <w:tc>
          <w:tcPr>
            <w:tcW w:w="64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43EDC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w:t>
            </w:r>
          </w:p>
        </w:tc>
      </w:tr>
      <w:tr w14:paraId="74D447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7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172765">
            <w:pPr>
              <w:jc w:val="center"/>
              <w:rPr>
                <w:rFonts w:hint="eastAsia" w:ascii="宋体" w:hAnsi="宋体" w:eastAsia="宋体" w:cs="宋体"/>
                <w:i w:val="0"/>
                <w:color w:val="000000"/>
                <w:sz w:val="22"/>
                <w:szCs w:val="22"/>
                <w:u w:val="none"/>
              </w:rPr>
            </w:pP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B1AE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3A73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1F1E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9F70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r>
      <w:tr w14:paraId="48EFA5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C6C6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7B3C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2A04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9944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4388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r>
      <w:tr w14:paraId="307561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78ADA108">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00441BD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一、一般公共预算拨款收入</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084794D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4E54057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一、一般公共服务支出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177550D8">
            <w:pPr>
              <w:jc w:val="right"/>
              <w:rPr>
                <w:rFonts w:hint="default" w:ascii="Calibri" w:hAnsi="Calibri" w:eastAsia="宋体" w:cs="Calibri"/>
                <w:i w:val="0"/>
                <w:color w:val="000000"/>
                <w:sz w:val="22"/>
                <w:szCs w:val="22"/>
                <w:u w:val="none"/>
              </w:rPr>
            </w:pPr>
          </w:p>
        </w:tc>
      </w:tr>
      <w:tr w14:paraId="1B9BDF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4075455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53B0B1E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二、政府性基金预算拨款收入</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2EFB955A">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6B91E2F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二、外交支出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086BD5BE">
            <w:pPr>
              <w:jc w:val="right"/>
              <w:rPr>
                <w:rFonts w:hint="default" w:ascii="Calibri" w:hAnsi="Calibri" w:eastAsia="宋体" w:cs="Calibri"/>
                <w:i w:val="0"/>
                <w:color w:val="000000"/>
                <w:sz w:val="22"/>
                <w:szCs w:val="22"/>
                <w:u w:val="none"/>
              </w:rPr>
            </w:pPr>
          </w:p>
        </w:tc>
      </w:tr>
      <w:tr w14:paraId="54765C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217EB19E">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591F2D9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三、国有资本经营预算拨款收入</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2E478C5E">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4A6F68C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三、国防支出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259940B1">
            <w:pPr>
              <w:jc w:val="right"/>
              <w:rPr>
                <w:rFonts w:hint="default" w:ascii="Calibri" w:hAnsi="Calibri" w:eastAsia="宋体" w:cs="Calibri"/>
                <w:i w:val="0"/>
                <w:color w:val="000000"/>
                <w:sz w:val="22"/>
                <w:szCs w:val="22"/>
                <w:u w:val="none"/>
              </w:rPr>
            </w:pPr>
          </w:p>
        </w:tc>
      </w:tr>
      <w:tr w14:paraId="73075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580598F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05F1A0D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四、财政专户管理资金收入</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2C7F6439">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4D39B04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四、公共安全支出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7797FB4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915.82</w:t>
            </w:r>
          </w:p>
        </w:tc>
      </w:tr>
      <w:tr w14:paraId="216C0A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0BB09CD0">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74EEA9B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五、事业收入</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10C548D9">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4A68AEE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五、教育支出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2D98B402">
            <w:pPr>
              <w:jc w:val="right"/>
              <w:rPr>
                <w:rFonts w:hint="default" w:ascii="Calibri" w:hAnsi="Calibri" w:eastAsia="宋体" w:cs="Calibri"/>
                <w:i w:val="0"/>
                <w:color w:val="000000"/>
                <w:sz w:val="22"/>
                <w:szCs w:val="22"/>
                <w:u w:val="none"/>
              </w:rPr>
            </w:pPr>
          </w:p>
        </w:tc>
      </w:tr>
      <w:tr w14:paraId="035E6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25BBC0E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1E8EC59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六、事业单位经营收入</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70E9C970">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3C1DFE6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六、科学技术支出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04863F4A">
            <w:pPr>
              <w:jc w:val="right"/>
              <w:rPr>
                <w:rFonts w:hint="default" w:ascii="Calibri" w:hAnsi="Calibri" w:eastAsia="宋体" w:cs="Calibri"/>
                <w:i w:val="0"/>
                <w:color w:val="000000"/>
                <w:sz w:val="22"/>
                <w:szCs w:val="22"/>
                <w:u w:val="none"/>
              </w:rPr>
            </w:pPr>
          </w:p>
        </w:tc>
      </w:tr>
      <w:tr w14:paraId="140689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4AEBF598">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7DBE44C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七、上级补助收入</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61B890C6">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6BAACF3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七、文化旅游体育与传媒支出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31878E69">
            <w:pPr>
              <w:jc w:val="right"/>
              <w:rPr>
                <w:rFonts w:hint="default" w:ascii="Calibri" w:hAnsi="Calibri" w:eastAsia="宋体" w:cs="Calibri"/>
                <w:i w:val="0"/>
                <w:color w:val="000000"/>
                <w:sz w:val="22"/>
                <w:szCs w:val="22"/>
                <w:u w:val="none"/>
              </w:rPr>
            </w:pPr>
          </w:p>
        </w:tc>
      </w:tr>
      <w:tr w14:paraId="3245D5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3A33A01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3A86C08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八、附属单位上缴收入</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3DB8EF78">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5F26C5A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八、社会保障和就业支出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2960AF6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75.88</w:t>
            </w:r>
          </w:p>
        </w:tc>
      </w:tr>
      <w:tr w14:paraId="51927E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5FCEFF6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4A54323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九、其他收入</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1798E17A">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2ADCE3E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九、社会保险基金支出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0B74CA9E">
            <w:pPr>
              <w:jc w:val="right"/>
              <w:rPr>
                <w:rFonts w:hint="default" w:ascii="Calibri" w:hAnsi="Calibri" w:eastAsia="宋体" w:cs="Calibri"/>
                <w:i w:val="0"/>
                <w:color w:val="000000"/>
                <w:sz w:val="22"/>
                <w:szCs w:val="22"/>
                <w:u w:val="none"/>
              </w:rPr>
            </w:pPr>
          </w:p>
        </w:tc>
      </w:tr>
      <w:tr w14:paraId="33C453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63FE388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5BF66BF9">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06920AB7">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56574AC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十、卫生健康支出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3BB2E85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r>
      <w:tr w14:paraId="5EFDB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71ED1DCD">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50E63AFF">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1606CE5F">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77462B5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十一、节能环保支出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66486E09">
            <w:pPr>
              <w:jc w:val="right"/>
              <w:rPr>
                <w:rFonts w:hint="default" w:ascii="Calibri" w:hAnsi="Calibri" w:eastAsia="宋体" w:cs="Calibri"/>
                <w:i w:val="0"/>
                <w:color w:val="000000"/>
                <w:sz w:val="22"/>
                <w:szCs w:val="22"/>
                <w:u w:val="none"/>
              </w:rPr>
            </w:pPr>
          </w:p>
        </w:tc>
      </w:tr>
      <w:tr w14:paraId="062667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181D0E6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0E141AE7">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43C1AFBF">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1761B10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十二、城乡社区支出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48629D75">
            <w:pPr>
              <w:jc w:val="right"/>
              <w:rPr>
                <w:rFonts w:hint="default" w:ascii="Calibri" w:hAnsi="Calibri" w:eastAsia="宋体" w:cs="Calibri"/>
                <w:i w:val="0"/>
                <w:color w:val="000000"/>
                <w:sz w:val="22"/>
                <w:szCs w:val="22"/>
                <w:u w:val="none"/>
              </w:rPr>
            </w:pPr>
          </w:p>
        </w:tc>
      </w:tr>
      <w:tr w14:paraId="54FCC3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1D69A76B">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50A319DF">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3C86CFC6">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1F9C7CA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十三、农林水支出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5B591B10">
            <w:pPr>
              <w:jc w:val="right"/>
              <w:rPr>
                <w:rFonts w:hint="default" w:ascii="Calibri" w:hAnsi="Calibri" w:eastAsia="宋体" w:cs="Calibri"/>
                <w:i w:val="0"/>
                <w:color w:val="000000"/>
                <w:sz w:val="22"/>
                <w:szCs w:val="22"/>
                <w:u w:val="none"/>
              </w:rPr>
            </w:pPr>
          </w:p>
        </w:tc>
      </w:tr>
      <w:tr w14:paraId="5A0BD9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4848D4EB">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08F1D2D1">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4260FD9A">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605589D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十四、交通运输支出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0903C4C1">
            <w:pPr>
              <w:jc w:val="right"/>
              <w:rPr>
                <w:rFonts w:hint="default" w:ascii="Calibri" w:hAnsi="Calibri" w:eastAsia="宋体" w:cs="Calibri"/>
                <w:i w:val="0"/>
                <w:color w:val="000000"/>
                <w:sz w:val="22"/>
                <w:szCs w:val="22"/>
                <w:u w:val="none"/>
              </w:rPr>
            </w:pPr>
          </w:p>
        </w:tc>
      </w:tr>
      <w:tr w14:paraId="531C5D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600D6460">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7EEDD299">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13327F65">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73B5FD0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十五、资源勘探工业信息等支出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0A522271">
            <w:pPr>
              <w:jc w:val="right"/>
              <w:rPr>
                <w:rFonts w:hint="default" w:ascii="Calibri" w:hAnsi="Calibri" w:eastAsia="宋体" w:cs="Calibri"/>
                <w:i w:val="0"/>
                <w:color w:val="000000"/>
                <w:sz w:val="22"/>
                <w:szCs w:val="22"/>
                <w:u w:val="none"/>
              </w:rPr>
            </w:pPr>
          </w:p>
        </w:tc>
      </w:tr>
      <w:tr w14:paraId="1994D7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5F73FF92">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64F18CB5">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5436B5C4">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622F5FD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十六、商业服务业等支出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7CB0BA51">
            <w:pPr>
              <w:jc w:val="right"/>
              <w:rPr>
                <w:rFonts w:hint="default" w:ascii="Calibri" w:hAnsi="Calibri" w:eastAsia="宋体" w:cs="Calibri"/>
                <w:i w:val="0"/>
                <w:color w:val="000000"/>
                <w:sz w:val="22"/>
                <w:szCs w:val="22"/>
                <w:u w:val="none"/>
              </w:rPr>
            </w:pPr>
          </w:p>
        </w:tc>
      </w:tr>
      <w:tr w14:paraId="7B06B1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3426D89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34DF6D3D">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420C4D31">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3002DC6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十七、金融支出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542ED8D8">
            <w:pPr>
              <w:jc w:val="right"/>
              <w:rPr>
                <w:rFonts w:hint="default" w:ascii="Calibri" w:hAnsi="Calibri" w:eastAsia="宋体" w:cs="Calibri"/>
                <w:i w:val="0"/>
                <w:color w:val="000000"/>
                <w:sz w:val="22"/>
                <w:szCs w:val="22"/>
                <w:u w:val="none"/>
              </w:rPr>
            </w:pPr>
          </w:p>
        </w:tc>
      </w:tr>
      <w:tr w14:paraId="207B11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4B88FE62">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02990F5B">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66565CA0">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19CC760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十八、援助其他地区支出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2A50EBB1">
            <w:pPr>
              <w:jc w:val="right"/>
              <w:rPr>
                <w:rFonts w:hint="default" w:ascii="Calibri" w:hAnsi="Calibri" w:eastAsia="宋体" w:cs="Calibri"/>
                <w:i w:val="0"/>
                <w:color w:val="000000"/>
                <w:sz w:val="22"/>
                <w:szCs w:val="22"/>
                <w:u w:val="none"/>
              </w:rPr>
            </w:pPr>
          </w:p>
        </w:tc>
      </w:tr>
      <w:tr w14:paraId="663DE6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6E0E8C98">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132AA6A6">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1224AC86">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164B0E5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十九、自然资源海洋气象等支出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24500106">
            <w:pPr>
              <w:jc w:val="right"/>
              <w:rPr>
                <w:rFonts w:hint="default" w:ascii="Calibri" w:hAnsi="Calibri" w:eastAsia="宋体" w:cs="Calibri"/>
                <w:i w:val="0"/>
                <w:color w:val="000000"/>
                <w:sz w:val="22"/>
                <w:szCs w:val="22"/>
                <w:u w:val="none"/>
              </w:rPr>
            </w:pPr>
          </w:p>
        </w:tc>
      </w:tr>
      <w:tr w14:paraId="36737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1C3C17DB">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28DE7B47">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598540C3">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5DAF671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二十、住房保障支出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262616E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r>
      <w:tr w14:paraId="437981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255092F2">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6FADAACF">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5030BCE0">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55BCF37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二十一、粮油物资储备支出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70E52067">
            <w:pPr>
              <w:jc w:val="right"/>
              <w:rPr>
                <w:rFonts w:hint="default" w:ascii="Calibri" w:hAnsi="Calibri" w:eastAsia="宋体" w:cs="Calibri"/>
                <w:i w:val="0"/>
                <w:color w:val="000000"/>
                <w:sz w:val="22"/>
                <w:szCs w:val="22"/>
                <w:u w:val="none"/>
              </w:rPr>
            </w:pPr>
          </w:p>
        </w:tc>
      </w:tr>
      <w:tr w14:paraId="226FCA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18E2F21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69CF24E1">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4818EB90">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3B78FAE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二十二、国有资本经营预算支出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5B869513">
            <w:pPr>
              <w:jc w:val="right"/>
              <w:rPr>
                <w:rFonts w:hint="default" w:ascii="Calibri" w:hAnsi="Calibri" w:eastAsia="宋体" w:cs="Calibri"/>
                <w:i w:val="0"/>
                <w:color w:val="000000"/>
                <w:sz w:val="22"/>
                <w:szCs w:val="22"/>
                <w:u w:val="none"/>
              </w:rPr>
            </w:pPr>
          </w:p>
        </w:tc>
      </w:tr>
      <w:tr w14:paraId="5F5ADF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79FA63EB">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192B6019">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110D56BE">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07AAC8B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二十三、灾害防治及应急管理支出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1FF89419">
            <w:pPr>
              <w:jc w:val="right"/>
              <w:rPr>
                <w:rFonts w:hint="default" w:ascii="Calibri" w:hAnsi="Calibri" w:eastAsia="宋体" w:cs="Calibri"/>
                <w:i w:val="0"/>
                <w:color w:val="000000"/>
                <w:sz w:val="22"/>
                <w:szCs w:val="22"/>
                <w:u w:val="none"/>
              </w:rPr>
            </w:pPr>
          </w:p>
        </w:tc>
      </w:tr>
      <w:tr w14:paraId="087A30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673E2EE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24</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117416CC">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09DC4841">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44472D9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二十四、预备费</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49817C4F">
            <w:pPr>
              <w:jc w:val="right"/>
              <w:rPr>
                <w:rFonts w:hint="default" w:ascii="Calibri" w:hAnsi="Calibri" w:eastAsia="宋体" w:cs="Calibri"/>
                <w:i w:val="0"/>
                <w:color w:val="000000"/>
                <w:sz w:val="22"/>
                <w:szCs w:val="22"/>
                <w:u w:val="none"/>
              </w:rPr>
            </w:pPr>
          </w:p>
        </w:tc>
      </w:tr>
      <w:tr w14:paraId="76D3DA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5CF45159">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25</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53E842A1">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60EE7F3B">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70E603B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二十五、其他支出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2AA819EA">
            <w:pPr>
              <w:jc w:val="right"/>
              <w:rPr>
                <w:rFonts w:hint="default" w:ascii="Calibri" w:hAnsi="Calibri" w:eastAsia="宋体" w:cs="Calibri"/>
                <w:i w:val="0"/>
                <w:color w:val="000000"/>
                <w:sz w:val="22"/>
                <w:szCs w:val="22"/>
                <w:u w:val="none"/>
              </w:rPr>
            </w:pPr>
          </w:p>
        </w:tc>
      </w:tr>
      <w:tr w14:paraId="5CD2CD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4B6918F6">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26</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714C38B1">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1490EB94">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06CE319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二十六、转移性支出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11A960E1">
            <w:pPr>
              <w:jc w:val="right"/>
              <w:rPr>
                <w:rFonts w:hint="default" w:ascii="Calibri" w:hAnsi="Calibri" w:eastAsia="宋体" w:cs="Calibri"/>
                <w:i w:val="0"/>
                <w:color w:val="000000"/>
                <w:sz w:val="22"/>
                <w:szCs w:val="22"/>
                <w:u w:val="none"/>
              </w:rPr>
            </w:pPr>
          </w:p>
        </w:tc>
      </w:tr>
      <w:tr w14:paraId="228414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47835ED2">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27</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19C17783">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7A7D0F5C">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2106BD5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二十七、灾害防治及应急管理共同财政事权转移支付支出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2FBB42F5">
            <w:pPr>
              <w:jc w:val="right"/>
              <w:rPr>
                <w:rFonts w:hint="default" w:ascii="Calibri" w:hAnsi="Calibri" w:eastAsia="宋体" w:cs="Calibri"/>
                <w:i w:val="0"/>
                <w:color w:val="000000"/>
                <w:sz w:val="22"/>
                <w:szCs w:val="22"/>
                <w:u w:val="none"/>
              </w:rPr>
            </w:pPr>
          </w:p>
        </w:tc>
      </w:tr>
      <w:tr w14:paraId="25AD8F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0543D5D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28</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0685A143">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25AA455D">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56A5A6A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二十八、债务还本支出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1E1A6EF2">
            <w:pPr>
              <w:jc w:val="right"/>
              <w:rPr>
                <w:rFonts w:hint="default" w:ascii="Calibri" w:hAnsi="Calibri" w:eastAsia="宋体" w:cs="Calibri"/>
                <w:i w:val="0"/>
                <w:color w:val="000000"/>
                <w:sz w:val="22"/>
                <w:szCs w:val="22"/>
                <w:u w:val="none"/>
              </w:rPr>
            </w:pPr>
          </w:p>
        </w:tc>
      </w:tr>
      <w:tr w14:paraId="4F4A10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2822EFE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29</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52822CF0">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4D781C3D">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594C388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二十九、债务付息支出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349873AE">
            <w:pPr>
              <w:jc w:val="right"/>
              <w:rPr>
                <w:rFonts w:hint="default" w:ascii="Calibri" w:hAnsi="Calibri" w:eastAsia="宋体" w:cs="Calibri"/>
                <w:i w:val="0"/>
                <w:color w:val="000000"/>
                <w:sz w:val="22"/>
                <w:szCs w:val="22"/>
                <w:u w:val="none"/>
              </w:rPr>
            </w:pPr>
          </w:p>
        </w:tc>
      </w:tr>
      <w:tr w14:paraId="637B15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3216DE8B">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45BFC93D">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5A4BA2EC">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2B34C3A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三十、债务发行费用支出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0DD97E0E">
            <w:pPr>
              <w:jc w:val="right"/>
              <w:rPr>
                <w:rFonts w:hint="default" w:ascii="Calibri" w:hAnsi="Calibri" w:eastAsia="宋体" w:cs="Calibri"/>
                <w:i w:val="0"/>
                <w:color w:val="000000"/>
                <w:sz w:val="22"/>
                <w:szCs w:val="22"/>
                <w:u w:val="none"/>
              </w:rPr>
            </w:pPr>
          </w:p>
        </w:tc>
      </w:tr>
      <w:tr w14:paraId="34F658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0EB27DD7">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3097B34D">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26A0F8A9">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49C17E1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三十一、抗疫特别国债安排的支出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6D650A85">
            <w:pPr>
              <w:jc w:val="right"/>
              <w:rPr>
                <w:rFonts w:hint="default" w:ascii="Calibri" w:hAnsi="Calibri" w:eastAsia="宋体" w:cs="Calibri"/>
                <w:i w:val="0"/>
                <w:color w:val="000000"/>
                <w:sz w:val="22"/>
                <w:szCs w:val="22"/>
                <w:u w:val="none"/>
              </w:rPr>
            </w:pPr>
          </w:p>
        </w:tc>
      </w:tr>
      <w:tr w14:paraId="4BE0E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5B4623A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08A7F14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本年收入合计</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530BE6A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3772586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本年支出合计</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78C7768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r>
      <w:tr w14:paraId="2F5523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055D3F1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33</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6EC9573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上年结转结余</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09FEC82E">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711FAB1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年终结转结余</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34AE0942">
            <w:pPr>
              <w:jc w:val="right"/>
              <w:rPr>
                <w:rFonts w:hint="default" w:ascii="Calibri" w:hAnsi="Calibri" w:eastAsia="宋体" w:cs="Calibri"/>
                <w:i w:val="0"/>
                <w:color w:val="000000"/>
                <w:sz w:val="22"/>
                <w:szCs w:val="22"/>
                <w:u w:val="none"/>
              </w:rPr>
            </w:pPr>
          </w:p>
        </w:tc>
      </w:tr>
      <w:tr w14:paraId="0027FE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6AC43D46">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34</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5742519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收入总计</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5771253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0F4D4B3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支出总计</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33C1B44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r>
    </w:tbl>
    <w:p w14:paraId="44702088">
      <w:pPr>
        <w:spacing w:line="560" w:lineRule="exact"/>
        <w:jc w:val="center"/>
        <w:rPr>
          <w:rFonts w:hint="eastAsia" w:ascii="宋体" w:hAnsi="宋体"/>
          <w:b/>
          <w:sz w:val="44"/>
          <w:szCs w:val="44"/>
        </w:rPr>
      </w:pPr>
    </w:p>
    <w:p w14:paraId="133D2CFA">
      <w:pPr>
        <w:spacing w:line="560" w:lineRule="exact"/>
        <w:jc w:val="center"/>
        <w:rPr>
          <w:rFonts w:hint="eastAsia" w:ascii="宋体" w:hAnsi="宋体"/>
          <w:b/>
          <w:sz w:val="44"/>
          <w:szCs w:val="44"/>
        </w:rPr>
      </w:pPr>
    </w:p>
    <w:p w14:paraId="4A7F5572">
      <w:pPr>
        <w:spacing w:line="560" w:lineRule="exact"/>
        <w:jc w:val="center"/>
        <w:rPr>
          <w:rFonts w:hint="eastAsia" w:ascii="宋体" w:hAnsi="宋体"/>
          <w:b/>
          <w:sz w:val="44"/>
          <w:szCs w:val="44"/>
        </w:rPr>
      </w:pPr>
    </w:p>
    <w:p w14:paraId="7F553DFB">
      <w:pPr>
        <w:spacing w:line="560" w:lineRule="exact"/>
        <w:jc w:val="center"/>
        <w:rPr>
          <w:rFonts w:hint="eastAsia" w:ascii="宋体" w:hAnsi="宋体"/>
          <w:b/>
          <w:sz w:val="44"/>
          <w:szCs w:val="44"/>
        </w:rPr>
      </w:pPr>
    </w:p>
    <w:tbl>
      <w:tblPr>
        <w:tblStyle w:val="5"/>
        <w:tblW w:w="1398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665"/>
        <w:gridCol w:w="1999"/>
        <w:gridCol w:w="1940"/>
        <w:gridCol w:w="1993"/>
        <w:gridCol w:w="861"/>
        <w:gridCol w:w="860"/>
        <w:gridCol w:w="810"/>
        <w:gridCol w:w="810"/>
        <w:gridCol w:w="809"/>
        <w:gridCol w:w="810"/>
        <w:gridCol w:w="811"/>
        <w:gridCol w:w="809"/>
        <w:gridCol w:w="811"/>
      </w:tblGrid>
      <w:tr w14:paraId="2747F2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60" w:hRule="atLeast"/>
        </w:trPr>
        <w:tc>
          <w:tcPr>
            <w:tcW w:w="13988" w:type="dxa"/>
            <w:gridSpan w:val="13"/>
            <w:shd w:val="clear" w:color="auto" w:fill="auto"/>
            <w:vAlign w:val="center"/>
          </w:tcPr>
          <w:p w14:paraId="5A823DE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36"/>
                <w:szCs w:val="36"/>
                <w:u w:val="none"/>
                <w:lang w:val="en-US" w:eastAsia="zh-CN" w:bidi="ar"/>
              </w:rPr>
              <w:t>部门预算收入总表</w:t>
            </w:r>
          </w:p>
        </w:tc>
      </w:tr>
      <w:tr w14:paraId="16E3E0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10747" w:type="dxa"/>
            <w:gridSpan w:val="9"/>
            <w:shd w:val="clear" w:color="auto" w:fill="auto"/>
            <w:vAlign w:val="center"/>
          </w:tcPr>
          <w:p w14:paraId="73B402B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预算单位编码及名称：[315]宁晋县司法局</w:t>
            </w:r>
          </w:p>
        </w:tc>
        <w:tc>
          <w:tcPr>
            <w:tcW w:w="1621" w:type="dxa"/>
            <w:gridSpan w:val="2"/>
            <w:shd w:val="clear" w:color="auto" w:fill="auto"/>
            <w:vAlign w:val="center"/>
          </w:tcPr>
          <w:p w14:paraId="1BD6B57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1620" w:type="dxa"/>
            <w:gridSpan w:val="2"/>
            <w:shd w:val="clear" w:color="auto" w:fill="auto"/>
            <w:vAlign w:val="center"/>
          </w:tcPr>
          <w:p w14:paraId="339B424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14:paraId="43B2CD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6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C31CD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39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3CF86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w:t>
            </w:r>
          </w:p>
        </w:tc>
        <w:tc>
          <w:tcPr>
            <w:tcW w:w="19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F13C6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658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983D99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w:t>
            </w:r>
          </w:p>
        </w:tc>
        <w:tc>
          <w:tcPr>
            <w:tcW w:w="81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B3D96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上年结转</w:t>
            </w:r>
          </w:p>
        </w:tc>
      </w:tr>
      <w:tr w14:paraId="167246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8F1D03">
            <w:pPr>
              <w:jc w:val="center"/>
              <w:rPr>
                <w:rFonts w:hint="eastAsia" w:ascii="宋体" w:hAnsi="宋体" w:eastAsia="宋体" w:cs="宋体"/>
                <w:i w:val="0"/>
                <w:color w:val="000000"/>
                <w:sz w:val="22"/>
                <w:szCs w:val="22"/>
                <w:u w:val="none"/>
              </w:rPr>
            </w:pP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178D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3A12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9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17D210">
            <w:pPr>
              <w:jc w:val="center"/>
              <w:rPr>
                <w:rFonts w:hint="eastAsia" w:ascii="宋体" w:hAnsi="宋体" w:eastAsia="宋体" w:cs="宋体"/>
                <w:i w:val="0"/>
                <w:color w:val="000000"/>
                <w:sz w:val="22"/>
                <w:szCs w:val="22"/>
                <w:u w:val="none"/>
              </w:rPr>
            </w:pP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13BF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34C9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财政拨款收入</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1315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财政专户收入</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EA1E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事业收入</w:t>
            </w: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F43C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经营收入</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A624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上级补助收入</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0385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附属单位上缴收入</w:t>
            </w: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9B1A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其他收入</w:t>
            </w:r>
          </w:p>
        </w:tc>
        <w:tc>
          <w:tcPr>
            <w:tcW w:w="8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751CE1">
            <w:pPr>
              <w:jc w:val="center"/>
              <w:rPr>
                <w:rFonts w:hint="eastAsia" w:ascii="宋体" w:hAnsi="宋体" w:eastAsia="宋体" w:cs="宋体"/>
                <w:i w:val="0"/>
                <w:color w:val="000000"/>
                <w:sz w:val="22"/>
                <w:szCs w:val="22"/>
                <w:u w:val="none"/>
              </w:rPr>
            </w:pPr>
          </w:p>
        </w:tc>
      </w:tr>
      <w:tr w14:paraId="65D58F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CCCF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6489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2B07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37D9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1FB8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55E2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88E4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D67A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06BC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D608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CE58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354A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4897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r>
      <w:tr w14:paraId="466622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6C82619C">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7BB00F12">
            <w:pPr>
              <w:jc w:val="left"/>
              <w:rPr>
                <w:rFonts w:hint="default" w:ascii="Calibri" w:hAnsi="Calibri" w:eastAsia="宋体" w:cs="Calibri"/>
                <w:i w:val="0"/>
                <w:color w:val="000000"/>
                <w:sz w:val="22"/>
                <w:szCs w:val="22"/>
                <w:u w:val="none"/>
              </w:rPr>
            </w:pP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5E52128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合计</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05D06D6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0907B2A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1AD9B27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04A5596F">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1FFD355C">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0E733C4A">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0E7A21D7">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434DFA31">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397F9EDA">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657531BF">
            <w:pPr>
              <w:jc w:val="right"/>
              <w:rPr>
                <w:rFonts w:hint="default" w:ascii="Calibri" w:hAnsi="Calibri" w:eastAsia="宋体" w:cs="Calibri"/>
                <w:i w:val="0"/>
                <w:color w:val="000000"/>
                <w:sz w:val="22"/>
                <w:szCs w:val="22"/>
                <w:u w:val="none"/>
              </w:rPr>
            </w:pPr>
          </w:p>
        </w:tc>
      </w:tr>
      <w:tr w14:paraId="4DAC2A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259E60A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51EEBD1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150F740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公共安全支出</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0659FE5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915.82</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62C90D3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915.82</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47859ED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915.82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45DF51CD">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532BE61A">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45C87E22">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2A510918">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56567FA6">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7F565750">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43D4F1C5">
            <w:pPr>
              <w:jc w:val="right"/>
              <w:rPr>
                <w:rFonts w:hint="default" w:ascii="Calibri" w:hAnsi="Calibri" w:eastAsia="宋体" w:cs="Calibri"/>
                <w:i w:val="0"/>
                <w:color w:val="000000"/>
                <w:sz w:val="22"/>
                <w:szCs w:val="22"/>
                <w:u w:val="none"/>
              </w:rPr>
            </w:pPr>
          </w:p>
        </w:tc>
      </w:tr>
      <w:tr w14:paraId="073317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7F00011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7D827DD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4DF8862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司法</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471D268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915.82</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0994767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915.82</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34568AC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915.82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03E50A61">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051CA002">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30C5FDA9">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469C6DFB">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7037D532">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10D5FA25">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19734807">
            <w:pPr>
              <w:jc w:val="right"/>
              <w:rPr>
                <w:rFonts w:hint="default" w:ascii="Calibri" w:hAnsi="Calibri" w:eastAsia="宋体" w:cs="Calibri"/>
                <w:i w:val="0"/>
                <w:color w:val="000000"/>
                <w:sz w:val="22"/>
                <w:szCs w:val="22"/>
                <w:u w:val="none"/>
              </w:rPr>
            </w:pPr>
          </w:p>
        </w:tc>
      </w:tr>
      <w:tr w14:paraId="34C2FD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29EE61C2">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6A5FD4D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2040601</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4B122CD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行政运行</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4EC6CC7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623.90 </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485E2E9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623.90 </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5AE7433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623.90 </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6527D64E">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1B087B41">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1B6A3A72">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08D042B5">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21B92E1A">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67E87C68">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4C76C91D">
            <w:pPr>
              <w:jc w:val="right"/>
              <w:rPr>
                <w:rFonts w:hint="default" w:ascii="Calibri" w:hAnsi="Calibri" w:eastAsia="宋体" w:cs="Calibri"/>
                <w:i w:val="0"/>
                <w:color w:val="000000"/>
                <w:sz w:val="22"/>
                <w:szCs w:val="22"/>
                <w:u w:val="none"/>
              </w:rPr>
            </w:pPr>
          </w:p>
        </w:tc>
      </w:tr>
      <w:tr w14:paraId="38A75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2C2B70E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34EB6F2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2040602</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2680D4B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一般行政管理事务</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6A518A9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106.88</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1529765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106.88</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48119A0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106.88</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67DA86EA">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550C2CA3">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7C1D5522">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601BA108">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4F3578ED">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10D0018C">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6E9F2F2D">
            <w:pPr>
              <w:jc w:val="right"/>
              <w:rPr>
                <w:rFonts w:hint="default" w:ascii="Calibri" w:hAnsi="Calibri" w:eastAsia="宋体" w:cs="Calibri"/>
                <w:i w:val="0"/>
                <w:color w:val="000000"/>
                <w:sz w:val="22"/>
                <w:szCs w:val="22"/>
                <w:u w:val="none"/>
              </w:rPr>
            </w:pPr>
          </w:p>
        </w:tc>
      </w:tr>
      <w:tr w14:paraId="4D701E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0A9E07D8">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74D237E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2040604</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520903C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基层司法业务</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52F9194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79.86</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052C1DD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79.86</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54A8FEF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79.86</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0217C73E">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11449C00">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412D0899">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1B383D8D">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48268380">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482B83AF">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18A25833">
            <w:pPr>
              <w:jc w:val="right"/>
              <w:rPr>
                <w:rFonts w:hint="default" w:ascii="Calibri" w:hAnsi="Calibri" w:eastAsia="宋体" w:cs="Calibri"/>
                <w:i w:val="0"/>
                <w:color w:val="000000"/>
                <w:sz w:val="22"/>
                <w:szCs w:val="22"/>
                <w:u w:val="none"/>
              </w:rPr>
            </w:pPr>
          </w:p>
        </w:tc>
      </w:tr>
      <w:tr w14:paraId="6F74E1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05F1FC8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2298844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2040605</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6376858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普法宣传</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67B7F96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37.14</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65996D0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37.14</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5C5E0BC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37.14</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2A637EA8">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36E56510">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56E7C2A7">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23640F78">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4AB391C1">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1BA427F0">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69AAFB5A">
            <w:pPr>
              <w:jc w:val="right"/>
              <w:rPr>
                <w:rFonts w:hint="default" w:ascii="Calibri" w:hAnsi="Calibri" w:eastAsia="宋体" w:cs="Calibri"/>
                <w:i w:val="0"/>
                <w:color w:val="000000"/>
                <w:sz w:val="22"/>
                <w:szCs w:val="22"/>
                <w:u w:val="none"/>
              </w:rPr>
            </w:pPr>
          </w:p>
        </w:tc>
      </w:tr>
      <w:tr w14:paraId="5B72A4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5CC54BBE">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3A073BD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2040607</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3B96978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公共法律服务</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46731DC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26C0629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1B26933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52D7F249">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5AB91643">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52757C30">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73FDCDAD">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28528650">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1FABBEC3">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4AC824CC">
            <w:pPr>
              <w:jc w:val="right"/>
              <w:rPr>
                <w:rFonts w:hint="default" w:ascii="Calibri" w:hAnsi="Calibri" w:eastAsia="宋体" w:cs="Calibri"/>
                <w:i w:val="0"/>
                <w:color w:val="000000"/>
                <w:sz w:val="22"/>
                <w:szCs w:val="22"/>
                <w:u w:val="none"/>
              </w:rPr>
            </w:pPr>
          </w:p>
        </w:tc>
      </w:tr>
      <w:tr w14:paraId="6CF1D6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7C9F1D3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1BBB15A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2040610</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6A45679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社区矫正</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413D643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53.04</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2DEC8FD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53.04</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58CA6DE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53.04</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10170719">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48866BCC">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1F4968C7">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771467BD">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6CF382F6">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0D7F77F3">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00D010C9">
            <w:pPr>
              <w:jc w:val="right"/>
              <w:rPr>
                <w:rFonts w:hint="default" w:ascii="Calibri" w:hAnsi="Calibri" w:eastAsia="宋体" w:cs="Calibri"/>
                <w:i w:val="0"/>
                <w:color w:val="000000"/>
                <w:sz w:val="22"/>
                <w:szCs w:val="22"/>
                <w:u w:val="none"/>
              </w:rPr>
            </w:pPr>
          </w:p>
        </w:tc>
      </w:tr>
      <w:tr w14:paraId="0E3B71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3DEE3EAB">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6D43487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2040612</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0975548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法治建设</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1C3C750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3196C8C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03F1E72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1775C9B1">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57C38696">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504E780E">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4C7B48A5">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4D43B14D">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6783AA32">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55ACCD67">
            <w:pPr>
              <w:jc w:val="right"/>
              <w:rPr>
                <w:rFonts w:hint="default" w:ascii="Calibri" w:hAnsi="Calibri" w:eastAsia="宋体" w:cs="Calibri"/>
                <w:i w:val="0"/>
                <w:color w:val="000000"/>
                <w:sz w:val="22"/>
                <w:szCs w:val="22"/>
                <w:u w:val="none"/>
              </w:rPr>
            </w:pPr>
          </w:p>
        </w:tc>
      </w:tr>
      <w:tr w14:paraId="0927C6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139FAADB">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28AA2C5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4718DD3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社会保障和就业支出</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342D1F2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75.88</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0EEF267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75.88</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1BFB405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75.88</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21EDA734">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35D4D78E">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490695B6">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4B5E29A1">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13191833">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1F2FCE65">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0A10CF15">
            <w:pPr>
              <w:jc w:val="right"/>
              <w:rPr>
                <w:rFonts w:hint="default" w:ascii="Calibri" w:hAnsi="Calibri" w:eastAsia="宋体" w:cs="Calibri"/>
                <w:i w:val="0"/>
                <w:color w:val="000000"/>
                <w:sz w:val="22"/>
                <w:szCs w:val="22"/>
                <w:u w:val="none"/>
              </w:rPr>
            </w:pPr>
          </w:p>
        </w:tc>
      </w:tr>
      <w:tr w14:paraId="0333B8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7C83CDD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3DC05C2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4D4D1B6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行政事业单位养老支出</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3EA53A5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70.26</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154430D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70.26</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17A33E8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70.26</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7B16FDB5">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318AD317">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30B66A37">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193F87BA">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2FFD5736">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34A44270">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43CF9DC5">
            <w:pPr>
              <w:jc w:val="right"/>
              <w:rPr>
                <w:rFonts w:hint="default" w:ascii="Calibri" w:hAnsi="Calibri" w:eastAsia="宋体" w:cs="Calibri"/>
                <w:i w:val="0"/>
                <w:color w:val="000000"/>
                <w:sz w:val="22"/>
                <w:szCs w:val="22"/>
                <w:u w:val="none"/>
              </w:rPr>
            </w:pPr>
          </w:p>
        </w:tc>
      </w:tr>
      <w:tr w14:paraId="1B50F3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751F5B1D">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0625714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2080501</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24B5E1B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行政单位离退休</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5338B18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18.50</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769E0FC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18.50</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66D5172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18.50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4D4E0E9D">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4BFCF7E5">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7DC167E6">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0DB87200">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2E27F7B2">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3D9AE6F9">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5DA4C2BF">
            <w:pPr>
              <w:jc w:val="right"/>
              <w:rPr>
                <w:rFonts w:hint="default" w:ascii="Calibri" w:hAnsi="Calibri" w:eastAsia="宋体" w:cs="Calibri"/>
                <w:i w:val="0"/>
                <w:color w:val="000000"/>
                <w:sz w:val="22"/>
                <w:szCs w:val="22"/>
                <w:u w:val="none"/>
              </w:rPr>
            </w:pPr>
          </w:p>
        </w:tc>
      </w:tr>
      <w:tr w14:paraId="119D1B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57CBA19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31C3801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2080505</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6D9A57A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机关事业单位基本养老保险缴费支出</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4B67C3E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51.76</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0330C48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51.76</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04C18DB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51.76</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7984CE68">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1FC10FEA">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2A905D77">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3FF00940">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51D1D4DE">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36B022A9">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29A5B844">
            <w:pPr>
              <w:jc w:val="right"/>
              <w:rPr>
                <w:rFonts w:hint="default" w:ascii="Calibri" w:hAnsi="Calibri" w:eastAsia="宋体" w:cs="Calibri"/>
                <w:i w:val="0"/>
                <w:color w:val="000000"/>
                <w:sz w:val="22"/>
                <w:szCs w:val="22"/>
                <w:u w:val="none"/>
              </w:rPr>
            </w:pPr>
          </w:p>
        </w:tc>
      </w:tr>
      <w:tr w14:paraId="44A4CB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4D534929">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1D7197A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20808</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6F9AB41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抚恤</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4A636FB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12ED067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3FAB589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2B8E207A">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09A79E19">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77BA02AD">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2FDB7658">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4E22D3E4">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6CD22AD6">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5E4426DA">
            <w:pPr>
              <w:jc w:val="right"/>
              <w:rPr>
                <w:rFonts w:hint="default" w:ascii="Calibri" w:hAnsi="Calibri" w:eastAsia="宋体" w:cs="Calibri"/>
                <w:i w:val="0"/>
                <w:color w:val="000000"/>
                <w:sz w:val="22"/>
                <w:szCs w:val="22"/>
                <w:u w:val="none"/>
              </w:rPr>
            </w:pPr>
          </w:p>
        </w:tc>
      </w:tr>
      <w:tr w14:paraId="2FDDD0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2E2352F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75685A4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2080801</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433B9DC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死亡抚恤</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7C390FE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4DD74B5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559DB5C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65F9A2F8">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7836B172">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451E3E22">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52DD064C">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2C480687">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4D76E970">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064D441D">
            <w:pPr>
              <w:jc w:val="right"/>
              <w:rPr>
                <w:rFonts w:hint="default" w:ascii="Calibri" w:hAnsi="Calibri" w:eastAsia="宋体" w:cs="Calibri"/>
                <w:i w:val="0"/>
                <w:color w:val="000000"/>
                <w:sz w:val="22"/>
                <w:szCs w:val="22"/>
                <w:u w:val="none"/>
              </w:rPr>
            </w:pPr>
          </w:p>
        </w:tc>
      </w:tr>
      <w:tr w14:paraId="348396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5A64648D">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0E4BA39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4BC1DE6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财政对其他社会保险基金的补助</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0CC4146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41D2D12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3DDF20C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1EA67DD4">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11AA98F5">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410A0332">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45F5DC6F">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1A96A913">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7A8A2A26">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7ABBA0C1">
            <w:pPr>
              <w:jc w:val="right"/>
              <w:rPr>
                <w:rFonts w:hint="default" w:ascii="Calibri" w:hAnsi="Calibri" w:eastAsia="宋体" w:cs="Calibri"/>
                <w:i w:val="0"/>
                <w:color w:val="000000"/>
                <w:sz w:val="22"/>
                <w:szCs w:val="22"/>
                <w:u w:val="none"/>
              </w:rPr>
            </w:pPr>
          </w:p>
        </w:tc>
      </w:tr>
      <w:tr w14:paraId="6D8E9C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131999A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7B8BD68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2082702</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4A96E41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财政对工伤保险基金的补助</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7887F23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182BC2A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6BCB01A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3D490A0E">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1363FD64">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162C8D6C">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0A9FCAF6">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21A4AF9D">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74D61C82">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6E8FEA78">
            <w:pPr>
              <w:jc w:val="right"/>
              <w:rPr>
                <w:rFonts w:hint="default" w:ascii="Calibri" w:hAnsi="Calibri" w:eastAsia="宋体" w:cs="Calibri"/>
                <w:i w:val="0"/>
                <w:color w:val="000000"/>
                <w:sz w:val="22"/>
                <w:szCs w:val="22"/>
                <w:u w:val="none"/>
              </w:rPr>
            </w:pPr>
          </w:p>
        </w:tc>
      </w:tr>
      <w:tr w14:paraId="053F16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5549BF2D">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727CAE6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77CC342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卫生健康支出</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7B5E6FF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17692BB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7D14A00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1C978F7D">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1144518F">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2F0F02DC">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1B3CF0B0">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212D27EB">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5C74EF96">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3D4AC7A9">
            <w:pPr>
              <w:jc w:val="right"/>
              <w:rPr>
                <w:rFonts w:hint="default" w:ascii="Calibri" w:hAnsi="Calibri" w:eastAsia="宋体" w:cs="Calibri"/>
                <w:i w:val="0"/>
                <w:color w:val="000000"/>
                <w:sz w:val="22"/>
                <w:szCs w:val="22"/>
                <w:u w:val="none"/>
              </w:rPr>
            </w:pPr>
          </w:p>
        </w:tc>
      </w:tr>
      <w:tr w14:paraId="378D11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60F88480">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2765152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6F396AF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行政事业单位医疗</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3B0C314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5F01262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7054576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0EFCF0D7">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349FD878">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7AA45AB7">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7677EF78">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49F5CC98">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5B928786">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23E3C436">
            <w:pPr>
              <w:jc w:val="right"/>
              <w:rPr>
                <w:rFonts w:hint="default" w:ascii="Calibri" w:hAnsi="Calibri" w:eastAsia="宋体" w:cs="Calibri"/>
                <w:i w:val="0"/>
                <w:color w:val="000000"/>
                <w:sz w:val="22"/>
                <w:szCs w:val="22"/>
                <w:u w:val="none"/>
              </w:rPr>
            </w:pPr>
          </w:p>
        </w:tc>
      </w:tr>
      <w:tr w14:paraId="553EAD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7EA68659">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679EAC4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2101101</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4CB8D05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行政单位医疗</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163E21C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77F13AA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1D74E38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65B40CFD">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6E84316A">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62C7D3F0">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72A42D0C">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0E99613F">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0BAA70BD">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15ED6620">
            <w:pPr>
              <w:jc w:val="right"/>
              <w:rPr>
                <w:rFonts w:hint="default" w:ascii="Calibri" w:hAnsi="Calibri" w:eastAsia="宋体" w:cs="Calibri"/>
                <w:i w:val="0"/>
                <w:color w:val="000000"/>
                <w:sz w:val="22"/>
                <w:szCs w:val="22"/>
                <w:u w:val="none"/>
              </w:rPr>
            </w:pPr>
          </w:p>
        </w:tc>
      </w:tr>
      <w:tr w14:paraId="7D699E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28BB149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6BAAD8B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586B5C6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住房保障支出</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1CFEF30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7038054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6E0936E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7C9F4C11">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3DE14108">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08F88C83">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64184E3D">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741279F5">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015ADC2E">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581F85D5">
            <w:pPr>
              <w:jc w:val="right"/>
              <w:rPr>
                <w:rFonts w:hint="default" w:ascii="Calibri" w:hAnsi="Calibri" w:eastAsia="宋体" w:cs="Calibri"/>
                <w:i w:val="0"/>
                <w:color w:val="000000"/>
                <w:sz w:val="22"/>
                <w:szCs w:val="22"/>
                <w:u w:val="none"/>
              </w:rPr>
            </w:pPr>
          </w:p>
        </w:tc>
      </w:tr>
      <w:tr w14:paraId="1962A2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02B4165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6DA25BE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2E75F54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住房改革支出</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7D58910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35A18BE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32AF385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42C931BD">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44FD55ED">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1CDF73B2">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349E188B">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64D31E08">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4CBE14C4">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1BBAB68F">
            <w:pPr>
              <w:jc w:val="right"/>
              <w:rPr>
                <w:rFonts w:hint="default" w:ascii="Calibri" w:hAnsi="Calibri" w:eastAsia="宋体" w:cs="Calibri"/>
                <w:i w:val="0"/>
                <w:color w:val="000000"/>
                <w:sz w:val="22"/>
                <w:szCs w:val="22"/>
                <w:u w:val="none"/>
              </w:rPr>
            </w:pPr>
          </w:p>
        </w:tc>
      </w:tr>
      <w:tr w14:paraId="052BED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6BAEF290">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24</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0B3A4BE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2210201</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57BC50A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住房公积金</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26A2400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35AF643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583A2F1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484F4041">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33EE1DF7">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1F8011D4">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2A11D927">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1EF3056E">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098180B1">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799EA582">
            <w:pPr>
              <w:jc w:val="right"/>
              <w:rPr>
                <w:rFonts w:hint="default" w:ascii="Calibri" w:hAnsi="Calibri" w:eastAsia="宋体" w:cs="Calibri"/>
                <w:i w:val="0"/>
                <w:color w:val="000000"/>
                <w:sz w:val="22"/>
                <w:szCs w:val="22"/>
                <w:u w:val="none"/>
              </w:rPr>
            </w:pPr>
          </w:p>
        </w:tc>
      </w:tr>
    </w:tbl>
    <w:p w14:paraId="24F2CA78">
      <w:pPr>
        <w:spacing w:line="560" w:lineRule="exact"/>
        <w:jc w:val="center"/>
        <w:rPr>
          <w:rFonts w:hint="eastAsia" w:ascii="宋体" w:hAnsi="宋体"/>
          <w:b/>
          <w:sz w:val="44"/>
          <w:szCs w:val="44"/>
        </w:rPr>
      </w:pPr>
    </w:p>
    <w:p w14:paraId="062062CC">
      <w:pPr>
        <w:spacing w:line="560" w:lineRule="exact"/>
        <w:jc w:val="center"/>
        <w:rPr>
          <w:rFonts w:hint="eastAsia" w:ascii="宋体" w:hAnsi="宋体"/>
          <w:b/>
          <w:sz w:val="44"/>
          <w:szCs w:val="44"/>
        </w:rPr>
      </w:pPr>
    </w:p>
    <w:p w14:paraId="12B6C9E6">
      <w:pPr>
        <w:spacing w:line="560" w:lineRule="exact"/>
        <w:jc w:val="center"/>
        <w:rPr>
          <w:rFonts w:hint="eastAsia" w:ascii="宋体" w:hAnsi="宋体"/>
          <w:b/>
          <w:sz w:val="44"/>
          <w:szCs w:val="44"/>
        </w:rPr>
      </w:pPr>
    </w:p>
    <w:p w14:paraId="79D726FA">
      <w:pPr>
        <w:spacing w:line="560" w:lineRule="exact"/>
        <w:jc w:val="center"/>
        <w:rPr>
          <w:rFonts w:hint="eastAsia" w:ascii="宋体" w:hAnsi="宋体"/>
          <w:b/>
          <w:sz w:val="44"/>
          <w:szCs w:val="44"/>
        </w:rPr>
      </w:pPr>
    </w:p>
    <w:p w14:paraId="598624B0">
      <w:pPr>
        <w:spacing w:line="560" w:lineRule="exact"/>
        <w:jc w:val="center"/>
        <w:rPr>
          <w:rFonts w:hint="eastAsia" w:ascii="宋体" w:hAnsi="宋体"/>
          <w:b/>
          <w:sz w:val="44"/>
          <w:szCs w:val="44"/>
        </w:rPr>
      </w:pPr>
    </w:p>
    <w:p w14:paraId="50FF47E9">
      <w:pPr>
        <w:spacing w:line="560" w:lineRule="exact"/>
        <w:jc w:val="center"/>
        <w:rPr>
          <w:rFonts w:hint="eastAsia" w:ascii="宋体" w:hAnsi="宋体"/>
          <w:b/>
          <w:sz w:val="44"/>
          <w:szCs w:val="44"/>
        </w:rPr>
      </w:pPr>
    </w:p>
    <w:p w14:paraId="7A3161DC">
      <w:pPr>
        <w:spacing w:line="560" w:lineRule="exact"/>
        <w:jc w:val="center"/>
        <w:rPr>
          <w:rFonts w:hint="eastAsia" w:ascii="宋体" w:hAnsi="宋体"/>
          <w:b/>
          <w:sz w:val="44"/>
          <w:szCs w:val="44"/>
        </w:rPr>
      </w:pPr>
    </w:p>
    <w:p w14:paraId="77C9994A">
      <w:pPr>
        <w:spacing w:line="560" w:lineRule="exact"/>
        <w:jc w:val="center"/>
        <w:rPr>
          <w:rFonts w:hint="eastAsia" w:ascii="宋体" w:hAnsi="宋体"/>
          <w:b/>
          <w:sz w:val="44"/>
          <w:szCs w:val="44"/>
        </w:rPr>
      </w:pPr>
    </w:p>
    <w:tbl>
      <w:tblPr>
        <w:tblStyle w:val="5"/>
        <w:tblW w:w="1398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861"/>
        <w:gridCol w:w="2594"/>
        <w:gridCol w:w="2488"/>
        <w:gridCol w:w="2584"/>
        <w:gridCol w:w="1120"/>
        <w:gridCol w:w="1119"/>
        <w:gridCol w:w="1047"/>
        <w:gridCol w:w="1087"/>
        <w:gridCol w:w="1088"/>
      </w:tblGrid>
      <w:tr w14:paraId="134FCC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60" w:hRule="atLeast"/>
        </w:trPr>
        <w:tc>
          <w:tcPr>
            <w:tcW w:w="13988" w:type="dxa"/>
            <w:gridSpan w:val="9"/>
            <w:shd w:val="clear" w:color="auto" w:fill="auto"/>
            <w:vAlign w:val="center"/>
          </w:tcPr>
          <w:p w14:paraId="02F410B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36"/>
                <w:szCs w:val="36"/>
                <w:u w:val="none"/>
                <w:lang w:val="en-US" w:eastAsia="zh-CN" w:bidi="ar"/>
              </w:rPr>
              <w:t>部门预算支出总表</w:t>
            </w:r>
          </w:p>
        </w:tc>
      </w:tr>
      <w:tr w14:paraId="230FC0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11813" w:type="dxa"/>
            <w:gridSpan w:val="7"/>
            <w:shd w:val="clear" w:color="auto" w:fill="auto"/>
            <w:vAlign w:val="center"/>
          </w:tcPr>
          <w:p w14:paraId="0933343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预算单位编码及名称：[315]宁晋县司法局</w:t>
            </w:r>
          </w:p>
        </w:tc>
        <w:tc>
          <w:tcPr>
            <w:tcW w:w="1087" w:type="dxa"/>
            <w:shd w:val="clear" w:color="auto" w:fill="auto"/>
            <w:vAlign w:val="center"/>
          </w:tcPr>
          <w:p w14:paraId="113BA09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1088" w:type="dxa"/>
            <w:shd w:val="clear" w:color="auto" w:fill="auto"/>
            <w:vAlign w:val="center"/>
          </w:tcPr>
          <w:p w14:paraId="7941AA8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14:paraId="7BB775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8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478D1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508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50486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支出功能分类科目</w:t>
            </w:r>
          </w:p>
        </w:tc>
        <w:tc>
          <w:tcPr>
            <w:tcW w:w="258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C61ED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本年支出合计</w:t>
            </w:r>
          </w:p>
        </w:tc>
        <w:tc>
          <w:tcPr>
            <w:tcW w:w="11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EF0E7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1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77A22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c>
          <w:tcPr>
            <w:tcW w:w="10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F4371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经营支出</w:t>
            </w:r>
          </w:p>
        </w:tc>
        <w:tc>
          <w:tcPr>
            <w:tcW w:w="108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6E07AC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上缴上级支出</w:t>
            </w:r>
          </w:p>
        </w:tc>
        <w:tc>
          <w:tcPr>
            <w:tcW w:w="108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182B7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对附属单位补助支出</w:t>
            </w:r>
          </w:p>
        </w:tc>
      </w:tr>
      <w:tr w14:paraId="6D61DD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8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885114">
            <w:pPr>
              <w:jc w:val="center"/>
              <w:rPr>
                <w:rFonts w:hint="eastAsia" w:ascii="宋体" w:hAnsi="宋体" w:eastAsia="宋体" w:cs="宋体"/>
                <w:i w:val="0"/>
                <w:color w:val="000000"/>
                <w:sz w:val="22"/>
                <w:szCs w:val="22"/>
                <w:u w:val="none"/>
              </w:rPr>
            </w:pP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98B8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EC83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25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390830">
            <w:pPr>
              <w:jc w:val="center"/>
              <w:rPr>
                <w:rFonts w:hint="eastAsia" w:ascii="宋体" w:hAnsi="宋体" w:eastAsia="宋体" w:cs="宋体"/>
                <w:i w:val="0"/>
                <w:color w:val="000000"/>
                <w:sz w:val="22"/>
                <w:szCs w:val="22"/>
                <w:u w:val="none"/>
              </w:rPr>
            </w:pPr>
          </w:p>
        </w:tc>
        <w:tc>
          <w:tcPr>
            <w:tcW w:w="11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CDF580">
            <w:pPr>
              <w:jc w:val="center"/>
              <w:rPr>
                <w:rFonts w:hint="eastAsia" w:ascii="宋体" w:hAnsi="宋体" w:eastAsia="宋体" w:cs="宋体"/>
                <w:i w:val="0"/>
                <w:color w:val="000000"/>
                <w:sz w:val="22"/>
                <w:szCs w:val="22"/>
                <w:u w:val="none"/>
              </w:rPr>
            </w:pPr>
          </w:p>
        </w:tc>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A6EF22">
            <w:pPr>
              <w:jc w:val="center"/>
              <w:rPr>
                <w:rFonts w:hint="eastAsia" w:ascii="宋体" w:hAnsi="宋体" w:eastAsia="宋体" w:cs="宋体"/>
                <w:i w:val="0"/>
                <w:color w:val="000000"/>
                <w:sz w:val="22"/>
                <w:szCs w:val="22"/>
                <w:u w:val="none"/>
              </w:rPr>
            </w:pPr>
          </w:p>
        </w:tc>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4EAD57">
            <w:pPr>
              <w:jc w:val="center"/>
              <w:rPr>
                <w:rFonts w:hint="eastAsia" w:ascii="宋体" w:hAnsi="宋体" w:eastAsia="宋体" w:cs="宋体"/>
                <w:i w:val="0"/>
                <w:color w:val="000000"/>
                <w:sz w:val="22"/>
                <w:szCs w:val="22"/>
                <w:u w:val="none"/>
              </w:rPr>
            </w:pPr>
          </w:p>
        </w:tc>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7333BE">
            <w:pPr>
              <w:jc w:val="center"/>
              <w:rPr>
                <w:rFonts w:hint="eastAsia" w:ascii="宋体" w:hAnsi="宋体" w:eastAsia="宋体" w:cs="宋体"/>
                <w:i w:val="0"/>
                <w:color w:val="000000"/>
                <w:sz w:val="22"/>
                <w:szCs w:val="22"/>
                <w:u w:val="none"/>
              </w:rPr>
            </w:pPr>
          </w:p>
        </w:tc>
        <w:tc>
          <w:tcPr>
            <w:tcW w:w="108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8A2B42">
            <w:pPr>
              <w:jc w:val="center"/>
              <w:rPr>
                <w:rFonts w:hint="eastAsia" w:ascii="宋体" w:hAnsi="宋体" w:eastAsia="宋体" w:cs="宋体"/>
                <w:i w:val="0"/>
                <w:color w:val="000000"/>
                <w:sz w:val="22"/>
                <w:szCs w:val="22"/>
                <w:u w:val="none"/>
              </w:rPr>
            </w:pPr>
          </w:p>
        </w:tc>
      </w:tr>
      <w:tr w14:paraId="3FD975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D93B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3152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233C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8056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1F51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72B9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6E85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83A3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9C7B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14:paraId="5B87B7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68FDB046">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6EA3D74A">
            <w:pPr>
              <w:jc w:val="left"/>
              <w:rPr>
                <w:rFonts w:hint="default" w:ascii="Calibri" w:hAnsi="Calibri" w:eastAsia="宋体" w:cs="Calibri"/>
                <w:i w:val="0"/>
                <w:color w:val="000000"/>
                <w:sz w:val="22"/>
                <w:szCs w:val="22"/>
                <w:u w:val="none"/>
              </w:rPr>
            </w:pP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040560E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合计</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6A37E41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4234802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761.91</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44A6479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291.92</w:t>
            </w: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19B63D27">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4AB658AF">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22B0B908">
            <w:pPr>
              <w:jc w:val="right"/>
              <w:rPr>
                <w:rFonts w:hint="default" w:ascii="Calibri" w:hAnsi="Calibri" w:eastAsia="宋体" w:cs="Calibri"/>
                <w:i w:val="0"/>
                <w:color w:val="000000"/>
                <w:sz w:val="22"/>
                <w:szCs w:val="22"/>
                <w:u w:val="none"/>
              </w:rPr>
            </w:pPr>
          </w:p>
        </w:tc>
      </w:tr>
      <w:tr w14:paraId="2D683A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0A9BF3D2">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7F1D16C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1FA7AB7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公共安全支出</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1956229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915.82</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6233C2B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623.90 </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2622F0E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291.92</w:t>
            </w: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2F4AD50B">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32F565FD">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2F767952">
            <w:pPr>
              <w:jc w:val="right"/>
              <w:rPr>
                <w:rFonts w:hint="default" w:ascii="Calibri" w:hAnsi="Calibri" w:eastAsia="宋体" w:cs="Calibri"/>
                <w:i w:val="0"/>
                <w:color w:val="000000"/>
                <w:sz w:val="22"/>
                <w:szCs w:val="22"/>
                <w:u w:val="none"/>
              </w:rPr>
            </w:pPr>
          </w:p>
        </w:tc>
      </w:tr>
      <w:tr w14:paraId="6639E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5EF5269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6A197FE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0202864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司法</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6B8664A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915.82</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3841126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623.90 </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6492AD6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291.92</w:t>
            </w: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3C6861B1">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0DFC910C">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16788489">
            <w:pPr>
              <w:jc w:val="right"/>
              <w:rPr>
                <w:rFonts w:hint="default" w:ascii="Calibri" w:hAnsi="Calibri" w:eastAsia="宋体" w:cs="Calibri"/>
                <w:i w:val="0"/>
                <w:color w:val="000000"/>
                <w:sz w:val="22"/>
                <w:szCs w:val="22"/>
                <w:u w:val="none"/>
              </w:rPr>
            </w:pPr>
          </w:p>
        </w:tc>
      </w:tr>
      <w:tr w14:paraId="7A96B8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0DB77268">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224B125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2040601</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0F355DE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行政运行</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060A85B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623.90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12D421D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623.90 </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2F2E3A2F">
            <w:pPr>
              <w:jc w:val="right"/>
              <w:rPr>
                <w:rFonts w:hint="default" w:ascii="Calibri" w:hAnsi="Calibri" w:eastAsia="宋体" w:cs="Calibri"/>
                <w:i w:val="0"/>
                <w:color w:val="000000"/>
                <w:sz w:val="22"/>
                <w:szCs w:val="22"/>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11B29659">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62AD1846">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145AC51E">
            <w:pPr>
              <w:jc w:val="right"/>
              <w:rPr>
                <w:rFonts w:hint="default" w:ascii="Calibri" w:hAnsi="Calibri" w:eastAsia="宋体" w:cs="Calibri"/>
                <w:i w:val="0"/>
                <w:color w:val="000000"/>
                <w:sz w:val="22"/>
                <w:szCs w:val="22"/>
                <w:u w:val="none"/>
              </w:rPr>
            </w:pPr>
          </w:p>
        </w:tc>
      </w:tr>
      <w:tr w14:paraId="0C109E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3D5995F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74418BF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2040602</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1EFA50C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一般行政管理事务</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4A87CD6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106.88</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540B0BCF">
            <w:pPr>
              <w:jc w:val="right"/>
              <w:rPr>
                <w:rFonts w:hint="default" w:ascii="Calibri" w:hAnsi="Calibri" w:eastAsia="宋体" w:cs="Calibri"/>
                <w:i w:val="0"/>
                <w:color w:val="000000"/>
                <w:sz w:val="22"/>
                <w:szCs w:val="22"/>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6C8596B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106.88</w:t>
            </w: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0F8E4C8E">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641CBA67">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2413D886">
            <w:pPr>
              <w:jc w:val="right"/>
              <w:rPr>
                <w:rFonts w:hint="default" w:ascii="Calibri" w:hAnsi="Calibri" w:eastAsia="宋体" w:cs="Calibri"/>
                <w:i w:val="0"/>
                <w:color w:val="000000"/>
                <w:sz w:val="22"/>
                <w:szCs w:val="22"/>
                <w:u w:val="none"/>
              </w:rPr>
            </w:pPr>
          </w:p>
        </w:tc>
      </w:tr>
      <w:tr w14:paraId="74DA21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2483E20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6D3A7C6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2040604</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4D5AD79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基层司法业务</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33AF4EC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79.86</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5F230B02">
            <w:pPr>
              <w:jc w:val="right"/>
              <w:rPr>
                <w:rFonts w:hint="default" w:ascii="Calibri" w:hAnsi="Calibri" w:eastAsia="宋体" w:cs="Calibri"/>
                <w:i w:val="0"/>
                <w:color w:val="000000"/>
                <w:sz w:val="22"/>
                <w:szCs w:val="22"/>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33AEF1C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79.86</w:t>
            </w: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109BCEFF">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732F8C4B">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269E810C">
            <w:pPr>
              <w:jc w:val="right"/>
              <w:rPr>
                <w:rFonts w:hint="default" w:ascii="Calibri" w:hAnsi="Calibri" w:eastAsia="宋体" w:cs="Calibri"/>
                <w:i w:val="0"/>
                <w:color w:val="000000"/>
                <w:sz w:val="22"/>
                <w:szCs w:val="22"/>
                <w:u w:val="none"/>
              </w:rPr>
            </w:pPr>
          </w:p>
        </w:tc>
      </w:tr>
      <w:tr w14:paraId="1711F4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7BC0A8E2">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6F68217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2040605</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0B2A05C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普法宣传</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67AFDA2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37.14</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6FC753ED">
            <w:pPr>
              <w:jc w:val="right"/>
              <w:rPr>
                <w:rFonts w:hint="default" w:ascii="Calibri" w:hAnsi="Calibri" w:eastAsia="宋体" w:cs="Calibri"/>
                <w:i w:val="0"/>
                <w:color w:val="000000"/>
                <w:sz w:val="22"/>
                <w:szCs w:val="22"/>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65FB3D3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37.14</w:t>
            </w: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272998D8">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1144557B">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08E527AB">
            <w:pPr>
              <w:jc w:val="right"/>
              <w:rPr>
                <w:rFonts w:hint="default" w:ascii="Calibri" w:hAnsi="Calibri" w:eastAsia="宋体" w:cs="Calibri"/>
                <w:i w:val="0"/>
                <w:color w:val="000000"/>
                <w:sz w:val="22"/>
                <w:szCs w:val="22"/>
                <w:u w:val="none"/>
              </w:rPr>
            </w:pPr>
          </w:p>
        </w:tc>
      </w:tr>
      <w:tr w14:paraId="47C65D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522E2EAE">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37537B2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2040607</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384FBF4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公共法律服务</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3C0C60C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1A0D9C26">
            <w:pPr>
              <w:jc w:val="right"/>
              <w:rPr>
                <w:rFonts w:hint="default" w:ascii="Calibri" w:hAnsi="Calibri" w:eastAsia="宋体" w:cs="Calibri"/>
                <w:i w:val="0"/>
                <w:color w:val="000000"/>
                <w:sz w:val="22"/>
                <w:szCs w:val="22"/>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1DC8663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7A36B9B9">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4A83A87C">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1B786A36">
            <w:pPr>
              <w:jc w:val="right"/>
              <w:rPr>
                <w:rFonts w:hint="default" w:ascii="Calibri" w:hAnsi="Calibri" w:eastAsia="宋体" w:cs="Calibri"/>
                <w:i w:val="0"/>
                <w:color w:val="000000"/>
                <w:sz w:val="22"/>
                <w:szCs w:val="22"/>
                <w:u w:val="none"/>
              </w:rPr>
            </w:pPr>
          </w:p>
        </w:tc>
      </w:tr>
      <w:tr w14:paraId="42FEFF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04CCF919">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0A2DFCD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2040610</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48B2980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社区矫正</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46D1EE7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53.04</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2F189DB9">
            <w:pPr>
              <w:jc w:val="right"/>
              <w:rPr>
                <w:rFonts w:hint="default" w:ascii="Calibri" w:hAnsi="Calibri" w:eastAsia="宋体" w:cs="Calibri"/>
                <w:i w:val="0"/>
                <w:color w:val="000000"/>
                <w:sz w:val="22"/>
                <w:szCs w:val="22"/>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2353E7B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53.04</w:t>
            </w: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78E76B7F">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2AC8DF9B">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47C98E60">
            <w:pPr>
              <w:jc w:val="right"/>
              <w:rPr>
                <w:rFonts w:hint="default" w:ascii="Calibri" w:hAnsi="Calibri" w:eastAsia="宋体" w:cs="Calibri"/>
                <w:i w:val="0"/>
                <w:color w:val="000000"/>
                <w:sz w:val="22"/>
                <w:szCs w:val="22"/>
                <w:u w:val="none"/>
              </w:rPr>
            </w:pPr>
          </w:p>
        </w:tc>
      </w:tr>
      <w:tr w14:paraId="240E58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237CA60E">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7429164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2040612</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5BDCE12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法治建设</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59AEE55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1C334EF8">
            <w:pPr>
              <w:jc w:val="right"/>
              <w:rPr>
                <w:rFonts w:hint="default" w:ascii="Calibri" w:hAnsi="Calibri" w:eastAsia="宋体" w:cs="Calibri"/>
                <w:i w:val="0"/>
                <w:color w:val="000000"/>
                <w:sz w:val="22"/>
                <w:szCs w:val="22"/>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3A904C9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1EDA0681">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2C98594A">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362447D6">
            <w:pPr>
              <w:jc w:val="right"/>
              <w:rPr>
                <w:rFonts w:hint="default" w:ascii="Calibri" w:hAnsi="Calibri" w:eastAsia="宋体" w:cs="Calibri"/>
                <w:i w:val="0"/>
                <w:color w:val="000000"/>
                <w:sz w:val="22"/>
                <w:szCs w:val="22"/>
                <w:u w:val="none"/>
              </w:rPr>
            </w:pPr>
          </w:p>
        </w:tc>
      </w:tr>
      <w:tr w14:paraId="3410B7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0E532279">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5845753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6FBFA08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社会保障和就业支出</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0CEDA68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75.88</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7F93414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75.88</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7FE9F5AA">
            <w:pPr>
              <w:jc w:val="right"/>
              <w:rPr>
                <w:rFonts w:hint="default" w:ascii="Calibri" w:hAnsi="Calibri" w:eastAsia="宋体" w:cs="Calibri"/>
                <w:i w:val="0"/>
                <w:color w:val="000000"/>
                <w:sz w:val="22"/>
                <w:szCs w:val="22"/>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252FB161">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5BC0CE17">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262A7F09">
            <w:pPr>
              <w:jc w:val="right"/>
              <w:rPr>
                <w:rFonts w:hint="default" w:ascii="Calibri" w:hAnsi="Calibri" w:eastAsia="宋体" w:cs="Calibri"/>
                <w:i w:val="0"/>
                <w:color w:val="000000"/>
                <w:sz w:val="22"/>
                <w:szCs w:val="22"/>
                <w:u w:val="none"/>
              </w:rPr>
            </w:pPr>
          </w:p>
        </w:tc>
      </w:tr>
      <w:tr w14:paraId="393074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78AFA609">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4328713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25571D0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行政事业单位养老支出</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19E5334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70.26</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57A1FDD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70.26</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0E193BD5">
            <w:pPr>
              <w:jc w:val="right"/>
              <w:rPr>
                <w:rFonts w:hint="default" w:ascii="Calibri" w:hAnsi="Calibri" w:eastAsia="宋体" w:cs="Calibri"/>
                <w:i w:val="0"/>
                <w:color w:val="000000"/>
                <w:sz w:val="22"/>
                <w:szCs w:val="22"/>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7E9D9645">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0ED93680">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43BFE041">
            <w:pPr>
              <w:jc w:val="right"/>
              <w:rPr>
                <w:rFonts w:hint="default" w:ascii="Calibri" w:hAnsi="Calibri" w:eastAsia="宋体" w:cs="Calibri"/>
                <w:i w:val="0"/>
                <w:color w:val="000000"/>
                <w:sz w:val="22"/>
                <w:szCs w:val="22"/>
                <w:u w:val="none"/>
              </w:rPr>
            </w:pPr>
          </w:p>
        </w:tc>
      </w:tr>
      <w:tr w14:paraId="0B56C9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6348AAB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51672EC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2080501</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42BC2D1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行政单位离退休</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65BB8D2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18.50</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72F2253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18.50</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0CD6B038">
            <w:pPr>
              <w:jc w:val="right"/>
              <w:rPr>
                <w:rFonts w:hint="default" w:ascii="Calibri" w:hAnsi="Calibri" w:eastAsia="宋体" w:cs="Calibri"/>
                <w:i w:val="0"/>
                <w:color w:val="000000"/>
                <w:sz w:val="22"/>
                <w:szCs w:val="22"/>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5BD8480E">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2B01229F">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08FEEA91">
            <w:pPr>
              <w:jc w:val="right"/>
              <w:rPr>
                <w:rFonts w:hint="default" w:ascii="Calibri" w:hAnsi="Calibri" w:eastAsia="宋体" w:cs="Calibri"/>
                <w:i w:val="0"/>
                <w:color w:val="000000"/>
                <w:sz w:val="22"/>
                <w:szCs w:val="22"/>
                <w:u w:val="none"/>
              </w:rPr>
            </w:pPr>
          </w:p>
        </w:tc>
      </w:tr>
      <w:tr w14:paraId="693741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7E06DCC0">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35D4BA0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2080505</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0B6B7EC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机关事业单位基本养老保险缴费支出</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1E0CC16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51.76</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7D82B39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51.76</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32C17B07">
            <w:pPr>
              <w:jc w:val="right"/>
              <w:rPr>
                <w:rFonts w:hint="default" w:ascii="Calibri" w:hAnsi="Calibri" w:eastAsia="宋体" w:cs="Calibri"/>
                <w:i w:val="0"/>
                <w:color w:val="000000"/>
                <w:sz w:val="22"/>
                <w:szCs w:val="22"/>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7BC11F44">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34C33EC9">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1C808D07">
            <w:pPr>
              <w:jc w:val="right"/>
              <w:rPr>
                <w:rFonts w:hint="default" w:ascii="Calibri" w:hAnsi="Calibri" w:eastAsia="宋体" w:cs="Calibri"/>
                <w:i w:val="0"/>
                <w:color w:val="000000"/>
                <w:sz w:val="22"/>
                <w:szCs w:val="22"/>
                <w:u w:val="none"/>
              </w:rPr>
            </w:pPr>
          </w:p>
        </w:tc>
      </w:tr>
      <w:tr w14:paraId="11E784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78A3F86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363E252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20808</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3E03504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抚恤</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5AB5C17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58384E5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7ED5B109">
            <w:pPr>
              <w:jc w:val="right"/>
              <w:rPr>
                <w:rFonts w:hint="default" w:ascii="Calibri" w:hAnsi="Calibri" w:eastAsia="宋体" w:cs="Calibri"/>
                <w:i w:val="0"/>
                <w:color w:val="000000"/>
                <w:sz w:val="22"/>
                <w:szCs w:val="22"/>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5BA5A52A">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081FDCE8">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27C8A312">
            <w:pPr>
              <w:jc w:val="right"/>
              <w:rPr>
                <w:rFonts w:hint="default" w:ascii="Calibri" w:hAnsi="Calibri" w:eastAsia="宋体" w:cs="Calibri"/>
                <w:i w:val="0"/>
                <w:color w:val="000000"/>
                <w:sz w:val="22"/>
                <w:szCs w:val="22"/>
                <w:u w:val="none"/>
              </w:rPr>
            </w:pPr>
          </w:p>
        </w:tc>
      </w:tr>
      <w:tr w14:paraId="592814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0B23B95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57721CA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2080801</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1D3564F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死亡抚恤</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25348BB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0F2AC89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5EB12786">
            <w:pPr>
              <w:jc w:val="right"/>
              <w:rPr>
                <w:rFonts w:hint="default" w:ascii="Calibri" w:hAnsi="Calibri" w:eastAsia="宋体" w:cs="Calibri"/>
                <w:i w:val="0"/>
                <w:color w:val="000000"/>
                <w:sz w:val="22"/>
                <w:szCs w:val="22"/>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2E019434">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4007C7EC">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11890126">
            <w:pPr>
              <w:jc w:val="right"/>
              <w:rPr>
                <w:rFonts w:hint="default" w:ascii="Calibri" w:hAnsi="Calibri" w:eastAsia="宋体" w:cs="Calibri"/>
                <w:i w:val="0"/>
                <w:color w:val="000000"/>
                <w:sz w:val="22"/>
                <w:szCs w:val="22"/>
                <w:u w:val="none"/>
              </w:rPr>
            </w:pPr>
          </w:p>
        </w:tc>
      </w:tr>
      <w:tr w14:paraId="086F10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4CA9E56E">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6BC0308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4D407EB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财政对其他社会保险基金的补助</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5A185E5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7AD86D1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64DC8FDA">
            <w:pPr>
              <w:jc w:val="right"/>
              <w:rPr>
                <w:rFonts w:hint="default" w:ascii="Calibri" w:hAnsi="Calibri" w:eastAsia="宋体" w:cs="Calibri"/>
                <w:i w:val="0"/>
                <w:color w:val="000000"/>
                <w:sz w:val="22"/>
                <w:szCs w:val="22"/>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56C7489A">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024CD512">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60D70063">
            <w:pPr>
              <w:jc w:val="right"/>
              <w:rPr>
                <w:rFonts w:hint="default" w:ascii="Calibri" w:hAnsi="Calibri" w:eastAsia="宋体" w:cs="Calibri"/>
                <w:i w:val="0"/>
                <w:color w:val="000000"/>
                <w:sz w:val="22"/>
                <w:szCs w:val="22"/>
                <w:u w:val="none"/>
              </w:rPr>
            </w:pPr>
          </w:p>
        </w:tc>
      </w:tr>
      <w:tr w14:paraId="31FA87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5D7546A9">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5617B8A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2082702</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1AAF5B4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财政对工伤保险基金的补助</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2D94906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005DF79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1F2CC29B">
            <w:pPr>
              <w:jc w:val="right"/>
              <w:rPr>
                <w:rFonts w:hint="default" w:ascii="Calibri" w:hAnsi="Calibri" w:eastAsia="宋体" w:cs="Calibri"/>
                <w:i w:val="0"/>
                <w:color w:val="000000"/>
                <w:sz w:val="22"/>
                <w:szCs w:val="22"/>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4328E4FA">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6C99A43F">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6F80E95C">
            <w:pPr>
              <w:jc w:val="right"/>
              <w:rPr>
                <w:rFonts w:hint="default" w:ascii="Calibri" w:hAnsi="Calibri" w:eastAsia="宋体" w:cs="Calibri"/>
                <w:i w:val="0"/>
                <w:color w:val="000000"/>
                <w:sz w:val="22"/>
                <w:szCs w:val="22"/>
                <w:u w:val="none"/>
              </w:rPr>
            </w:pPr>
          </w:p>
        </w:tc>
      </w:tr>
      <w:tr w14:paraId="6FB9BC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7FEB242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00964D1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239D1A1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卫生健康支出</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33B1F6D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614E7CD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4BA101CD">
            <w:pPr>
              <w:jc w:val="right"/>
              <w:rPr>
                <w:rFonts w:hint="default" w:ascii="Calibri" w:hAnsi="Calibri" w:eastAsia="宋体" w:cs="Calibri"/>
                <w:i w:val="0"/>
                <w:color w:val="000000"/>
                <w:sz w:val="22"/>
                <w:szCs w:val="22"/>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7B0DC1DD">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4A55BF9B">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34FF808C">
            <w:pPr>
              <w:jc w:val="right"/>
              <w:rPr>
                <w:rFonts w:hint="default" w:ascii="Calibri" w:hAnsi="Calibri" w:eastAsia="宋体" w:cs="Calibri"/>
                <w:i w:val="0"/>
                <w:color w:val="000000"/>
                <w:sz w:val="22"/>
                <w:szCs w:val="22"/>
                <w:u w:val="none"/>
              </w:rPr>
            </w:pPr>
          </w:p>
        </w:tc>
      </w:tr>
      <w:tr w14:paraId="519C60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2600BAE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602CC75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69A048B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行政事业单位医疗</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1C19571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2067368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663A3513">
            <w:pPr>
              <w:jc w:val="right"/>
              <w:rPr>
                <w:rFonts w:hint="default" w:ascii="Calibri" w:hAnsi="Calibri" w:eastAsia="宋体" w:cs="Calibri"/>
                <w:i w:val="0"/>
                <w:color w:val="000000"/>
                <w:sz w:val="22"/>
                <w:szCs w:val="22"/>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2450036D">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0123805C">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64AEB6A2">
            <w:pPr>
              <w:jc w:val="right"/>
              <w:rPr>
                <w:rFonts w:hint="default" w:ascii="Calibri" w:hAnsi="Calibri" w:eastAsia="宋体" w:cs="Calibri"/>
                <w:i w:val="0"/>
                <w:color w:val="000000"/>
                <w:sz w:val="22"/>
                <w:szCs w:val="22"/>
                <w:u w:val="none"/>
              </w:rPr>
            </w:pPr>
          </w:p>
        </w:tc>
      </w:tr>
      <w:tr w14:paraId="3EB247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2A87E737">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1637666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2101101</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7E04C4E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行政单位医疗</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0CE403B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72362BA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2B1E74CA">
            <w:pPr>
              <w:jc w:val="right"/>
              <w:rPr>
                <w:rFonts w:hint="default" w:ascii="Calibri" w:hAnsi="Calibri" w:eastAsia="宋体" w:cs="Calibri"/>
                <w:i w:val="0"/>
                <w:color w:val="000000"/>
                <w:sz w:val="22"/>
                <w:szCs w:val="22"/>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7474CF00">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2F2D0877">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5F8A6B04">
            <w:pPr>
              <w:jc w:val="right"/>
              <w:rPr>
                <w:rFonts w:hint="default" w:ascii="Calibri" w:hAnsi="Calibri" w:eastAsia="宋体" w:cs="Calibri"/>
                <w:i w:val="0"/>
                <w:color w:val="000000"/>
                <w:sz w:val="22"/>
                <w:szCs w:val="22"/>
                <w:u w:val="none"/>
              </w:rPr>
            </w:pPr>
          </w:p>
        </w:tc>
      </w:tr>
      <w:tr w14:paraId="6762A7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2E559AA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7438FF4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1DBF8D4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住房保障支出</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3C91BE2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6D517FA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3B4B0A5B">
            <w:pPr>
              <w:jc w:val="right"/>
              <w:rPr>
                <w:rFonts w:hint="default" w:ascii="Calibri" w:hAnsi="Calibri" w:eastAsia="宋体" w:cs="Calibri"/>
                <w:i w:val="0"/>
                <w:color w:val="000000"/>
                <w:sz w:val="22"/>
                <w:szCs w:val="22"/>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7D92923F">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0402A975">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2B35A28B">
            <w:pPr>
              <w:jc w:val="right"/>
              <w:rPr>
                <w:rFonts w:hint="default" w:ascii="Calibri" w:hAnsi="Calibri" w:eastAsia="宋体" w:cs="Calibri"/>
                <w:i w:val="0"/>
                <w:color w:val="000000"/>
                <w:sz w:val="22"/>
                <w:szCs w:val="22"/>
                <w:u w:val="none"/>
              </w:rPr>
            </w:pPr>
          </w:p>
        </w:tc>
      </w:tr>
      <w:tr w14:paraId="0BF42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69BAED7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70448B0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6C4B47D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住房改革支出</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5C6E32C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7355577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76578394">
            <w:pPr>
              <w:jc w:val="right"/>
              <w:rPr>
                <w:rFonts w:hint="default" w:ascii="Calibri" w:hAnsi="Calibri" w:eastAsia="宋体" w:cs="Calibri"/>
                <w:i w:val="0"/>
                <w:color w:val="000000"/>
                <w:sz w:val="22"/>
                <w:szCs w:val="22"/>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783CAF4E">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3C29F2D4">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1E039E91">
            <w:pPr>
              <w:jc w:val="right"/>
              <w:rPr>
                <w:rFonts w:hint="default" w:ascii="Calibri" w:hAnsi="Calibri" w:eastAsia="宋体" w:cs="Calibri"/>
                <w:i w:val="0"/>
                <w:color w:val="000000"/>
                <w:sz w:val="22"/>
                <w:szCs w:val="22"/>
                <w:u w:val="none"/>
              </w:rPr>
            </w:pPr>
          </w:p>
        </w:tc>
      </w:tr>
      <w:tr w14:paraId="237914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302DBDB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24</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4B96815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2210201</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2FAA5E1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住房公积金</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13F6946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46A0E4A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5374BF20">
            <w:pPr>
              <w:jc w:val="right"/>
              <w:rPr>
                <w:rFonts w:hint="default" w:ascii="Calibri" w:hAnsi="Calibri" w:eastAsia="宋体" w:cs="Calibri"/>
                <w:i w:val="0"/>
                <w:color w:val="000000"/>
                <w:sz w:val="22"/>
                <w:szCs w:val="22"/>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1A564C30">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67B9E5A3">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0E3274ED">
            <w:pPr>
              <w:jc w:val="right"/>
              <w:rPr>
                <w:rFonts w:hint="default" w:ascii="Calibri" w:hAnsi="Calibri" w:eastAsia="宋体" w:cs="Calibri"/>
                <w:i w:val="0"/>
                <w:color w:val="000000"/>
                <w:sz w:val="22"/>
                <w:szCs w:val="22"/>
                <w:u w:val="none"/>
              </w:rPr>
            </w:pPr>
          </w:p>
        </w:tc>
      </w:tr>
    </w:tbl>
    <w:p w14:paraId="7394BA85">
      <w:pPr>
        <w:spacing w:line="560" w:lineRule="exact"/>
        <w:jc w:val="center"/>
        <w:rPr>
          <w:rFonts w:hint="eastAsia" w:ascii="宋体" w:hAnsi="宋体"/>
          <w:b/>
          <w:sz w:val="44"/>
          <w:szCs w:val="44"/>
        </w:rPr>
      </w:pPr>
    </w:p>
    <w:p w14:paraId="7EB5C3C7">
      <w:pPr>
        <w:spacing w:line="560" w:lineRule="exact"/>
        <w:jc w:val="center"/>
        <w:rPr>
          <w:rFonts w:hint="eastAsia" w:ascii="宋体" w:hAnsi="宋体"/>
          <w:b/>
          <w:sz w:val="44"/>
          <w:szCs w:val="44"/>
        </w:rPr>
      </w:pPr>
    </w:p>
    <w:p w14:paraId="1D9672AE">
      <w:pPr>
        <w:spacing w:line="560" w:lineRule="exact"/>
        <w:jc w:val="center"/>
        <w:rPr>
          <w:rFonts w:hint="eastAsia" w:ascii="宋体" w:hAnsi="宋体"/>
          <w:b/>
          <w:sz w:val="44"/>
          <w:szCs w:val="44"/>
        </w:rPr>
      </w:pPr>
    </w:p>
    <w:p w14:paraId="5F73BFC4">
      <w:pPr>
        <w:spacing w:line="560" w:lineRule="exact"/>
        <w:jc w:val="center"/>
        <w:rPr>
          <w:rFonts w:hint="eastAsia" w:ascii="宋体" w:hAnsi="宋体"/>
          <w:b/>
          <w:sz w:val="44"/>
          <w:szCs w:val="44"/>
        </w:rPr>
      </w:pPr>
    </w:p>
    <w:p w14:paraId="569D2B1A">
      <w:pPr>
        <w:spacing w:line="560" w:lineRule="exact"/>
        <w:jc w:val="center"/>
        <w:rPr>
          <w:rFonts w:hint="eastAsia" w:ascii="宋体" w:hAnsi="宋体"/>
          <w:b/>
          <w:sz w:val="44"/>
          <w:szCs w:val="44"/>
        </w:rPr>
      </w:pPr>
    </w:p>
    <w:p w14:paraId="228A1509">
      <w:pPr>
        <w:spacing w:line="560" w:lineRule="exact"/>
        <w:jc w:val="center"/>
        <w:rPr>
          <w:rFonts w:hint="eastAsia" w:ascii="宋体" w:hAnsi="宋体"/>
          <w:b/>
          <w:sz w:val="44"/>
          <w:szCs w:val="44"/>
        </w:rPr>
      </w:pPr>
    </w:p>
    <w:p w14:paraId="52F1F92F">
      <w:pPr>
        <w:spacing w:line="560" w:lineRule="exact"/>
        <w:jc w:val="center"/>
        <w:rPr>
          <w:rFonts w:hint="eastAsia" w:ascii="宋体" w:hAnsi="宋体"/>
          <w:b/>
          <w:sz w:val="44"/>
          <w:szCs w:val="44"/>
        </w:rPr>
      </w:pPr>
    </w:p>
    <w:p w14:paraId="33DABED1">
      <w:pPr>
        <w:spacing w:line="560" w:lineRule="exact"/>
        <w:jc w:val="center"/>
        <w:rPr>
          <w:rFonts w:hint="eastAsia" w:ascii="宋体" w:hAnsi="宋体"/>
          <w:b/>
          <w:sz w:val="44"/>
          <w:szCs w:val="44"/>
        </w:rPr>
      </w:pPr>
    </w:p>
    <w:p w14:paraId="706AE534">
      <w:pPr>
        <w:spacing w:line="560" w:lineRule="exact"/>
        <w:jc w:val="center"/>
        <w:rPr>
          <w:rFonts w:hint="eastAsia" w:ascii="宋体" w:hAnsi="宋体"/>
          <w:b/>
          <w:sz w:val="44"/>
          <w:szCs w:val="44"/>
        </w:rPr>
      </w:pPr>
    </w:p>
    <w:tbl>
      <w:tblPr>
        <w:tblStyle w:val="5"/>
        <w:tblW w:w="14580" w:type="dxa"/>
        <w:tblInd w:w="-28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721"/>
        <w:gridCol w:w="2669"/>
        <w:gridCol w:w="1515"/>
        <w:gridCol w:w="3514"/>
        <w:gridCol w:w="1711"/>
        <w:gridCol w:w="756"/>
        <w:gridCol w:w="469"/>
        <w:gridCol w:w="1125"/>
        <w:gridCol w:w="600"/>
        <w:gridCol w:w="1500"/>
      </w:tblGrid>
      <w:tr w14:paraId="3EE286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60" w:hRule="atLeast"/>
        </w:trPr>
        <w:tc>
          <w:tcPr>
            <w:tcW w:w="14580" w:type="dxa"/>
            <w:gridSpan w:val="10"/>
            <w:shd w:val="clear" w:color="auto" w:fill="auto"/>
            <w:vAlign w:val="center"/>
          </w:tcPr>
          <w:p w14:paraId="0D43B4C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36"/>
                <w:szCs w:val="36"/>
                <w:u w:val="none"/>
                <w:lang w:val="en-US" w:eastAsia="zh-CN" w:bidi="ar"/>
              </w:rPr>
              <w:t>部门预算财政拨款收支总表</w:t>
            </w:r>
          </w:p>
        </w:tc>
      </w:tr>
      <w:tr w14:paraId="478E2E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10886" w:type="dxa"/>
            <w:gridSpan w:val="6"/>
            <w:shd w:val="clear" w:color="auto" w:fill="auto"/>
            <w:vAlign w:val="center"/>
          </w:tcPr>
          <w:p w14:paraId="5CDBB67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预算单位编码及名称：[315]宁晋县司法局</w:t>
            </w:r>
          </w:p>
        </w:tc>
        <w:tc>
          <w:tcPr>
            <w:tcW w:w="1594" w:type="dxa"/>
            <w:gridSpan w:val="2"/>
            <w:shd w:val="clear" w:color="auto" w:fill="auto"/>
            <w:vAlign w:val="center"/>
          </w:tcPr>
          <w:p w14:paraId="6024C83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2100" w:type="dxa"/>
            <w:gridSpan w:val="2"/>
            <w:shd w:val="clear" w:color="auto" w:fill="auto"/>
            <w:vAlign w:val="center"/>
          </w:tcPr>
          <w:p w14:paraId="64C33EB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14:paraId="59DAE2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7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F7439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41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1942C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收入</w:t>
            </w:r>
          </w:p>
        </w:tc>
        <w:tc>
          <w:tcPr>
            <w:tcW w:w="967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6CC8AF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w:t>
            </w:r>
          </w:p>
        </w:tc>
      </w:tr>
      <w:tr w14:paraId="4550FD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69" w:hRule="atLeast"/>
        </w:trPr>
        <w:tc>
          <w:tcPr>
            <w:tcW w:w="7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66993E">
            <w:pPr>
              <w:jc w:val="center"/>
              <w:rPr>
                <w:rFonts w:hint="eastAsia" w:ascii="宋体" w:hAnsi="宋体" w:eastAsia="宋体" w:cs="宋体"/>
                <w:i w:val="0"/>
                <w:color w:val="000000"/>
                <w:sz w:val="22"/>
                <w:szCs w:val="22"/>
                <w:u w:val="none"/>
              </w:rPr>
            </w:pP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02C8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C7D5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16B8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D80D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BBF9A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一般公共预算财政拨款</w:t>
            </w: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B6F61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政府性基金预算财政拨款</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DC39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国有资本经营预算财政拨款</w:t>
            </w:r>
          </w:p>
        </w:tc>
      </w:tr>
      <w:tr w14:paraId="7B0FDC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0BC5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6E29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2321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FB13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101B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A90B5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E5271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5AA9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r>
      <w:tr w14:paraId="5C0CF1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651DB680">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224C124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一、一般公共预算拨款</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4808B8C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33F693D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一、一般公共服务支出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7940E49B">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1CAE51B">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6D838DB">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63832447">
            <w:pPr>
              <w:jc w:val="right"/>
              <w:rPr>
                <w:rFonts w:hint="default" w:ascii="Calibri" w:hAnsi="Calibri" w:eastAsia="宋体" w:cs="Calibri"/>
                <w:i w:val="0"/>
                <w:color w:val="000000"/>
                <w:sz w:val="22"/>
                <w:szCs w:val="22"/>
                <w:u w:val="none"/>
              </w:rPr>
            </w:pPr>
          </w:p>
        </w:tc>
      </w:tr>
      <w:tr w14:paraId="70CA97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36620D5B">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1363AFB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二、政府性基金预算拨款</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5971ED0E">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02C62AD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二、外交支出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245E169D">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A73648A">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9A4CB26">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098638BA">
            <w:pPr>
              <w:jc w:val="right"/>
              <w:rPr>
                <w:rFonts w:hint="default" w:ascii="Calibri" w:hAnsi="Calibri" w:eastAsia="宋体" w:cs="Calibri"/>
                <w:i w:val="0"/>
                <w:color w:val="000000"/>
                <w:sz w:val="22"/>
                <w:szCs w:val="22"/>
                <w:u w:val="none"/>
              </w:rPr>
            </w:pPr>
          </w:p>
        </w:tc>
      </w:tr>
      <w:tr w14:paraId="4DA88E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46D68FC9">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6D39011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三、国有资本经营预算拨款</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4C457111">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2820970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三、国防支出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13660D43">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7A03A01">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BAE1192">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2175C2CB">
            <w:pPr>
              <w:jc w:val="right"/>
              <w:rPr>
                <w:rFonts w:hint="default" w:ascii="Calibri" w:hAnsi="Calibri" w:eastAsia="宋体" w:cs="Calibri"/>
                <w:i w:val="0"/>
                <w:color w:val="000000"/>
                <w:sz w:val="22"/>
                <w:szCs w:val="22"/>
                <w:u w:val="none"/>
              </w:rPr>
            </w:pPr>
          </w:p>
        </w:tc>
      </w:tr>
      <w:tr w14:paraId="1D9597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0FAE3F7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57165836">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63369900">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7A2CDA9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四、公共安全支出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7F36772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915.82</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47F7BC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915.82</w:t>
            </w: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547423E">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3F10DF36">
            <w:pPr>
              <w:jc w:val="right"/>
              <w:rPr>
                <w:rFonts w:hint="default" w:ascii="Calibri" w:hAnsi="Calibri" w:eastAsia="宋体" w:cs="Calibri"/>
                <w:i w:val="0"/>
                <w:color w:val="000000"/>
                <w:sz w:val="22"/>
                <w:szCs w:val="22"/>
                <w:u w:val="none"/>
              </w:rPr>
            </w:pPr>
          </w:p>
        </w:tc>
      </w:tr>
      <w:tr w14:paraId="09FF48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799C1300">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200E861B">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657B0DAA">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0E1A5C7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五、教育支出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752FEA4F">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915ACAD">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FD90525">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64E3E234">
            <w:pPr>
              <w:jc w:val="right"/>
              <w:rPr>
                <w:rFonts w:hint="default" w:ascii="Calibri" w:hAnsi="Calibri" w:eastAsia="宋体" w:cs="Calibri"/>
                <w:i w:val="0"/>
                <w:color w:val="000000"/>
                <w:sz w:val="22"/>
                <w:szCs w:val="22"/>
                <w:u w:val="none"/>
              </w:rPr>
            </w:pPr>
          </w:p>
        </w:tc>
      </w:tr>
      <w:tr w14:paraId="51C458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5451EF6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3010AFBA">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27DA024C">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3E7FEDC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六、科学技术支出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357B15E1">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60BFA2B">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D4B2E51">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0068559F">
            <w:pPr>
              <w:jc w:val="right"/>
              <w:rPr>
                <w:rFonts w:hint="default" w:ascii="Calibri" w:hAnsi="Calibri" w:eastAsia="宋体" w:cs="Calibri"/>
                <w:i w:val="0"/>
                <w:color w:val="000000"/>
                <w:sz w:val="22"/>
                <w:szCs w:val="22"/>
                <w:u w:val="none"/>
              </w:rPr>
            </w:pPr>
          </w:p>
        </w:tc>
      </w:tr>
      <w:tr w14:paraId="2E4E90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77F77057">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497E623B">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5967D652">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3C6BA76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七、文化旅游体育与传媒支出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6F78F187">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6500974">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23A79B4">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5F392B69">
            <w:pPr>
              <w:jc w:val="right"/>
              <w:rPr>
                <w:rFonts w:hint="default" w:ascii="Calibri" w:hAnsi="Calibri" w:eastAsia="宋体" w:cs="Calibri"/>
                <w:i w:val="0"/>
                <w:color w:val="000000"/>
                <w:sz w:val="22"/>
                <w:szCs w:val="22"/>
                <w:u w:val="none"/>
              </w:rPr>
            </w:pPr>
          </w:p>
        </w:tc>
      </w:tr>
      <w:tr w14:paraId="659E76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63049DF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465B37E9">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6E0F952D">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6BD0104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八、社会保障和就业支出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513730B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75.88</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FBB69D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75.88</w:t>
            </w: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567A00F">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393170B9">
            <w:pPr>
              <w:jc w:val="right"/>
              <w:rPr>
                <w:rFonts w:hint="default" w:ascii="Calibri" w:hAnsi="Calibri" w:eastAsia="宋体" w:cs="Calibri"/>
                <w:i w:val="0"/>
                <w:color w:val="000000"/>
                <w:sz w:val="22"/>
                <w:szCs w:val="22"/>
                <w:u w:val="none"/>
              </w:rPr>
            </w:pPr>
          </w:p>
        </w:tc>
      </w:tr>
      <w:tr w14:paraId="7D3260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259A323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555377F0">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07292FA4">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5F63E40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九、社会保险基金支出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1E86889D">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172B556">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5FCDA40">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178331FE">
            <w:pPr>
              <w:jc w:val="right"/>
              <w:rPr>
                <w:rFonts w:hint="default" w:ascii="Calibri" w:hAnsi="Calibri" w:eastAsia="宋体" w:cs="Calibri"/>
                <w:i w:val="0"/>
                <w:color w:val="000000"/>
                <w:sz w:val="22"/>
                <w:szCs w:val="22"/>
                <w:u w:val="none"/>
              </w:rPr>
            </w:pPr>
          </w:p>
        </w:tc>
      </w:tr>
      <w:tr w14:paraId="7B1CB7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5AF304F7">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253C21DB">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10265174">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273A5B4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十、卫生健康支出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1E2AF97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583EB9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6841741">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78E3927D">
            <w:pPr>
              <w:jc w:val="right"/>
              <w:rPr>
                <w:rFonts w:hint="default" w:ascii="Calibri" w:hAnsi="Calibri" w:eastAsia="宋体" w:cs="Calibri"/>
                <w:i w:val="0"/>
                <w:color w:val="000000"/>
                <w:sz w:val="22"/>
                <w:szCs w:val="22"/>
                <w:u w:val="none"/>
              </w:rPr>
            </w:pPr>
          </w:p>
        </w:tc>
      </w:tr>
      <w:tr w14:paraId="2BFE15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79CEB19D">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7424CEBF">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2FC154CC">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78ED123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十一、节能环保支出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44A7CB3D">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1AF1769">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9EEA8F1">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6DA9F6CD">
            <w:pPr>
              <w:jc w:val="right"/>
              <w:rPr>
                <w:rFonts w:hint="default" w:ascii="Calibri" w:hAnsi="Calibri" w:eastAsia="宋体" w:cs="Calibri"/>
                <w:i w:val="0"/>
                <w:color w:val="000000"/>
                <w:sz w:val="22"/>
                <w:szCs w:val="22"/>
                <w:u w:val="none"/>
              </w:rPr>
            </w:pPr>
          </w:p>
        </w:tc>
      </w:tr>
      <w:tr w14:paraId="20647A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075436C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261B9981">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0CF87771">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065DDA8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十二、城乡社区支出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1EC9922D">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E493D5D">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562EBCF">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0444692F">
            <w:pPr>
              <w:jc w:val="right"/>
              <w:rPr>
                <w:rFonts w:hint="default" w:ascii="Calibri" w:hAnsi="Calibri" w:eastAsia="宋体" w:cs="Calibri"/>
                <w:i w:val="0"/>
                <w:color w:val="000000"/>
                <w:sz w:val="22"/>
                <w:szCs w:val="22"/>
                <w:u w:val="none"/>
              </w:rPr>
            </w:pPr>
          </w:p>
        </w:tc>
      </w:tr>
      <w:tr w14:paraId="40712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26284106">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19329EBC">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6E3B4C6E">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5C4391B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十三、农林水支出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1C5E230F">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7A8AD30">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BCBAFB9">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1C32EF5A">
            <w:pPr>
              <w:jc w:val="right"/>
              <w:rPr>
                <w:rFonts w:hint="default" w:ascii="Calibri" w:hAnsi="Calibri" w:eastAsia="宋体" w:cs="Calibri"/>
                <w:i w:val="0"/>
                <w:color w:val="000000"/>
                <w:sz w:val="22"/>
                <w:szCs w:val="22"/>
                <w:u w:val="none"/>
              </w:rPr>
            </w:pPr>
          </w:p>
        </w:tc>
      </w:tr>
      <w:tr w14:paraId="0A6757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5C5E0562">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65D8ABEA">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273D278D">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0FC356B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十四、交通运输支出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76FA0D7B">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CA76DEB">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1673692">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640BD10A">
            <w:pPr>
              <w:jc w:val="right"/>
              <w:rPr>
                <w:rFonts w:hint="default" w:ascii="Calibri" w:hAnsi="Calibri" w:eastAsia="宋体" w:cs="Calibri"/>
                <w:i w:val="0"/>
                <w:color w:val="000000"/>
                <w:sz w:val="22"/>
                <w:szCs w:val="22"/>
                <w:u w:val="none"/>
              </w:rPr>
            </w:pPr>
          </w:p>
        </w:tc>
      </w:tr>
      <w:tr w14:paraId="21EC55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46A527D8">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32BA6707">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495B5E24">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1FB7173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十五、资源勘探工业信息等支出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23648988">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BE572F2">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ADA9496">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6851AEFF">
            <w:pPr>
              <w:jc w:val="right"/>
              <w:rPr>
                <w:rFonts w:hint="default" w:ascii="Calibri" w:hAnsi="Calibri" w:eastAsia="宋体" w:cs="Calibri"/>
                <w:i w:val="0"/>
                <w:color w:val="000000"/>
                <w:sz w:val="22"/>
                <w:szCs w:val="22"/>
                <w:u w:val="none"/>
              </w:rPr>
            </w:pPr>
          </w:p>
        </w:tc>
      </w:tr>
      <w:tr w14:paraId="038CCB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0942550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28959827">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5F65AF7D">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38F06C4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十六、商业服务业等支出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661D58D5">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9FEF685">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218AB22">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36E3FD04">
            <w:pPr>
              <w:jc w:val="right"/>
              <w:rPr>
                <w:rFonts w:hint="default" w:ascii="Calibri" w:hAnsi="Calibri" w:eastAsia="宋体" w:cs="Calibri"/>
                <w:i w:val="0"/>
                <w:color w:val="000000"/>
                <w:sz w:val="22"/>
                <w:szCs w:val="22"/>
                <w:u w:val="none"/>
              </w:rPr>
            </w:pPr>
          </w:p>
        </w:tc>
      </w:tr>
      <w:tr w14:paraId="6F93C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5652FD2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68D52632">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1C49A7F3">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20C2C7F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十七、金融支出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09F8BBEF">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AECFAF8">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E209CFA">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7F283550">
            <w:pPr>
              <w:jc w:val="right"/>
              <w:rPr>
                <w:rFonts w:hint="default" w:ascii="Calibri" w:hAnsi="Calibri" w:eastAsia="宋体" w:cs="Calibri"/>
                <w:i w:val="0"/>
                <w:color w:val="000000"/>
                <w:sz w:val="22"/>
                <w:szCs w:val="22"/>
                <w:u w:val="none"/>
              </w:rPr>
            </w:pPr>
          </w:p>
        </w:tc>
      </w:tr>
      <w:tr w14:paraId="64BDEE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6CA2B82B">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4A6413D2">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4B18C2C2">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604C4AA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十八、援助其他地区支出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0BC97BB8">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0FB0938">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289E79F">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02221D7B">
            <w:pPr>
              <w:jc w:val="right"/>
              <w:rPr>
                <w:rFonts w:hint="default" w:ascii="Calibri" w:hAnsi="Calibri" w:eastAsia="宋体" w:cs="Calibri"/>
                <w:i w:val="0"/>
                <w:color w:val="000000"/>
                <w:sz w:val="22"/>
                <w:szCs w:val="22"/>
                <w:u w:val="none"/>
              </w:rPr>
            </w:pPr>
          </w:p>
        </w:tc>
      </w:tr>
      <w:tr w14:paraId="430953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5200D0A9">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4F09C853">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0BD14478">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359D62A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十九、自然资源海洋气象等支出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54B622B3">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A99502A">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21ED0E3">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346973B3">
            <w:pPr>
              <w:jc w:val="right"/>
              <w:rPr>
                <w:rFonts w:hint="default" w:ascii="Calibri" w:hAnsi="Calibri" w:eastAsia="宋体" w:cs="Calibri"/>
                <w:i w:val="0"/>
                <w:color w:val="000000"/>
                <w:sz w:val="22"/>
                <w:szCs w:val="22"/>
                <w:u w:val="none"/>
              </w:rPr>
            </w:pPr>
          </w:p>
        </w:tc>
      </w:tr>
      <w:tr w14:paraId="3DF246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687FD28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095D2DB1">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2C4D58E2">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42A3FB0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二十、住房保障支出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7B9A73A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885A52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6522FE0">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0D45E838">
            <w:pPr>
              <w:jc w:val="right"/>
              <w:rPr>
                <w:rFonts w:hint="default" w:ascii="Calibri" w:hAnsi="Calibri" w:eastAsia="宋体" w:cs="Calibri"/>
                <w:i w:val="0"/>
                <w:color w:val="000000"/>
                <w:sz w:val="22"/>
                <w:szCs w:val="22"/>
                <w:u w:val="none"/>
              </w:rPr>
            </w:pPr>
          </w:p>
        </w:tc>
      </w:tr>
      <w:tr w14:paraId="7B5E44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0F5CE3F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7144B61B">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1C84C14A">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00C4A2C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二十一、粮油物资储备支出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6BDC9FE6">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A964D2D">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28CFBB4">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35CF5FCD">
            <w:pPr>
              <w:jc w:val="right"/>
              <w:rPr>
                <w:rFonts w:hint="default" w:ascii="Calibri" w:hAnsi="Calibri" w:eastAsia="宋体" w:cs="Calibri"/>
                <w:i w:val="0"/>
                <w:color w:val="000000"/>
                <w:sz w:val="22"/>
                <w:szCs w:val="22"/>
                <w:u w:val="none"/>
              </w:rPr>
            </w:pPr>
          </w:p>
        </w:tc>
      </w:tr>
      <w:tr w14:paraId="0B501C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71D631C2">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47229F4C">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49DAE829">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7B46499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二十二、国有资本经营预算支出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13EC4C33">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4659642">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E21F778">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76FB755F">
            <w:pPr>
              <w:jc w:val="right"/>
              <w:rPr>
                <w:rFonts w:hint="default" w:ascii="Calibri" w:hAnsi="Calibri" w:eastAsia="宋体" w:cs="Calibri"/>
                <w:i w:val="0"/>
                <w:color w:val="000000"/>
                <w:sz w:val="22"/>
                <w:szCs w:val="22"/>
                <w:u w:val="none"/>
              </w:rPr>
            </w:pPr>
          </w:p>
        </w:tc>
      </w:tr>
      <w:tr w14:paraId="578814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7A20B0DD">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011E5146">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3DF4CE2D">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466B997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二十三、灾害防治及应急管理支出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33F020D3">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B9E4178">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ECA4105">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67E04E31">
            <w:pPr>
              <w:jc w:val="right"/>
              <w:rPr>
                <w:rFonts w:hint="default" w:ascii="Calibri" w:hAnsi="Calibri" w:eastAsia="宋体" w:cs="Calibri"/>
                <w:i w:val="0"/>
                <w:color w:val="000000"/>
                <w:sz w:val="22"/>
                <w:szCs w:val="22"/>
                <w:u w:val="none"/>
              </w:rPr>
            </w:pPr>
          </w:p>
        </w:tc>
      </w:tr>
      <w:tr w14:paraId="337AE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45A6AE6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24</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72C2D723">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3B06997B">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6FEC0A5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二十四、预备费</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0E0F4E98">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724E577">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0F70C2A">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60E6245E">
            <w:pPr>
              <w:jc w:val="right"/>
              <w:rPr>
                <w:rFonts w:hint="default" w:ascii="Calibri" w:hAnsi="Calibri" w:eastAsia="宋体" w:cs="Calibri"/>
                <w:i w:val="0"/>
                <w:color w:val="000000"/>
                <w:sz w:val="22"/>
                <w:szCs w:val="22"/>
                <w:u w:val="none"/>
              </w:rPr>
            </w:pPr>
          </w:p>
        </w:tc>
      </w:tr>
      <w:tr w14:paraId="58190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18C3A1A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25</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7E3F8F7D">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1F1F9EB8">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6B73EB9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二十五、其他支出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402A87E6">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5351797">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593B265">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085232B5">
            <w:pPr>
              <w:jc w:val="right"/>
              <w:rPr>
                <w:rFonts w:hint="default" w:ascii="Calibri" w:hAnsi="Calibri" w:eastAsia="宋体" w:cs="Calibri"/>
                <w:i w:val="0"/>
                <w:color w:val="000000"/>
                <w:sz w:val="22"/>
                <w:szCs w:val="22"/>
                <w:u w:val="none"/>
              </w:rPr>
            </w:pPr>
          </w:p>
        </w:tc>
      </w:tr>
      <w:tr w14:paraId="0FAAA0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3F5221F6">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26</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59352486">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3671EB7C">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758BCE4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二十六、转移性支出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4DF94CE3">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E11663B">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A3CD21E">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23E34BAD">
            <w:pPr>
              <w:jc w:val="right"/>
              <w:rPr>
                <w:rFonts w:hint="default" w:ascii="Calibri" w:hAnsi="Calibri" w:eastAsia="宋体" w:cs="Calibri"/>
                <w:i w:val="0"/>
                <w:color w:val="000000"/>
                <w:sz w:val="22"/>
                <w:szCs w:val="22"/>
                <w:u w:val="none"/>
              </w:rPr>
            </w:pPr>
          </w:p>
        </w:tc>
      </w:tr>
      <w:tr w14:paraId="7FD62B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1F18DD1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27</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0DC89344">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52596959">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2D75F88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二十七、灾害防治及应急管理共同财政事权转移支付支出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1B0A157D">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F1198F0">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E926B06">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5D2891D0">
            <w:pPr>
              <w:jc w:val="right"/>
              <w:rPr>
                <w:rFonts w:hint="default" w:ascii="Calibri" w:hAnsi="Calibri" w:eastAsia="宋体" w:cs="Calibri"/>
                <w:i w:val="0"/>
                <w:color w:val="000000"/>
                <w:sz w:val="22"/>
                <w:szCs w:val="22"/>
                <w:u w:val="none"/>
              </w:rPr>
            </w:pPr>
          </w:p>
        </w:tc>
      </w:tr>
      <w:tr w14:paraId="3392B1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5F47603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28</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5A64622B">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7B10F311">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77BDF20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二十八、债务还本支出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281B77BB">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54DE6DA">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CEBFF89">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479B4038">
            <w:pPr>
              <w:jc w:val="right"/>
              <w:rPr>
                <w:rFonts w:hint="default" w:ascii="Calibri" w:hAnsi="Calibri" w:eastAsia="宋体" w:cs="Calibri"/>
                <w:i w:val="0"/>
                <w:color w:val="000000"/>
                <w:sz w:val="22"/>
                <w:szCs w:val="22"/>
                <w:u w:val="none"/>
              </w:rPr>
            </w:pPr>
          </w:p>
        </w:tc>
      </w:tr>
      <w:tr w14:paraId="675C9C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242B036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29</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6CFB272B">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7C791E3D">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0F1FE30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二十九、债务付息支出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6BA53F35">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121757D">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58214E5">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1ABC7E2F">
            <w:pPr>
              <w:jc w:val="right"/>
              <w:rPr>
                <w:rFonts w:hint="default" w:ascii="Calibri" w:hAnsi="Calibri" w:eastAsia="宋体" w:cs="Calibri"/>
                <w:i w:val="0"/>
                <w:color w:val="000000"/>
                <w:sz w:val="22"/>
                <w:szCs w:val="22"/>
                <w:u w:val="none"/>
              </w:rPr>
            </w:pPr>
          </w:p>
        </w:tc>
      </w:tr>
      <w:tr w14:paraId="60BAA7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779E425B">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080853F7">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52AB9895">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1DA70F9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三十、债务发行费用支出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46124D3F">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A8F9A97">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2D58E56">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26BA10A6">
            <w:pPr>
              <w:jc w:val="right"/>
              <w:rPr>
                <w:rFonts w:hint="default" w:ascii="Calibri" w:hAnsi="Calibri" w:eastAsia="宋体" w:cs="Calibri"/>
                <w:i w:val="0"/>
                <w:color w:val="000000"/>
                <w:sz w:val="22"/>
                <w:szCs w:val="22"/>
                <w:u w:val="none"/>
              </w:rPr>
            </w:pPr>
          </w:p>
        </w:tc>
      </w:tr>
      <w:tr w14:paraId="75A647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29EFFB7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353A9544">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1D54ED49">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5CC70B4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三十一、抗疫特别国债安排的支出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2456EF25">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5D694E7">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124F93C">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6551DDB5">
            <w:pPr>
              <w:jc w:val="right"/>
              <w:rPr>
                <w:rFonts w:hint="default" w:ascii="Calibri" w:hAnsi="Calibri" w:eastAsia="宋体" w:cs="Calibri"/>
                <w:i w:val="0"/>
                <w:color w:val="000000"/>
                <w:sz w:val="22"/>
                <w:szCs w:val="22"/>
                <w:u w:val="none"/>
              </w:rPr>
            </w:pPr>
          </w:p>
        </w:tc>
      </w:tr>
      <w:tr w14:paraId="0C7FDE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11112E4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3CBB701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本年收入合计</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6482019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02FC79E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本年支出合计</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7263E8F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5134D7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F527E71">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03B60D57">
            <w:pPr>
              <w:jc w:val="right"/>
              <w:rPr>
                <w:rFonts w:hint="default" w:ascii="Calibri" w:hAnsi="Calibri" w:eastAsia="宋体" w:cs="Calibri"/>
                <w:i w:val="0"/>
                <w:color w:val="000000"/>
                <w:sz w:val="22"/>
                <w:szCs w:val="22"/>
                <w:u w:val="none"/>
              </w:rPr>
            </w:pPr>
          </w:p>
        </w:tc>
      </w:tr>
      <w:tr w14:paraId="5F5971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216757D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33</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1C5860D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年初财政拨款结转和结余</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2C9F0650">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7A4DF95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年末财政拨款结转和结余</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0EB589C0">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6B5DDF8">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B336BB9">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79A4EF07">
            <w:pPr>
              <w:jc w:val="right"/>
              <w:rPr>
                <w:rFonts w:hint="default" w:ascii="Calibri" w:hAnsi="Calibri" w:eastAsia="宋体" w:cs="Calibri"/>
                <w:i w:val="0"/>
                <w:color w:val="000000"/>
                <w:sz w:val="22"/>
                <w:szCs w:val="22"/>
                <w:u w:val="none"/>
              </w:rPr>
            </w:pPr>
          </w:p>
        </w:tc>
      </w:tr>
      <w:tr w14:paraId="7E85F6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28BAA6F7">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34</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0245613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一、一般公共预算拨款</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53F33240">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272FD86E">
            <w:pPr>
              <w:jc w:val="left"/>
              <w:rPr>
                <w:rFonts w:hint="default" w:ascii="Calibri" w:hAnsi="Calibri" w:eastAsia="宋体" w:cs="Calibri"/>
                <w:i w:val="0"/>
                <w:color w:val="000000"/>
                <w:sz w:val="22"/>
                <w:szCs w:val="22"/>
                <w:u w:val="none"/>
              </w:rPr>
            </w:pP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49F6B7E2">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275371A">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1F3C8D8">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77409D93">
            <w:pPr>
              <w:jc w:val="right"/>
              <w:rPr>
                <w:rFonts w:hint="default" w:ascii="Calibri" w:hAnsi="Calibri" w:eastAsia="宋体" w:cs="Calibri"/>
                <w:i w:val="0"/>
                <w:color w:val="000000"/>
                <w:sz w:val="22"/>
                <w:szCs w:val="22"/>
                <w:u w:val="none"/>
              </w:rPr>
            </w:pPr>
          </w:p>
        </w:tc>
      </w:tr>
      <w:tr w14:paraId="59CECD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423956F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35</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4468D0B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二、政府性基金预算拨款</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3C5CA561">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1197B71A">
            <w:pPr>
              <w:jc w:val="left"/>
              <w:rPr>
                <w:rFonts w:hint="default" w:ascii="Calibri" w:hAnsi="Calibri" w:eastAsia="宋体" w:cs="Calibri"/>
                <w:i w:val="0"/>
                <w:color w:val="000000"/>
                <w:sz w:val="22"/>
                <w:szCs w:val="22"/>
                <w:u w:val="none"/>
              </w:rPr>
            </w:pP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4454F196">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1BE80BC">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D98B79B">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4F9F6DDA">
            <w:pPr>
              <w:jc w:val="right"/>
              <w:rPr>
                <w:rFonts w:hint="default" w:ascii="Calibri" w:hAnsi="Calibri" w:eastAsia="宋体" w:cs="Calibri"/>
                <w:i w:val="0"/>
                <w:color w:val="000000"/>
                <w:sz w:val="22"/>
                <w:szCs w:val="22"/>
                <w:u w:val="none"/>
              </w:rPr>
            </w:pPr>
          </w:p>
        </w:tc>
      </w:tr>
      <w:tr w14:paraId="015218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2FAAEA3B">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36</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04D4922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三、国有资本经营预算拨款</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04E28024">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03C411DB">
            <w:pPr>
              <w:jc w:val="left"/>
              <w:rPr>
                <w:rFonts w:hint="default" w:ascii="Calibri" w:hAnsi="Calibri" w:eastAsia="宋体" w:cs="Calibri"/>
                <w:i w:val="0"/>
                <w:color w:val="000000"/>
                <w:sz w:val="22"/>
                <w:szCs w:val="22"/>
                <w:u w:val="none"/>
              </w:rPr>
            </w:pP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76872B7C">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5FF575D">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4A76790">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145135A5">
            <w:pPr>
              <w:jc w:val="right"/>
              <w:rPr>
                <w:rFonts w:hint="default" w:ascii="Calibri" w:hAnsi="Calibri" w:eastAsia="宋体" w:cs="Calibri"/>
                <w:i w:val="0"/>
                <w:color w:val="000000"/>
                <w:sz w:val="22"/>
                <w:szCs w:val="22"/>
                <w:u w:val="none"/>
              </w:rPr>
            </w:pPr>
          </w:p>
        </w:tc>
      </w:tr>
      <w:tr w14:paraId="662155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198984E7">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37</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7FAAF3E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收入总计</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75B1ADE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1FFA9E0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支出总计</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7DE2900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D79862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A8D3E7E">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545EEF36">
            <w:pPr>
              <w:jc w:val="right"/>
              <w:rPr>
                <w:rFonts w:hint="default" w:ascii="Calibri" w:hAnsi="Calibri" w:eastAsia="宋体" w:cs="Calibri"/>
                <w:i w:val="0"/>
                <w:color w:val="000000"/>
                <w:sz w:val="22"/>
                <w:szCs w:val="22"/>
                <w:u w:val="none"/>
              </w:rPr>
            </w:pPr>
          </w:p>
        </w:tc>
      </w:tr>
    </w:tbl>
    <w:tbl>
      <w:tblPr>
        <w:tblStyle w:val="5"/>
        <w:tblpPr w:leftFromText="180" w:rightFromText="180" w:vertAnchor="text" w:horzAnchor="page" w:tblpX="1385" w:tblpY="120"/>
        <w:tblOverlap w:val="never"/>
        <w:tblW w:w="1398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575"/>
        <w:gridCol w:w="1727"/>
        <w:gridCol w:w="2722"/>
        <w:gridCol w:w="2743"/>
        <w:gridCol w:w="1384"/>
        <w:gridCol w:w="721"/>
        <w:gridCol w:w="388"/>
        <w:gridCol w:w="1830"/>
        <w:gridCol w:w="1898"/>
      </w:tblGrid>
      <w:tr w14:paraId="3A2ED6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60" w:hRule="atLeast"/>
        </w:trPr>
        <w:tc>
          <w:tcPr>
            <w:tcW w:w="13988" w:type="dxa"/>
            <w:gridSpan w:val="9"/>
            <w:shd w:val="clear" w:color="auto" w:fill="auto"/>
            <w:vAlign w:val="center"/>
          </w:tcPr>
          <w:p w14:paraId="28310242">
            <w:pPr>
              <w:keepNext w:val="0"/>
              <w:keepLines w:val="0"/>
              <w:widowControl/>
              <w:suppressLineNumbers w:val="0"/>
              <w:jc w:val="center"/>
              <w:textAlignment w:val="center"/>
              <w:rPr>
                <w:rFonts w:hint="eastAsia" w:ascii="宋体" w:hAnsi="宋体" w:eastAsia="宋体" w:cs="宋体"/>
                <w:i w:val="0"/>
                <w:color w:val="000000"/>
                <w:kern w:val="0"/>
                <w:sz w:val="36"/>
                <w:szCs w:val="36"/>
                <w:u w:val="none"/>
                <w:lang w:val="en-US" w:eastAsia="zh-CN" w:bidi="ar"/>
              </w:rPr>
            </w:pPr>
          </w:p>
          <w:p w14:paraId="710D082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36"/>
                <w:szCs w:val="36"/>
                <w:u w:val="none"/>
                <w:lang w:val="en-US" w:eastAsia="zh-CN" w:bidi="ar"/>
              </w:rPr>
              <w:t>部门预算一般公共预算财政拨款支出表</w:t>
            </w:r>
          </w:p>
        </w:tc>
      </w:tr>
      <w:tr w14:paraId="493ED8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9872" w:type="dxa"/>
            <w:gridSpan w:val="6"/>
            <w:shd w:val="clear" w:color="auto" w:fill="auto"/>
            <w:vAlign w:val="center"/>
          </w:tcPr>
          <w:p w14:paraId="41B67A5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预算单位编码及名称：[315]宁晋县司法局</w:t>
            </w:r>
          </w:p>
        </w:tc>
        <w:tc>
          <w:tcPr>
            <w:tcW w:w="2218" w:type="dxa"/>
            <w:gridSpan w:val="2"/>
            <w:shd w:val="clear" w:color="auto" w:fill="auto"/>
            <w:vAlign w:val="center"/>
          </w:tcPr>
          <w:p w14:paraId="06B0A6F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1898" w:type="dxa"/>
            <w:shd w:val="clear" w:color="auto" w:fill="auto"/>
            <w:vAlign w:val="center"/>
          </w:tcPr>
          <w:p w14:paraId="30D4052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14:paraId="2D6ECA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5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5BFF6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44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AEEC4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支出功能分类科目</w:t>
            </w:r>
          </w:p>
        </w:tc>
        <w:tc>
          <w:tcPr>
            <w:tcW w:w="274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CCC28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432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A99547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8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03431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14:paraId="3C8461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308756">
            <w:pPr>
              <w:jc w:val="center"/>
              <w:rPr>
                <w:rFonts w:hint="eastAsia" w:ascii="宋体" w:hAnsi="宋体" w:eastAsia="宋体" w:cs="宋体"/>
                <w:i w:val="0"/>
                <w:color w:val="000000"/>
                <w:sz w:val="22"/>
                <w:szCs w:val="22"/>
                <w:u w:val="none"/>
              </w:rPr>
            </w:pP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2F25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CA5E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27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C89A27">
            <w:pPr>
              <w:jc w:val="center"/>
              <w:rPr>
                <w:rFonts w:hint="eastAsia" w:ascii="宋体" w:hAnsi="宋体" w:eastAsia="宋体" w:cs="宋体"/>
                <w:i w:val="0"/>
                <w:color w:val="000000"/>
                <w:sz w:val="22"/>
                <w:szCs w:val="22"/>
                <w:u w:val="none"/>
              </w:rPr>
            </w:pP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6372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E9D0E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9653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w:t>
            </w:r>
          </w:p>
        </w:tc>
        <w:tc>
          <w:tcPr>
            <w:tcW w:w="18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DA7062">
            <w:pPr>
              <w:jc w:val="center"/>
              <w:rPr>
                <w:rFonts w:hint="eastAsia" w:ascii="宋体" w:hAnsi="宋体" w:eastAsia="宋体" w:cs="宋体"/>
                <w:i w:val="0"/>
                <w:color w:val="000000"/>
                <w:sz w:val="22"/>
                <w:szCs w:val="22"/>
                <w:u w:val="none"/>
              </w:rPr>
            </w:pPr>
          </w:p>
        </w:tc>
      </w:tr>
      <w:tr w14:paraId="4317B6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660A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FF9A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85CE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DE99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F4EB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0B30C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0D7D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5A32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r>
      <w:tr w14:paraId="3048C0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0E897129">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00559931">
            <w:pPr>
              <w:jc w:val="left"/>
              <w:rPr>
                <w:rFonts w:hint="default" w:ascii="Calibri" w:hAnsi="Calibri" w:eastAsia="宋体" w:cs="Calibri"/>
                <w:i w:val="0"/>
                <w:color w:val="000000"/>
                <w:sz w:val="22"/>
                <w:szCs w:val="22"/>
                <w:u w:val="none"/>
              </w:rPr>
            </w:pP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026E6CF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合计</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13FFEB6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2DF5520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761.91</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7FEC20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675.36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2CFD8D1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86.55</w:t>
            </w: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43319BE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291.92</w:t>
            </w:r>
          </w:p>
        </w:tc>
      </w:tr>
      <w:tr w14:paraId="40412E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6710B1F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5C488DB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3EDE486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公共安全支出</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6019AFD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915.82</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311BF45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623.90 </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23A47E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537.35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439C05F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86.55</w:t>
            </w: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7E74CC9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291.92</w:t>
            </w:r>
          </w:p>
        </w:tc>
      </w:tr>
      <w:tr w14:paraId="37737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00906B10">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0DB9571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7C6B2EB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司法</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2B70D57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915.82</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6564A78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623.90 </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8CEF98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537.35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6A2773E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86.55</w:t>
            </w: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73DBA57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291.92</w:t>
            </w:r>
          </w:p>
        </w:tc>
      </w:tr>
      <w:tr w14:paraId="334342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12B6BCF9">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14B436F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2040601</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1755520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行政运行</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0B3E13C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623.90 </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33E168E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623.90 </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988166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537.35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31772AD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86.55</w:t>
            </w: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272BC8E1">
            <w:pPr>
              <w:jc w:val="right"/>
              <w:rPr>
                <w:rFonts w:hint="default" w:ascii="Calibri" w:hAnsi="Calibri" w:eastAsia="宋体" w:cs="Calibri"/>
                <w:i w:val="0"/>
                <w:color w:val="000000"/>
                <w:sz w:val="22"/>
                <w:szCs w:val="22"/>
                <w:u w:val="none"/>
              </w:rPr>
            </w:pPr>
          </w:p>
        </w:tc>
      </w:tr>
      <w:tr w14:paraId="2DE3BC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09382837">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0DF3634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2040602</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6B24153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一般行政管理事务</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72E28BD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106.88</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7595813A">
            <w:pPr>
              <w:jc w:val="right"/>
              <w:rPr>
                <w:rFonts w:hint="default" w:ascii="Calibri" w:hAnsi="Calibri" w:eastAsia="宋体" w:cs="Calibri"/>
                <w:i w:val="0"/>
                <w:color w:val="000000"/>
                <w:sz w:val="22"/>
                <w:szCs w:val="22"/>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0098110">
            <w:pPr>
              <w:jc w:val="right"/>
              <w:rPr>
                <w:rFonts w:hint="default" w:ascii="Calibri" w:hAnsi="Calibri" w:eastAsia="宋体" w:cs="Calibri"/>
                <w:i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0A7F4F11">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35C23BC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106.88</w:t>
            </w:r>
          </w:p>
        </w:tc>
      </w:tr>
      <w:tr w14:paraId="39D9E4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5725F21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1882F08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2040604</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449CBBC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基层司法业务</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51D0A2F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79.86</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308C5B12">
            <w:pPr>
              <w:jc w:val="right"/>
              <w:rPr>
                <w:rFonts w:hint="default" w:ascii="Calibri" w:hAnsi="Calibri" w:eastAsia="宋体" w:cs="Calibri"/>
                <w:i w:val="0"/>
                <w:color w:val="000000"/>
                <w:sz w:val="22"/>
                <w:szCs w:val="22"/>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9E12C7F">
            <w:pPr>
              <w:jc w:val="right"/>
              <w:rPr>
                <w:rFonts w:hint="default" w:ascii="Calibri" w:hAnsi="Calibri" w:eastAsia="宋体" w:cs="Calibri"/>
                <w:i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46FFC94C">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5C57E8C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79.86</w:t>
            </w:r>
          </w:p>
        </w:tc>
      </w:tr>
      <w:tr w14:paraId="052A6A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16E3458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5DD53C5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2040605</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33C03FE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普法宣传</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2A3AAA1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37.14</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53CD00E3">
            <w:pPr>
              <w:jc w:val="right"/>
              <w:rPr>
                <w:rFonts w:hint="default" w:ascii="Calibri" w:hAnsi="Calibri" w:eastAsia="宋体" w:cs="Calibri"/>
                <w:i w:val="0"/>
                <w:color w:val="000000"/>
                <w:sz w:val="22"/>
                <w:szCs w:val="22"/>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5210AA7">
            <w:pPr>
              <w:jc w:val="right"/>
              <w:rPr>
                <w:rFonts w:hint="default" w:ascii="Calibri" w:hAnsi="Calibri" w:eastAsia="宋体" w:cs="Calibri"/>
                <w:i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2CD59831">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659456B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37.14</w:t>
            </w:r>
          </w:p>
        </w:tc>
      </w:tr>
      <w:tr w14:paraId="580ABC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4711540D">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64D6568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2040607</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55F8966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公共法律服务</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4AD00BA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427619AD">
            <w:pPr>
              <w:jc w:val="right"/>
              <w:rPr>
                <w:rFonts w:hint="default" w:ascii="Calibri" w:hAnsi="Calibri" w:eastAsia="宋体" w:cs="Calibri"/>
                <w:i w:val="0"/>
                <w:color w:val="000000"/>
                <w:sz w:val="22"/>
                <w:szCs w:val="22"/>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9F8E629">
            <w:pPr>
              <w:jc w:val="right"/>
              <w:rPr>
                <w:rFonts w:hint="default" w:ascii="Calibri" w:hAnsi="Calibri" w:eastAsia="宋体" w:cs="Calibri"/>
                <w:i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65B68383">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09E8DA9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r>
      <w:tr w14:paraId="462B19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1177B1C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0E84761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2040610</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46837EC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社区矫正</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5C3A464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53.04</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397CD8EA">
            <w:pPr>
              <w:jc w:val="right"/>
              <w:rPr>
                <w:rFonts w:hint="default" w:ascii="Calibri" w:hAnsi="Calibri" w:eastAsia="宋体" w:cs="Calibri"/>
                <w:i w:val="0"/>
                <w:color w:val="000000"/>
                <w:sz w:val="22"/>
                <w:szCs w:val="22"/>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DDF87DA">
            <w:pPr>
              <w:jc w:val="right"/>
              <w:rPr>
                <w:rFonts w:hint="default" w:ascii="Calibri" w:hAnsi="Calibri" w:eastAsia="宋体" w:cs="Calibri"/>
                <w:i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0C8EA0DC">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0590325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53.04</w:t>
            </w:r>
          </w:p>
        </w:tc>
      </w:tr>
      <w:tr w14:paraId="17508E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6AB2AF82">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49809D2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2040612</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10EB2A0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法治建设</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2778308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1FD610E6">
            <w:pPr>
              <w:jc w:val="right"/>
              <w:rPr>
                <w:rFonts w:hint="default" w:ascii="Calibri" w:hAnsi="Calibri" w:eastAsia="宋体" w:cs="Calibri"/>
                <w:i w:val="0"/>
                <w:color w:val="000000"/>
                <w:sz w:val="22"/>
                <w:szCs w:val="22"/>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BDE2C66">
            <w:pPr>
              <w:jc w:val="right"/>
              <w:rPr>
                <w:rFonts w:hint="default" w:ascii="Calibri" w:hAnsi="Calibri" w:eastAsia="宋体" w:cs="Calibri"/>
                <w:i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6BE56D40">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798F2E1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r>
      <w:tr w14:paraId="5C179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6B42202E">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77BBA7C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4261E79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社会保障和就业支出</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36DFB43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75.88</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2CF4E43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75.88</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1EDFB8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75.88</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39B4717B">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3711B8E0">
            <w:pPr>
              <w:jc w:val="right"/>
              <w:rPr>
                <w:rFonts w:hint="default" w:ascii="Calibri" w:hAnsi="Calibri" w:eastAsia="宋体" w:cs="Calibri"/>
                <w:i w:val="0"/>
                <w:color w:val="000000"/>
                <w:sz w:val="22"/>
                <w:szCs w:val="22"/>
                <w:u w:val="none"/>
              </w:rPr>
            </w:pPr>
          </w:p>
        </w:tc>
      </w:tr>
      <w:tr w14:paraId="2482D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6CBFC4E7">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319891F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15B308D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行政事业单位养老支出</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74BDB69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70.26</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7AD9277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70.26</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046E40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70.26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47E58F0E">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5E6F7D3C">
            <w:pPr>
              <w:jc w:val="right"/>
              <w:rPr>
                <w:rFonts w:hint="default" w:ascii="Calibri" w:hAnsi="Calibri" w:eastAsia="宋体" w:cs="Calibri"/>
                <w:i w:val="0"/>
                <w:color w:val="000000"/>
                <w:sz w:val="22"/>
                <w:szCs w:val="22"/>
                <w:u w:val="none"/>
              </w:rPr>
            </w:pPr>
          </w:p>
        </w:tc>
      </w:tr>
      <w:tr w14:paraId="0B0A7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3FB0961E">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4911DB7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2080501</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3DE26C7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行政单位离退休</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1D6D089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18.50</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6CEEE1B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18.50</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85D9F4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18.50</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25BF13A1">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6F744B7F">
            <w:pPr>
              <w:jc w:val="right"/>
              <w:rPr>
                <w:rFonts w:hint="default" w:ascii="Calibri" w:hAnsi="Calibri" w:eastAsia="宋体" w:cs="Calibri"/>
                <w:i w:val="0"/>
                <w:color w:val="000000"/>
                <w:sz w:val="22"/>
                <w:szCs w:val="22"/>
                <w:u w:val="none"/>
              </w:rPr>
            </w:pPr>
          </w:p>
        </w:tc>
      </w:tr>
      <w:tr w14:paraId="346BFA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2E8906ED">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253728C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2080505</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3C2CC5F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机关事业单位基本养老保险缴费支出</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60CD1CA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51.76</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7508044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51.76</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ACE09B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51.76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301C399D">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5828213E">
            <w:pPr>
              <w:jc w:val="right"/>
              <w:rPr>
                <w:rFonts w:hint="default" w:ascii="Calibri" w:hAnsi="Calibri" w:eastAsia="宋体" w:cs="Calibri"/>
                <w:i w:val="0"/>
                <w:color w:val="000000"/>
                <w:sz w:val="22"/>
                <w:szCs w:val="22"/>
                <w:u w:val="none"/>
              </w:rPr>
            </w:pPr>
          </w:p>
        </w:tc>
      </w:tr>
      <w:tr w14:paraId="451216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175BF6B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37D21AA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20808</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4807072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抚恤</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589BCCF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5A49F8B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33D8EC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06C30337">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732BFB4F">
            <w:pPr>
              <w:jc w:val="right"/>
              <w:rPr>
                <w:rFonts w:hint="default" w:ascii="Calibri" w:hAnsi="Calibri" w:eastAsia="宋体" w:cs="Calibri"/>
                <w:i w:val="0"/>
                <w:color w:val="000000"/>
                <w:sz w:val="22"/>
                <w:szCs w:val="22"/>
                <w:u w:val="none"/>
              </w:rPr>
            </w:pPr>
          </w:p>
        </w:tc>
      </w:tr>
      <w:tr w14:paraId="6FAD9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549954B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02CF513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2080801</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6544E90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死亡抚恤</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7D3BF7A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501E161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87970B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7A937887">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784CFD1A">
            <w:pPr>
              <w:jc w:val="right"/>
              <w:rPr>
                <w:rFonts w:hint="default" w:ascii="Calibri" w:hAnsi="Calibri" w:eastAsia="宋体" w:cs="Calibri"/>
                <w:i w:val="0"/>
                <w:color w:val="000000"/>
                <w:sz w:val="22"/>
                <w:szCs w:val="22"/>
                <w:u w:val="none"/>
              </w:rPr>
            </w:pPr>
          </w:p>
        </w:tc>
      </w:tr>
      <w:tr w14:paraId="184BAE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3A5DBBE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28D5056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3B8726F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财政对其他社会保险基金的补助</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35C066B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3EA0476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1C78B1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23017C77">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0A4EC65F">
            <w:pPr>
              <w:jc w:val="right"/>
              <w:rPr>
                <w:rFonts w:hint="default" w:ascii="Calibri" w:hAnsi="Calibri" w:eastAsia="宋体" w:cs="Calibri"/>
                <w:i w:val="0"/>
                <w:color w:val="000000"/>
                <w:sz w:val="22"/>
                <w:szCs w:val="22"/>
                <w:u w:val="none"/>
              </w:rPr>
            </w:pPr>
          </w:p>
        </w:tc>
      </w:tr>
      <w:tr w14:paraId="26F841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2025FDDE">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47F5FE6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2082702</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52F182F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财政对工伤保险基金的补助</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7004021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57800A1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930F22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0939C266">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17F8ED2A">
            <w:pPr>
              <w:jc w:val="right"/>
              <w:rPr>
                <w:rFonts w:hint="default" w:ascii="Calibri" w:hAnsi="Calibri" w:eastAsia="宋体" w:cs="Calibri"/>
                <w:i w:val="0"/>
                <w:color w:val="000000"/>
                <w:sz w:val="22"/>
                <w:szCs w:val="22"/>
                <w:u w:val="none"/>
              </w:rPr>
            </w:pPr>
          </w:p>
        </w:tc>
      </w:tr>
      <w:tr w14:paraId="7029F0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156682EE">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460ECDF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50C96CF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卫生健康支出</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0DD2601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1F1A328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344CCB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0D0681BC">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42AFF0AF">
            <w:pPr>
              <w:jc w:val="right"/>
              <w:rPr>
                <w:rFonts w:hint="default" w:ascii="Calibri" w:hAnsi="Calibri" w:eastAsia="宋体" w:cs="Calibri"/>
                <w:i w:val="0"/>
                <w:color w:val="000000"/>
                <w:sz w:val="22"/>
                <w:szCs w:val="22"/>
                <w:u w:val="none"/>
              </w:rPr>
            </w:pPr>
          </w:p>
        </w:tc>
      </w:tr>
      <w:tr w14:paraId="798DC6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3C4C6A36">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43C2387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06AF0F4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行政事业单位医疗</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38BED5E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7DD3517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28F165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3ECE5790">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7E74F2DF">
            <w:pPr>
              <w:jc w:val="right"/>
              <w:rPr>
                <w:rFonts w:hint="default" w:ascii="Calibri" w:hAnsi="Calibri" w:eastAsia="宋体" w:cs="Calibri"/>
                <w:i w:val="0"/>
                <w:color w:val="000000"/>
                <w:sz w:val="22"/>
                <w:szCs w:val="22"/>
                <w:u w:val="none"/>
              </w:rPr>
            </w:pPr>
          </w:p>
        </w:tc>
      </w:tr>
      <w:tr w14:paraId="06A153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3F452636">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3DEF925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2101101</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2761349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行政单位医疗</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571A622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753A916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20B69A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47141046">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16E16EB4">
            <w:pPr>
              <w:jc w:val="right"/>
              <w:rPr>
                <w:rFonts w:hint="default" w:ascii="Calibri" w:hAnsi="Calibri" w:eastAsia="宋体" w:cs="Calibri"/>
                <w:i w:val="0"/>
                <w:color w:val="000000"/>
                <w:sz w:val="22"/>
                <w:szCs w:val="22"/>
                <w:u w:val="none"/>
              </w:rPr>
            </w:pPr>
          </w:p>
        </w:tc>
      </w:tr>
      <w:tr w14:paraId="1CF7BE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26EB863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53DD0E7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49CB020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住房保障支出</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0869408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7679A83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C7438E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4F865748">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408EEE3F">
            <w:pPr>
              <w:jc w:val="right"/>
              <w:rPr>
                <w:rFonts w:hint="default" w:ascii="Calibri" w:hAnsi="Calibri" w:eastAsia="宋体" w:cs="Calibri"/>
                <w:i w:val="0"/>
                <w:color w:val="000000"/>
                <w:sz w:val="22"/>
                <w:szCs w:val="22"/>
                <w:u w:val="none"/>
              </w:rPr>
            </w:pPr>
          </w:p>
        </w:tc>
      </w:tr>
      <w:tr w14:paraId="09B01D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3A1954B2">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6A6C56C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59BDC41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住房改革支出</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76B8AFD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5F5ADF1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54B549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49A402AC">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571A0D53">
            <w:pPr>
              <w:jc w:val="right"/>
              <w:rPr>
                <w:rFonts w:hint="default" w:ascii="Calibri" w:hAnsi="Calibri" w:eastAsia="宋体" w:cs="Calibri"/>
                <w:i w:val="0"/>
                <w:color w:val="000000"/>
                <w:sz w:val="22"/>
                <w:szCs w:val="22"/>
                <w:u w:val="none"/>
              </w:rPr>
            </w:pPr>
          </w:p>
        </w:tc>
      </w:tr>
      <w:tr w14:paraId="5E674D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4DF1F4D7">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24</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709B8E2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2210201</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4DBCFD2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住房公积金</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6AF8FE8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055F20C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19CEA5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122EBA0E">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23FCF227">
            <w:pPr>
              <w:jc w:val="right"/>
              <w:rPr>
                <w:rFonts w:hint="default" w:ascii="Calibri" w:hAnsi="Calibri" w:eastAsia="宋体" w:cs="Calibri"/>
                <w:i w:val="0"/>
                <w:color w:val="000000"/>
                <w:sz w:val="22"/>
                <w:szCs w:val="22"/>
                <w:u w:val="none"/>
              </w:rPr>
            </w:pPr>
          </w:p>
        </w:tc>
      </w:tr>
    </w:tbl>
    <w:p w14:paraId="29C9F11E">
      <w:pPr>
        <w:spacing w:line="560" w:lineRule="exact"/>
        <w:jc w:val="both"/>
        <w:rPr>
          <w:rFonts w:hint="eastAsia" w:ascii="宋体" w:hAnsi="宋体"/>
          <w:b/>
          <w:sz w:val="44"/>
          <w:szCs w:val="44"/>
        </w:rPr>
      </w:pPr>
    </w:p>
    <w:p w14:paraId="7F14368F">
      <w:pPr>
        <w:spacing w:line="560" w:lineRule="exact"/>
        <w:jc w:val="center"/>
        <w:rPr>
          <w:rFonts w:hint="eastAsia" w:ascii="宋体" w:hAnsi="宋体"/>
          <w:b/>
          <w:sz w:val="44"/>
          <w:szCs w:val="44"/>
        </w:rPr>
      </w:pPr>
    </w:p>
    <w:p w14:paraId="71505F67">
      <w:pPr>
        <w:spacing w:line="560" w:lineRule="exact"/>
        <w:jc w:val="center"/>
        <w:rPr>
          <w:rFonts w:hint="eastAsia" w:ascii="宋体" w:hAnsi="宋体"/>
          <w:b/>
          <w:sz w:val="44"/>
          <w:szCs w:val="44"/>
        </w:rPr>
      </w:pPr>
    </w:p>
    <w:p w14:paraId="176F09F6">
      <w:pPr>
        <w:spacing w:line="560" w:lineRule="exact"/>
        <w:jc w:val="center"/>
        <w:rPr>
          <w:rFonts w:hint="eastAsia" w:ascii="宋体" w:hAnsi="宋体"/>
          <w:b/>
          <w:sz w:val="44"/>
          <w:szCs w:val="44"/>
        </w:rPr>
      </w:pPr>
    </w:p>
    <w:p w14:paraId="34DAC17C">
      <w:pPr>
        <w:spacing w:line="560" w:lineRule="exact"/>
        <w:jc w:val="center"/>
        <w:rPr>
          <w:rFonts w:hint="eastAsia" w:ascii="宋体" w:hAnsi="宋体"/>
          <w:b/>
          <w:sz w:val="44"/>
          <w:szCs w:val="44"/>
        </w:rPr>
      </w:pPr>
    </w:p>
    <w:p w14:paraId="0C8F78E2">
      <w:pPr>
        <w:spacing w:line="560" w:lineRule="exact"/>
        <w:jc w:val="center"/>
        <w:rPr>
          <w:rFonts w:hint="eastAsia" w:ascii="宋体" w:hAnsi="宋体"/>
          <w:b/>
          <w:sz w:val="44"/>
          <w:szCs w:val="44"/>
        </w:rPr>
      </w:pPr>
    </w:p>
    <w:p w14:paraId="6204BF28">
      <w:pPr>
        <w:spacing w:line="560" w:lineRule="exact"/>
        <w:jc w:val="center"/>
        <w:rPr>
          <w:rFonts w:hint="eastAsia" w:ascii="宋体" w:hAnsi="宋体"/>
          <w:b/>
          <w:sz w:val="44"/>
          <w:szCs w:val="44"/>
        </w:rPr>
      </w:pPr>
    </w:p>
    <w:p w14:paraId="5266C054">
      <w:pPr>
        <w:spacing w:line="560" w:lineRule="exact"/>
        <w:jc w:val="center"/>
        <w:rPr>
          <w:rFonts w:hint="eastAsia" w:ascii="宋体" w:hAnsi="宋体"/>
          <w:b/>
          <w:sz w:val="44"/>
          <w:szCs w:val="44"/>
        </w:rPr>
      </w:pPr>
    </w:p>
    <w:p w14:paraId="4FCE5439">
      <w:pPr>
        <w:spacing w:line="560" w:lineRule="exact"/>
        <w:jc w:val="center"/>
        <w:rPr>
          <w:rFonts w:hint="eastAsia" w:ascii="宋体" w:hAnsi="宋体"/>
          <w:b/>
          <w:sz w:val="44"/>
          <w:szCs w:val="44"/>
        </w:rPr>
      </w:pPr>
    </w:p>
    <w:p w14:paraId="64CD18B0">
      <w:pPr>
        <w:spacing w:line="560" w:lineRule="exact"/>
        <w:jc w:val="center"/>
        <w:rPr>
          <w:rFonts w:hint="eastAsia" w:ascii="宋体" w:hAnsi="宋体"/>
          <w:b/>
          <w:sz w:val="44"/>
          <w:szCs w:val="44"/>
        </w:rPr>
      </w:pPr>
    </w:p>
    <w:tbl>
      <w:tblPr>
        <w:tblStyle w:val="5"/>
        <w:tblW w:w="1398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812"/>
        <w:gridCol w:w="3038"/>
        <w:gridCol w:w="2905"/>
        <w:gridCol w:w="3066"/>
        <w:gridCol w:w="1157"/>
        <w:gridCol w:w="516"/>
        <w:gridCol w:w="2494"/>
      </w:tblGrid>
      <w:tr w14:paraId="2CE2F3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60" w:hRule="atLeast"/>
        </w:trPr>
        <w:tc>
          <w:tcPr>
            <w:tcW w:w="13988" w:type="dxa"/>
            <w:gridSpan w:val="7"/>
            <w:shd w:val="clear" w:color="auto" w:fill="auto"/>
            <w:vAlign w:val="center"/>
          </w:tcPr>
          <w:p w14:paraId="477225F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36"/>
                <w:szCs w:val="36"/>
                <w:u w:val="none"/>
                <w:lang w:val="en-US" w:eastAsia="zh-CN" w:bidi="ar"/>
              </w:rPr>
              <w:t>部门预算一般公共预算财政拨款基本支出表</w:t>
            </w:r>
          </w:p>
        </w:tc>
      </w:tr>
      <w:tr w14:paraId="4A3A4A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9821" w:type="dxa"/>
            <w:gridSpan w:val="4"/>
            <w:shd w:val="clear" w:color="auto" w:fill="auto"/>
            <w:vAlign w:val="center"/>
          </w:tcPr>
          <w:p w14:paraId="3DBC725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预算单位编码及名称：[315]宁晋县司法局</w:t>
            </w:r>
          </w:p>
        </w:tc>
        <w:tc>
          <w:tcPr>
            <w:tcW w:w="1157" w:type="dxa"/>
            <w:shd w:val="clear" w:color="auto" w:fill="auto"/>
            <w:vAlign w:val="center"/>
          </w:tcPr>
          <w:p w14:paraId="24E72E3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3010" w:type="dxa"/>
            <w:gridSpan w:val="2"/>
            <w:shd w:val="clear" w:color="auto" w:fill="auto"/>
            <w:vAlign w:val="center"/>
          </w:tcPr>
          <w:p w14:paraId="4CDC8DB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14:paraId="795E75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81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97D88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59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62EDB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支出部门经济分类科目</w:t>
            </w:r>
          </w:p>
        </w:tc>
        <w:tc>
          <w:tcPr>
            <w:tcW w:w="723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200F30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一般公共预算基本支出</w:t>
            </w:r>
          </w:p>
        </w:tc>
      </w:tr>
      <w:tr w14:paraId="3A333F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8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7672AF">
            <w:pPr>
              <w:jc w:val="center"/>
              <w:rPr>
                <w:rFonts w:hint="eastAsia" w:ascii="宋体" w:hAnsi="宋体" w:eastAsia="宋体" w:cs="宋体"/>
                <w:i w:val="0"/>
                <w:color w:val="000000"/>
                <w:sz w:val="22"/>
                <w:szCs w:val="22"/>
                <w:u w:val="none"/>
              </w:rPr>
            </w:pP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808C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C98C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D16E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BF26E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w:t>
            </w: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AB81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w:t>
            </w:r>
          </w:p>
        </w:tc>
      </w:tr>
      <w:tr w14:paraId="3BE44C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9D8E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44BE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868F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BBAF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5BF01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75C9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42742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4BCCE8DC">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29B4726B">
            <w:pPr>
              <w:jc w:val="left"/>
              <w:rPr>
                <w:rFonts w:hint="default" w:ascii="Calibri" w:hAnsi="Calibri" w:eastAsia="宋体" w:cs="Calibri"/>
                <w:i w:val="0"/>
                <w:color w:val="000000"/>
                <w:sz w:val="22"/>
                <w:szCs w:val="22"/>
                <w:u w:val="none"/>
              </w:rPr>
            </w:pP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2AD6498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合计</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4EFA8C9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761.91</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CA8871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675.36</w:t>
            </w: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0D0D2C2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86.55</w:t>
            </w:r>
          </w:p>
        </w:tc>
      </w:tr>
      <w:tr w14:paraId="4F8493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2F7E7E7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6FBF5B0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64915F2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工资福利支出</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2EE8A42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652.86</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CCAA95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652.86</w:t>
            </w: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1239F021">
            <w:pPr>
              <w:jc w:val="right"/>
              <w:rPr>
                <w:rFonts w:hint="default" w:ascii="Calibri" w:hAnsi="Calibri" w:eastAsia="宋体" w:cs="Calibri"/>
                <w:i w:val="0"/>
                <w:color w:val="000000"/>
                <w:sz w:val="22"/>
                <w:szCs w:val="22"/>
                <w:u w:val="none"/>
              </w:rPr>
            </w:pPr>
          </w:p>
        </w:tc>
      </w:tr>
      <w:tr w14:paraId="1B2BCA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60200B2D">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14E634E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30101</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308B8A3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基本工资</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3A03E0C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196.20</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5C220A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196.20</w:t>
            </w: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22C1F328">
            <w:pPr>
              <w:jc w:val="right"/>
              <w:rPr>
                <w:rFonts w:hint="default" w:ascii="Calibri" w:hAnsi="Calibri" w:eastAsia="宋体" w:cs="Calibri"/>
                <w:i w:val="0"/>
                <w:color w:val="000000"/>
                <w:sz w:val="22"/>
                <w:szCs w:val="22"/>
                <w:u w:val="none"/>
              </w:rPr>
            </w:pPr>
          </w:p>
        </w:tc>
      </w:tr>
      <w:tr w14:paraId="018F3A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768A315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1FA8D01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30102</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422E26B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津贴补贴</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42190F5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206.20</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FCC50F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206.20</w:t>
            </w: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2DCAA8B7">
            <w:pPr>
              <w:jc w:val="right"/>
              <w:rPr>
                <w:rFonts w:hint="default" w:ascii="Calibri" w:hAnsi="Calibri" w:eastAsia="宋体" w:cs="Calibri"/>
                <w:i w:val="0"/>
                <w:color w:val="000000"/>
                <w:sz w:val="22"/>
                <w:szCs w:val="22"/>
                <w:u w:val="none"/>
              </w:rPr>
            </w:pPr>
          </w:p>
        </w:tc>
      </w:tr>
      <w:tr w14:paraId="10DCDB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28D2F6ED">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5540AA5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30103</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5631491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奖金</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226E03A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16.35</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3B5EE4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16.35</w:t>
            </w: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26AA42CD">
            <w:pPr>
              <w:jc w:val="right"/>
              <w:rPr>
                <w:rFonts w:hint="default" w:ascii="Calibri" w:hAnsi="Calibri" w:eastAsia="宋体" w:cs="Calibri"/>
                <w:i w:val="0"/>
                <w:color w:val="000000"/>
                <w:sz w:val="22"/>
                <w:szCs w:val="22"/>
                <w:u w:val="none"/>
              </w:rPr>
            </w:pPr>
          </w:p>
        </w:tc>
      </w:tr>
      <w:tr w14:paraId="55ECCD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6F67D15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18A09C5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30107</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3EDDEB8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绩效工资</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1D1E4E0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118.60 </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DEC60A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118.60 </w:t>
            </w: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0CBDBCE1">
            <w:pPr>
              <w:jc w:val="right"/>
              <w:rPr>
                <w:rFonts w:hint="default" w:ascii="Calibri" w:hAnsi="Calibri" w:eastAsia="宋体" w:cs="Calibri"/>
                <w:i w:val="0"/>
                <w:color w:val="000000"/>
                <w:sz w:val="22"/>
                <w:szCs w:val="22"/>
                <w:u w:val="none"/>
              </w:rPr>
            </w:pPr>
          </w:p>
        </w:tc>
      </w:tr>
      <w:tr w14:paraId="75F70C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407738E2">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050170C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30108</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63915B1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机关事业单位基本养老保险缴费</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27A068F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51.76</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467546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51.76</w:t>
            </w: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6C3EF4F2">
            <w:pPr>
              <w:jc w:val="right"/>
              <w:rPr>
                <w:rFonts w:hint="default" w:ascii="Calibri" w:hAnsi="Calibri" w:eastAsia="宋体" w:cs="Calibri"/>
                <w:i w:val="0"/>
                <w:color w:val="000000"/>
                <w:sz w:val="22"/>
                <w:szCs w:val="22"/>
                <w:u w:val="none"/>
              </w:rPr>
            </w:pPr>
          </w:p>
        </w:tc>
      </w:tr>
      <w:tr w14:paraId="5A4F48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7908095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6E89304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30110</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31D93B6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城镇职工基本医疗保险缴费</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16D3D84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F17343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06F07754">
            <w:pPr>
              <w:jc w:val="right"/>
              <w:rPr>
                <w:rFonts w:hint="default" w:ascii="Calibri" w:hAnsi="Calibri" w:eastAsia="宋体" w:cs="Calibri"/>
                <w:i w:val="0"/>
                <w:color w:val="000000"/>
                <w:sz w:val="22"/>
                <w:szCs w:val="22"/>
                <w:u w:val="none"/>
              </w:rPr>
            </w:pPr>
          </w:p>
        </w:tc>
      </w:tr>
      <w:tr w14:paraId="03C73A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303BA48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777C78A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30112</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1076C32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其他社会保障缴费</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3AD7493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BAE548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6642C237">
            <w:pPr>
              <w:jc w:val="right"/>
              <w:rPr>
                <w:rFonts w:hint="default" w:ascii="Calibri" w:hAnsi="Calibri" w:eastAsia="宋体" w:cs="Calibri"/>
                <w:i w:val="0"/>
                <w:color w:val="000000"/>
                <w:sz w:val="22"/>
                <w:szCs w:val="22"/>
                <w:u w:val="none"/>
              </w:rPr>
            </w:pPr>
          </w:p>
        </w:tc>
      </w:tr>
      <w:tr w14:paraId="6A02C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141AA187">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6BDF951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30113</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526569F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住房公积金</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0C93756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B94ED1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12D0E42E">
            <w:pPr>
              <w:jc w:val="right"/>
              <w:rPr>
                <w:rFonts w:hint="default" w:ascii="Calibri" w:hAnsi="Calibri" w:eastAsia="宋体" w:cs="Calibri"/>
                <w:i w:val="0"/>
                <w:color w:val="000000"/>
                <w:sz w:val="22"/>
                <w:szCs w:val="22"/>
                <w:u w:val="none"/>
              </w:rPr>
            </w:pPr>
          </w:p>
        </w:tc>
      </w:tr>
      <w:tr w14:paraId="35FDF0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5C4473A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2CEC23A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42A0AC7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商品和服务支出</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137384D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86.55</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4875E11">
            <w:pPr>
              <w:jc w:val="right"/>
              <w:rPr>
                <w:rFonts w:hint="default" w:ascii="Calibri" w:hAnsi="Calibri" w:eastAsia="宋体" w:cs="Calibri"/>
                <w:i w:val="0"/>
                <w:color w:val="000000"/>
                <w:sz w:val="22"/>
                <w:szCs w:val="22"/>
                <w:u w:val="none"/>
              </w:rPr>
            </w:pP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6FEBF43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86.55</w:t>
            </w:r>
          </w:p>
        </w:tc>
      </w:tr>
      <w:tr w14:paraId="78F48E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7A44EA4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11ADBF3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30201</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1ECFB10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办公费</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572FB53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14.00</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379B5C6">
            <w:pPr>
              <w:jc w:val="right"/>
              <w:rPr>
                <w:rFonts w:hint="default" w:ascii="Calibri" w:hAnsi="Calibri" w:eastAsia="宋体" w:cs="Calibri"/>
                <w:i w:val="0"/>
                <w:color w:val="000000"/>
                <w:sz w:val="22"/>
                <w:szCs w:val="22"/>
                <w:u w:val="none"/>
              </w:rPr>
            </w:pP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564C7A4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14.00</w:t>
            </w:r>
          </w:p>
        </w:tc>
      </w:tr>
      <w:tr w14:paraId="4F94BB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0DED4D3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7B03BA2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30205</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4FDA192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水费</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146166D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0.25</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113523D">
            <w:pPr>
              <w:jc w:val="right"/>
              <w:rPr>
                <w:rFonts w:hint="default" w:ascii="Calibri" w:hAnsi="Calibri" w:eastAsia="宋体" w:cs="Calibri"/>
                <w:i w:val="0"/>
                <w:color w:val="000000"/>
                <w:sz w:val="22"/>
                <w:szCs w:val="22"/>
                <w:u w:val="none"/>
              </w:rPr>
            </w:pP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7DC3751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0.25</w:t>
            </w:r>
          </w:p>
        </w:tc>
      </w:tr>
      <w:tr w14:paraId="466174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4A9C372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5D15A78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30206</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5D5CC91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电费</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370664F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0.44</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539D9E6">
            <w:pPr>
              <w:jc w:val="right"/>
              <w:rPr>
                <w:rFonts w:hint="default" w:ascii="Calibri" w:hAnsi="Calibri" w:eastAsia="宋体" w:cs="Calibri"/>
                <w:i w:val="0"/>
                <w:color w:val="000000"/>
                <w:sz w:val="22"/>
                <w:szCs w:val="22"/>
                <w:u w:val="none"/>
              </w:rPr>
            </w:pP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006B288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0.44</w:t>
            </w:r>
          </w:p>
        </w:tc>
      </w:tr>
      <w:tr w14:paraId="1EA50A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241F72D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52BD670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30207</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2405E5A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邮电费</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4975B9D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13.09</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D2B824C">
            <w:pPr>
              <w:jc w:val="right"/>
              <w:rPr>
                <w:rFonts w:hint="default" w:ascii="Calibri" w:hAnsi="Calibri" w:eastAsia="宋体" w:cs="Calibri"/>
                <w:i w:val="0"/>
                <w:color w:val="000000"/>
                <w:sz w:val="22"/>
                <w:szCs w:val="22"/>
                <w:u w:val="none"/>
              </w:rPr>
            </w:pP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6D17DDF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13.09</w:t>
            </w:r>
          </w:p>
        </w:tc>
      </w:tr>
      <w:tr w14:paraId="6A4097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3311D4B6">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44F743B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30211</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488D5E5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差旅费</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20F823C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1.28</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F57ED4E">
            <w:pPr>
              <w:jc w:val="right"/>
              <w:rPr>
                <w:rFonts w:hint="default" w:ascii="Calibri" w:hAnsi="Calibri" w:eastAsia="宋体" w:cs="Calibri"/>
                <w:i w:val="0"/>
                <w:color w:val="000000"/>
                <w:sz w:val="22"/>
                <w:szCs w:val="22"/>
                <w:u w:val="none"/>
              </w:rPr>
            </w:pP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325D8AE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1.28</w:t>
            </w:r>
          </w:p>
        </w:tc>
      </w:tr>
      <w:tr w14:paraId="252AD7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6856D298">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0431227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30213</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5E5740B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维修(护)费</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305BD71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0.29</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A982C85">
            <w:pPr>
              <w:jc w:val="right"/>
              <w:rPr>
                <w:rFonts w:hint="default" w:ascii="Calibri" w:hAnsi="Calibri" w:eastAsia="宋体" w:cs="Calibri"/>
                <w:i w:val="0"/>
                <w:color w:val="000000"/>
                <w:sz w:val="22"/>
                <w:szCs w:val="22"/>
                <w:u w:val="none"/>
              </w:rPr>
            </w:pP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2CB70BE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0.29</w:t>
            </w:r>
          </w:p>
        </w:tc>
      </w:tr>
      <w:tr w14:paraId="1D6556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7AFBDE89">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74DE83A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30215</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736E928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会议费</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2B6A2FD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078943A">
            <w:pPr>
              <w:jc w:val="right"/>
              <w:rPr>
                <w:rFonts w:hint="default" w:ascii="Calibri" w:hAnsi="Calibri" w:eastAsia="宋体" w:cs="Calibri"/>
                <w:i w:val="0"/>
                <w:color w:val="000000"/>
                <w:sz w:val="22"/>
                <w:szCs w:val="22"/>
                <w:u w:val="none"/>
              </w:rPr>
            </w:pP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07D9FFA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r>
      <w:tr w14:paraId="2AAFDD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6A9A1482">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6F72B59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30217</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25FE008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公务接待费</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2CFFA4C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0.57</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F4E7C7D">
            <w:pPr>
              <w:jc w:val="right"/>
              <w:rPr>
                <w:rFonts w:hint="default" w:ascii="Calibri" w:hAnsi="Calibri" w:eastAsia="宋体" w:cs="Calibri"/>
                <w:i w:val="0"/>
                <w:color w:val="000000"/>
                <w:sz w:val="22"/>
                <w:szCs w:val="22"/>
                <w:u w:val="none"/>
              </w:rPr>
            </w:pP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1E42767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0.57</w:t>
            </w:r>
          </w:p>
        </w:tc>
      </w:tr>
      <w:tr w14:paraId="5BD753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5E52D9A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557746E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30228</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3B35635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工会经费</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230CBE7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4.53</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9EA55AD">
            <w:pPr>
              <w:jc w:val="right"/>
              <w:rPr>
                <w:rFonts w:hint="default" w:ascii="Calibri" w:hAnsi="Calibri" w:eastAsia="宋体" w:cs="Calibri"/>
                <w:i w:val="0"/>
                <w:color w:val="000000"/>
                <w:sz w:val="22"/>
                <w:szCs w:val="22"/>
                <w:u w:val="none"/>
              </w:rPr>
            </w:pP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5631F05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4.53</w:t>
            </w:r>
          </w:p>
        </w:tc>
      </w:tr>
      <w:tr w14:paraId="63828B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557205C9">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3D225EE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30231</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393A50D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公务用车运行维护费</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1BD3214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20.00</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8AE7F4E">
            <w:pPr>
              <w:jc w:val="right"/>
              <w:rPr>
                <w:rFonts w:hint="default" w:ascii="Calibri" w:hAnsi="Calibri" w:eastAsia="宋体" w:cs="Calibri"/>
                <w:i w:val="0"/>
                <w:color w:val="000000"/>
                <w:sz w:val="22"/>
                <w:szCs w:val="22"/>
                <w:u w:val="none"/>
              </w:rPr>
            </w:pP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72B9AA4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20.00</w:t>
            </w:r>
          </w:p>
        </w:tc>
      </w:tr>
      <w:tr w14:paraId="34B7AE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1D6A9EB0">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043B4FF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30239</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73A258C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其他交通费用</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5EEE289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31.10</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A52CA10">
            <w:pPr>
              <w:jc w:val="right"/>
              <w:rPr>
                <w:rFonts w:hint="default" w:ascii="Calibri" w:hAnsi="Calibri" w:eastAsia="宋体" w:cs="Calibri"/>
                <w:i w:val="0"/>
                <w:color w:val="000000"/>
                <w:sz w:val="22"/>
                <w:szCs w:val="22"/>
                <w:u w:val="none"/>
              </w:rPr>
            </w:pP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32F2880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31.10</w:t>
            </w:r>
          </w:p>
        </w:tc>
      </w:tr>
      <w:tr w14:paraId="25E064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57F89FC8">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1AEA14D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303</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262C92A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对个人和家庭的补助</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1ADC1ED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22.50</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40CD65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22.50</w:t>
            </w: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0FE0C4C6">
            <w:pPr>
              <w:jc w:val="right"/>
              <w:rPr>
                <w:rFonts w:hint="default" w:ascii="Calibri" w:hAnsi="Calibri" w:eastAsia="宋体" w:cs="Calibri"/>
                <w:i w:val="0"/>
                <w:color w:val="000000"/>
                <w:sz w:val="22"/>
                <w:szCs w:val="22"/>
                <w:u w:val="none"/>
              </w:rPr>
            </w:pPr>
          </w:p>
        </w:tc>
      </w:tr>
      <w:tr w14:paraId="7A866D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45011102">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24</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51D6916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30302</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7310A56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退休费</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078B7C8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18.50</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DC9778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18.50</w:t>
            </w: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40A9B341">
            <w:pPr>
              <w:jc w:val="right"/>
              <w:rPr>
                <w:rFonts w:hint="default" w:ascii="Calibri" w:hAnsi="Calibri" w:eastAsia="宋体" w:cs="Calibri"/>
                <w:i w:val="0"/>
                <w:color w:val="000000"/>
                <w:sz w:val="22"/>
                <w:szCs w:val="22"/>
                <w:u w:val="none"/>
              </w:rPr>
            </w:pPr>
          </w:p>
        </w:tc>
      </w:tr>
      <w:tr w14:paraId="030AF9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1661A54E">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25</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77E7E06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30304</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5B35E2B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抚恤金</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224B5A6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180D01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0C67325F">
            <w:pPr>
              <w:jc w:val="right"/>
              <w:rPr>
                <w:rFonts w:hint="default" w:ascii="Calibri" w:hAnsi="Calibri" w:eastAsia="宋体" w:cs="Calibri"/>
                <w:i w:val="0"/>
                <w:color w:val="000000"/>
                <w:sz w:val="22"/>
                <w:szCs w:val="22"/>
                <w:u w:val="none"/>
              </w:rPr>
            </w:pPr>
          </w:p>
        </w:tc>
      </w:tr>
    </w:tbl>
    <w:p w14:paraId="4B097380">
      <w:pPr>
        <w:spacing w:line="560" w:lineRule="exact"/>
        <w:jc w:val="center"/>
        <w:rPr>
          <w:rFonts w:hint="eastAsia" w:ascii="宋体" w:hAnsi="宋体"/>
          <w:b/>
          <w:sz w:val="44"/>
          <w:szCs w:val="44"/>
        </w:rPr>
      </w:pPr>
    </w:p>
    <w:p w14:paraId="72ACDB2D">
      <w:pPr>
        <w:spacing w:line="560" w:lineRule="exact"/>
        <w:jc w:val="center"/>
        <w:rPr>
          <w:rFonts w:hint="eastAsia" w:ascii="宋体" w:hAnsi="宋体"/>
          <w:b/>
          <w:sz w:val="44"/>
          <w:szCs w:val="44"/>
        </w:rPr>
      </w:pPr>
    </w:p>
    <w:p w14:paraId="085C13CA">
      <w:pPr>
        <w:spacing w:line="560" w:lineRule="exact"/>
        <w:jc w:val="center"/>
        <w:rPr>
          <w:rFonts w:hint="eastAsia" w:ascii="宋体" w:hAnsi="宋体"/>
          <w:b/>
          <w:sz w:val="44"/>
          <w:szCs w:val="44"/>
        </w:rPr>
      </w:pPr>
    </w:p>
    <w:p w14:paraId="0F99DDD3">
      <w:pPr>
        <w:spacing w:line="560" w:lineRule="exact"/>
        <w:jc w:val="center"/>
        <w:rPr>
          <w:rFonts w:hint="eastAsia" w:ascii="宋体" w:hAnsi="宋体"/>
          <w:b/>
          <w:sz w:val="44"/>
          <w:szCs w:val="44"/>
        </w:rPr>
      </w:pPr>
    </w:p>
    <w:p w14:paraId="5979BB7F">
      <w:pPr>
        <w:spacing w:line="560" w:lineRule="exact"/>
        <w:jc w:val="center"/>
        <w:rPr>
          <w:rFonts w:hint="eastAsia" w:ascii="宋体" w:hAnsi="宋体"/>
          <w:b/>
          <w:sz w:val="44"/>
          <w:szCs w:val="44"/>
        </w:rPr>
      </w:pPr>
    </w:p>
    <w:p w14:paraId="6F0D7C7C">
      <w:pPr>
        <w:spacing w:line="560" w:lineRule="exact"/>
        <w:jc w:val="center"/>
        <w:rPr>
          <w:rFonts w:hint="eastAsia" w:ascii="宋体" w:hAnsi="宋体"/>
          <w:b/>
          <w:sz w:val="44"/>
          <w:szCs w:val="44"/>
        </w:rPr>
      </w:pPr>
    </w:p>
    <w:p w14:paraId="70BAA7A3">
      <w:pPr>
        <w:spacing w:line="560" w:lineRule="exact"/>
        <w:jc w:val="center"/>
        <w:rPr>
          <w:rFonts w:hint="eastAsia" w:ascii="宋体" w:hAnsi="宋体"/>
          <w:b/>
          <w:sz w:val="44"/>
          <w:szCs w:val="44"/>
        </w:rPr>
      </w:pPr>
    </w:p>
    <w:p w14:paraId="19125DA4">
      <w:pPr>
        <w:spacing w:line="560" w:lineRule="exact"/>
        <w:jc w:val="center"/>
        <w:rPr>
          <w:rFonts w:hint="eastAsia" w:ascii="宋体" w:hAnsi="宋体"/>
          <w:b/>
          <w:sz w:val="44"/>
          <w:szCs w:val="44"/>
        </w:rPr>
      </w:pPr>
    </w:p>
    <w:p w14:paraId="288ADE41">
      <w:pPr>
        <w:spacing w:line="560" w:lineRule="exact"/>
        <w:jc w:val="center"/>
        <w:rPr>
          <w:rFonts w:hint="eastAsia" w:ascii="宋体" w:hAnsi="宋体"/>
          <w:b/>
          <w:sz w:val="44"/>
          <w:szCs w:val="44"/>
        </w:rPr>
      </w:pPr>
    </w:p>
    <w:tbl>
      <w:tblPr>
        <w:tblStyle w:val="5"/>
        <w:tblW w:w="1398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934"/>
        <w:gridCol w:w="3554"/>
        <w:gridCol w:w="3554"/>
        <w:gridCol w:w="2297"/>
        <w:gridCol w:w="1770"/>
        <w:gridCol w:w="1878"/>
      </w:tblGrid>
      <w:tr w14:paraId="44F70A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60" w:hRule="atLeast"/>
        </w:trPr>
        <w:tc>
          <w:tcPr>
            <w:tcW w:w="13987" w:type="dxa"/>
            <w:gridSpan w:val="6"/>
            <w:shd w:val="clear" w:color="auto" w:fill="auto"/>
            <w:vAlign w:val="center"/>
          </w:tcPr>
          <w:p w14:paraId="6846AFB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36"/>
                <w:szCs w:val="36"/>
                <w:u w:val="none"/>
                <w:lang w:val="en-US" w:eastAsia="zh-CN" w:bidi="ar"/>
              </w:rPr>
              <w:t>部门预算政府基金预算财政拨款支出表</w:t>
            </w:r>
          </w:p>
        </w:tc>
      </w:tr>
      <w:tr w14:paraId="07C2FB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10339" w:type="dxa"/>
            <w:gridSpan w:val="4"/>
            <w:shd w:val="clear" w:color="auto" w:fill="auto"/>
            <w:vAlign w:val="center"/>
          </w:tcPr>
          <w:p w14:paraId="393A9A0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预算单位编码及名称：[315]宁晋县司法局</w:t>
            </w:r>
          </w:p>
        </w:tc>
        <w:tc>
          <w:tcPr>
            <w:tcW w:w="1770" w:type="dxa"/>
            <w:shd w:val="clear" w:color="auto" w:fill="auto"/>
            <w:vAlign w:val="center"/>
          </w:tcPr>
          <w:p w14:paraId="127206F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1878" w:type="dxa"/>
            <w:shd w:val="clear" w:color="auto" w:fill="auto"/>
            <w:vAlign w:val="center"/>
          </w:tcPr>
          <w:p w14:paraId="640A63E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14:paraId="60E5AF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93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13F96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71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4F8B6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支出功能分类科目</w:t>
            </w:r>
          </w:p>
        </w:tc>
        <w:tc>
          <w:tcPr>
            <w:tcW w:w="229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066FE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7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0498C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87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BE808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14:paraId="1723AB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93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A39C39">
            <w:pPr>
              <w:jc w:val="center"/>
              <w:rPr>
                <w:rFonts w:hint="eastAsia" w:ascii="宋体" w:hAnsi="宋体" w:eastAsia="宋体" w:cs="宋体"/>
                <w:i w:val="0"/>
                <w:color w:val="000000"/>
                <w:sz w:val="22"/>
                <w:szCs w:val="22"/>
                <w:u w:val="none"/>
              </w:rPr>
            </w:pPr>
          </w:p>
        </w:tc>
        <w:tc>
          <w:tcPr>
            <w:tcW w:w="3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F4D3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3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86D1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229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56FEC3">
            <w:pPr>
              <w:jc w:val="center"/>
              <w:rPr>
                <w:rFonts w:hint="eastAsia" w:ascii="宋体" w:hAnsi="宋体" w:eastAsia="宋体" w:cs="宋体"/>
                <w:i w:val="0"/>
                <w:color w:val="000000"/>
                <w:sz w:val="22"/>
                <w:szCs w:val="22"/>
                <w:u w:val="none"/>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E2540F">
            <w:pPr>
              <w:jc w:val="center"/>
              <w:rPr>
                <w:rFonts w:hint="eastAsia" w:ascii="宋体" w:hAnsi="宋体" w:eastAsia="宋体" w:cs="宋体"/>
                <w:i w:val="0"/>
                <w:color w:val="000000"/>
                <w:sz w:val="22"/>
                <w:szCs w:val="22"/>
                <w:u w:val="none"/>
              </w:rPr>
            </w:pPr>
          </w:p>
        </w:tc>
        <w:tc>
          <w:tcPr>
            <w:tcW w:w="187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A8A77C">
            <w:pPr>
              <w:jc w:val="center"/>
              <w:rPr>
                <w:rFonts w:hint="eastAsia" w:ascii="宋体" w:hAnsi="宋体" w:eastAsia="宋体" w:cs="宋体"/>
                <w:i w:val="0"/>
                <w:color w:val="000000"/>
                <w:sz w:val="22"/>
                <w:szCs w:val="22"/>
                <w:u w:val="none"/>
              </w:rPr>
            </w:pPr>
          </w:p>
        </w:tc>
      </w:tr>
      <w:tr w14:paraId="4C7C27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CFDF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3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54B2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3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E46E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4D70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0D40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8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F0FF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62EF11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934" w:type="dxa"/>
            <w:tcBorders>
              <w:top w:val="single" w:color="000000" w:sz="4" w:space="0"/>
              <w:left w:val="single" w:color="000000" w:sz="4" w:space="0"/>
              <w:bottom w:val="single" w:color="000000" w:sz="4" w:space="0"/>
              <w:right w:val="single" w:color="000000" w:sz="4" w:space="0"/>
            </w:tcBorders>
            <w:shd w:val="clear" w:color="auto" w:fill="auto"/>
            <w:vAlign w:val="top"/>
          </w:tcPr>
          <w:p w14:paraId="453C8AA7">
            <w:pPr>
              <w:jc w:val="center"/>
              <w:rPr>
                <w:rFonts w:hint="eastAsia" w:ascii="Calibri" w:hAnsi="Calibri" w:eastAsia="宋体" w:cs="Calibri"/>
                <w:i w:val="0"/>
                <w:color w:val="000000"/>
                <w:sz w:val="22"/>
                <w:szCs w:val="22"/>
                <w:u w:val="none"/>
              </w:rPr>
            </w:pPr>
          </w:p>
        </w:tc>
        <w:tc>
          <w:tcPr>
            <w:tcW w:w="3554" w:type="dxa"/>
            <w:tcBorders>
              <w:top w:val="single" w:color="000000" w:sz="4" w:space="0"/>
              <w:left w:val="single" w:color="000000" w:sz="4" w:space="0"/>
              <w:bottom w:val="single" w:color="000000" w:sz="4" w:space="0"/>
              <w:right w:val="single" w:color="000000" w:sz="4" w:space="0"/>
            </w:tcBorders>
            <w:shd w:val="clear" w:color="auto" w:fill="auto"/>
            <w:vAlign w:val="top"/>
          </w:tcPr>
          <w:p w14:paraId="436D3AB7">
            <w:pPr>
              <w:jc w:val="left"/>
              <w:rPr>
                <w:rFonts w:hint="default" w:ascii="Calibri" w:hAnsi="Calibri" w:eastAsia="宋体" w:cs="Calibri"/>
                <w:i w:val="0"/>
                <w:color w:val="000000"/>
                <w:sz w:val="22"/>
                <w:szCs w:val="22"/>
                <w:u w:val="none"/>
              </w:rPr>
            </w:pPr>
          </w:p>
        </w:tc>
        <w:tc>
          <w:tcPr>
            <w:tcW w:w="3554" w:type="dxa"/>
            <w:tcBorders>
              <w:top w:val="single" w:color="000000" w:sz="4" w:space="0"/>
              <w:left w:val="single" w:color="000000" w:sz="4" w:space="0"/>
              <w:bottom w:val="single" w:color="000000" w:sz="4" w:space="0"/>
              <w:right w:val="single" w:color="000000" w:sz="4" w:space="0"/>
            </w:tcBorders>
            <w:shd w:val="clear" w:color="auto" w:fill="auto"/>
            <w:vAlign w:val="top"/>
          </w:tcPr>
          <w:p w14:paraId="13D7B823">
            <w:pPr>
              <w:jc w:val="left"/>
              <w:rPr>
                <w:rFonts w:hint="default" w:ascii="Calibri" w:hAnsi="Calibri" w:eastAsia="宋体" w:cs="Calibri"/>
                <w:i w:val="0"/>
                <w:color w:val="000000"/>
                <w:sz w:val="22"/>
                <w:szCs w:val="22"/>
                <w:u w:val="none"/>
              </w:rPr>
            </w:pP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top"/>
          </w:tcPr>
          <w:p w14:paraId="75C921E8">
            <w:pPr>
              <w:jc w:val="right"/>
              <w:rPr>
                <w:rFonts w:hint="default" w:ascii="Calibri" w:hAnsi="Calibri" w:eastAsia="宋体" w:cs="Calibri"/>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top"/>
          </w:tcPr>
          <w:p w14:paraId="69090F9D">
            <w:pPr>
              <w:jc w:val="right"/>
              <w:rPr>
                <w:rFonts w:hint="default" w:ascii="Calibri" w:hAnsi="Calibri" w:eastAsia="宋体" w:cs="Calibri"/>
                <w:i w:val="0"/>
                <w:color w:val="000000"/>
                <w:sz w:val="22"/>
                <w:szCs w:val="22"/>
                <w:u w:val="none"/>
              </w:rPr>
            </w:pPr>
          </w:p>
        </w:tc>
        <w:tc>
          <w:tcPr>
            <w:tcW w:w="1878" w:type="dxa"/>
            <w:tcBorders>
              <w:top w:val="single" w:color="000000" w:sz="4" w:space="0"/>
              <w:left w:val="single" w:color="000000" w:sz="4" w:space="0"/>
              <w:bottom w:val="single" w:color="000000" w:sz="4" w:space="0"/>
              <w:right w:val="single" w:color="000000" w:sz="4" w:space="0"/>
            </w:tcBorders>
            <w:shd w:val="clear" w:color="auto" w:fill="auto"/>
            <w:vAlign w:val="top"/>
          </w:tcPr>
          <w:p w14:paraId="3DFE1C39">
            <w:pPr>
              <w:jc w:val="right"/>
              <w:rPr>
                <w:rFonts w:hint="default" w:ascii="Calibri" w:hAnsi="Calibri" w:eastAsia="宋体" w:cs="Calibri"/>
                <w:i w:val="0"/>
                <w:color w:val="000000"/>
                <w:sz w:val="22"/>
                <w:szCs w:val="22"/>
                <w:u w:val="none"/>
              </w:rPr>
            </w:pPr>
          </w:p>
        </w:tc>
      </w:tr>
      <w:tr w14:paraId="36BFB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934" w:type="dxa"/>
            <w:tcBorders>
              <w:top w:val="single" w:color="000000" w:sz="4" w:space="0"/>
              <w:left w:val="single" w:color="000000" w:sz="4" w:space="0"/>
              <w:bottom w:val="single" w:color="000000" w:sz="4" w:space="0"/>
              <w:right w:val="single" w:color="000000" w:sz="4" w:space="0"/>
            </w:tcBorders>
            <w:shd w:val="clear" w:color="auto" w:fill="auto"/>
            <w:vAlign w:val="top"/>
          </w:tcPr>
          <w:p w14:paraId="367A72E7">
            <w:pPr>
              <w:jc w:val="center"/>
              <w:rPr>
                <w:rFonts w:hint="default" w:ascii="Calibri" w:hAnsi="Calibri" w:eastAsia="宋体" w:cs="Calibri"/>
                <w:i w:val="0"/>
                <w:color w:val="000000"/>
                <w:sz w:val="22"/>
                <w:szCs w:val="22"/>
                <w:u w:val="none"/>
              </w:rPr>
            </w:pPr>
          </w:p>
        </w:tc>
        <w:tc>
          <w:tcPr>
            <w:tcW w:w="3554" w:type="dxa"/>
            <w:tcBorders>
              <w:top w:val="single" w:color="000000" w:sz="4" w:space="0"/>
              <w:left w:val="single" w:color="000000" w:sz="4" w:space="0"/>
              <w:bottom w:val="single" w:color="000000" w:sz="4" w:space="0"/>
              <w:right w:val="single" w:color="000000" w:sz="4" w:space="0"/>
            </w:tcBorders>
            <w:shd w:val="clear" w:color="auto" w:fill="auto"/>
            <w:vAlign w:val="top"/>
          </w:tcPr>
          <w:p w14:paraId="2CDC90AF">
            <w:pPr>
              <w:jc w:val="left"/>
              <w:rPr>
                <w:rFonts w:hint="default" w:ascii="Calibri" w:hAnsi="Calibri" w:eastAsia="宋体" w:cs="Calibri"/>
                <w:i w:val="0"/>
                <w:color w:val="000000"/>
                <w:sz w:val="22"/>
                <w:szCs w:val="22"/>
                <w:u w:val="none"/>
              </w:rPr>
            </w:pPr>
          </w:p>
        </w:tc>
        <w:tc>
          <w:tcPr>
            <w:tcW w:w="3554" w:type="dxa"/>
            <w:tcBorders>
              <w:top w:val="single" w:color="000000" w:sz="4" w:space="0"/>
              <w:left w:val="single" w:color="000000" w:sz="4" w:space="0"/>
              <w:bottom w:val="single" w:color="000000" w:sz="4" w:space="0"/>
              <w:right w:val="single" w:color="000000" w:sz="4" w:space="0"/>
            </w:tcBorders>
            <w:shd w:val="clear" w:color="auto" w:fill="auto"/>
            <w:vAlign w:val="top"/>
          </w:tcPr>
          <w:p w14:paraId="78F9335D">
            <w:pPr>
              <w:jc w:val="left"/>
              <w:rPr>
                <w:rFonts w:hint="default" w:ascii="Calibri" w:hAnsi="Calibri" w:eastAsia="宋体" w:cs="Calibri"/>
                <w:i w:val="0"/>
                <w:color w:val="000000"/>
                <w:sz w:val="22"/>
                <w:szCs w:val="22"/>
                <w:u w:val="none"/>
              </w:rPr>
            </w:pP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top"/>
          </w:tcPr>
          <w:p w14:paraId="16A6F1DF">
            <w:pPr>
              <w:jc w:val="right"/>
              <w:rPr>
                <w:rFonts w:hint="default" w:ascii="Calibri" w:hAnsi="Calibri" w:eastAsia="宋体" w:cs="Calibri"/>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top"/>
          </w:tcPr>
          <w:p w14:paraId="46440029">
            <w:pPr>
              <w:jc w:val="right"/>
              <w:rPr>
                <w:rFonts w:hint="default" w:ascii="Calibri" w:hAnsi="Calibri" w:eastAsia="宋体" w:cs="Calibri"/>
                <w:i w:val="0"/>
                <w:color w:val="000000"/>
                <w:sz w:val="22"/>
                <w:szCs w:val="22"/>
                <w:u w:val="none"/>
              </w:rPr>
            </w:pPr>
          </w:p>
        </w:tc>
        <w:tc>
          <w:tcPr>
            <w:tcW w:w="1878" w:type="dxa"/>
            <w:tcBorders>
              <w:top w:val="single" w:color="000000" w:sz="4" w:space="0"/>
              <w:left w:val="single" w:color="000000" w:sz="4" w:space="0"/>
              <w:bottom w:val="single" w:color="000000" w:sz="4" w:space="0"/>
              <w:right w:val="single" w:color="000000" w:sz="4" w:space="0"/>
            </w:tcBorders>
            <w:shd w:val="clear" w:color="auto" w:fill="auto"/>
            <w:vAlign w:val="top"/>
          </w:tcPr>
          <w:p w14:paraId="272D3C05">
            <w:pPr>
              <w:jc w:val="right"/>
              <w:rPr>
                <w:rFonts w:hint="default" w:ascii="Calibri" w:hAnsi="Calibri" w:eastAsia="宋体" w:cs="Calibri"/>
                <w:i w:val="0"/>
                <w:color w:val="000000"/>
                <w:sz w:val="22"/>
                <w:szCs w:val="22"/>
                <w:u w:val="none"/>
              </w:rPr>
            </w:pPr>
          </w:p>
        </w:tc>
      </w:tr>
      <w:tr w14:paraId="54012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71" w:hRule="atLeast"/>
        </w:trPr>
        <w:tc>
          <w:tcPr>
            <w:tcW w:w="8042" w:type="dxa"/>
            <w:gridSpan w:val="3"/>
            <w:shd w:val="clear" w:color="auto" w:fill="auto"/>
            <w:vAlign w:val="top"/>
          </w:tcPr>
          <w:p w14:paraId="00672C01">
            <w:pPr>
              <w:keepNext w:val="0"/>
              <w:keepLines w:val="0"/>
              <w:widowControl/>
              <w:suppressLineNumbers w:val="0"/>
              <w:jc w:val="lef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备注：无政府基金预算财政拨款预算，空表列示。</w:t>
            </w:r>
          </w:p>
        </w:tc>
        <w:tc>
          <w:tcPr>
            <w:tcW w:w="2297" w:type="dxa"/>
            <w:shd w:val="clear" w:color="auto" w:fill="auto"/>
            <w:vAlign w:val="center"/>
          </w:tcPr>
          <w:p w14:paraId="10BCC7DC">
            <w:pPr>
              <w:jc w:val="left"/>
              <w:rPr>
                <w:rFonts w:hint="eastAsia" w:ascii="宋体" w:hAnsi="宋体" w:eastAsia="宋体" w:cs="宋体"/>
                <w:i w:val="0"/>
                <w:color w:val="000000"/>
                <w:sz w:val="22"/>
                <w:szCs w:val="22"/>
                <w:u w:val="none"/>
              </w:rPr>
            </w:pPr>
          </w:p>
        </w:tc>
        <w:tc>
          <w:tcPr>
            <w:tcW w:w="1770" w:type="dxa"/>
            <w:shd w:val="clear" w:color="auto" w:fill="auto"/>
            <w:vAlign w:val="center"/>
          </w:tcPr>
          <w:p w14:paraId="08A7A394">
            <w:pPr>
              <w:jc w:val="left"/>
              <w:rPr>
                <w:rFonts w:hint="eastAsia" w:ascii="宋体" w:hAnsi="宋体" w:eastAsia="宋体" w:cs="宋体"/>
                <w:i w:val="0"/>
                <w:color w:val="000000"/>
                <w:sz w:val="22"/>
                <w:szCs w:val="22"/>
                <w:u w:val="none"/>
              </w:rPr>
            </w:pPr>
          </w:p>
        </w:tc>
        <w:tc>
          <w:tcPr>
            <w:tcW w:w="1878" w:type="dxa"/>
            <w:shd w:val="clear" w:color="auto" w:fill="auto"/>
            <w:vAlign w:val="center"/>
          </w:tcPr>
          <w:p w14:paraId="67A149F6">
            <w:pPr>
              <w:jc w:val="left"/>
              <w:rPr>
                <w:rFonts w:hint="eastAsia" w:ascii="宋体" w:hAnsi="宋体" w:eastAsia="宋体" w:cs="宋体"/>
                <w:i w:val="0"/>
                <w:color w:val="000000"/>
                <w:sz w:val="22"/>
                <w:szCs w:val="22"/>
                <w:u w:val="none"/>
              </w:rPr>
            </w:pPr>
          </w:p>
        </w:tc>
      </w:tr>
    </w:tbl>
    <w:p w14:paraId="4FC64A6D">
      <w:pPr>
        <w:spacing w:line="560" w:lineRule="exact"/>
        <w:jc w:val="center"/>
        <w:rPr>
          <w:rFonts w:hint="eastAsia" w:ascii="宋体" w:hAnsi="宋体"/>
          <w:b/>
          <w:sz w:val="44"/>
          <w:szCs w:val="44"/>
        </w:rPr>
      </w:pPr>
    </w:p>
    <w:p w14:paraId="0E0E288D">
      <w:pPr>
        <w:spacing w:line="560" w:lineRule="exact"/>
        <w:jc w:val="center"/>
        <w:rPr>
          <w:rFonts w:hint="eastAsia" w:ascii="宋体" w:hAnsi="宋体"/>
          <w:b/>
          <w:sz w:val="44"/>
          <w:szCs w:val="44"/>
        </w:rPr>
      </w:pPr>
    </w:p>
    <w:p w14:paraId="0558A060">
      <w:pPr>
        <w:spacing w:line="560" w:lineRule="exact"/>
        <w:jc w:val="center"/>
        <w:rPr>
          <w:rFonts w:hint="eastAsia" w:ascii="宋体" w:hAnsi="宋体"/>
          <w:b/>
          <w:sz w:val="44"/>
          <w:szCs w:val="44"/>
        </w:rPr>
      </w:pPr>
    </w:p>
    <w:p w14:paraId="02F2C680">
      <w:pPr>
        <w:spacing w:line="560" w:lineRule="exact"/>
        <w:jc w:val="center"/>
        <w:rPr>
          <w:rFonts w:hint="eastAsia" w:ascii="宋体" w:hAnsi="宋体"/>
          <w:b/>
          <w:sz w:val="44"/>
          <w:szCs w:val="44"/>
        </w:rPr>
      </w:pPr>
    </w:p>
    <w:p w14:paraId="27BF5DB0">
      <w:pPr>
        <w:spacing w:line="560" w:lineRule="exact"/>
        <w:jc w:val="center"/>
        <w:rPr>
          <w:rFonts w:hint="eastAsia" w:ascii="宋体" w:hAnsi="宋体"/>
          <w:b/>
          <w:sz w:val="44"/>
          <w:szCs w:val="44"/>
        </w:rPr>
      </w:pPr>
    </w:p>
    <w:p w14:paraId="2E85E787">
      <w:pPr>
        <w:spacing w:line="560" w:lineRule="exact"/>
        <w:jc w:val="center"/>
        <w:rPr>
          <w:rFonts w:hint="eastAsia" w:ascii="宋体" w:hAnsi="宋体"/>
          <w:b/>
          <w:sz w:val="44"/>
          <w:szCs w:val="44"/>
        </w:rPr>
      </w:pPr>
    </w:p>
    <w:p w14:paraId="5ED7DD35">
      <w:pPr>
        <w:spacing w:line="560" w:lineRule="exact"/>
        <w:jc w:val="center"/>
        <w:rPr>
          <w:rFonts w:hint="eastAsia" w:ascii="宋体" w:hAnsi="宋体"/>
          <w:b/>
          <w:sz w:val="44"/>
          <w:szCs w:val="44"/>
        </w:rPr>
      </w:pPr>
    </w:p>
    <w:p w14:paraId="4E6EF34F">
      <w:pPr>
        <w:spacing w:line="560" w:lineRule="exact"/>
        <w:jc w:val="center"/>
        <w:rPr>
          <w:rFonts w:hint="eastAsia" w:ascii="宋体" w:hAnsi="宋体"/>
          <w:b/>
          <w:sz w:val="44"/>
          <w:szCs w:val="44"/>
        </w:rPr>
      </w:pPr>
    </w:p>
    <w:p w14:paraId="5D01D5C0">
      <w:pPr>
        <w:spacing w:line="560" w:lineRule="exact"/>
        <w:jc w:val="center"/>
        <w:rPr>
          <w:rFonts w:hint="eastAsia" w:ascii="宋体" w:hAnsi="宋体"/>
          <w:b/>
          <w:sz w:val="44"/>
          <w:szCs w:val="44"/>
        </w:rPr>
      </w:pPr>
    </w:p>
    <w:tbl>
      <w:tblPr>
        <w:tblStyle w:val="5"/>
        <w:tblW w:w="1398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967"/>
        <w:gridCol w:w="2904"/>
        <w:gridCol w:w="3871"/>
        <w:gridCol w:w="2012"/>
        <w:gridCol w:w="2070"/>
        <w:gridCol w:w="2164"/>
      </w:tblGrid>
      <w:tr w14:paraId="0C7CEE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60" w:hRule="atLeast"/>
        </w:trPr>
        <w:tc>
          <w:tcPr>
            <w:tcW w:w="13988" w:type="dxa"/>
            <w:gridSpan w:val="6"/>
            <w:shd w:val="clear" w:color="auto" w:fill="auto"/>
            <w:vAlign w:val="center"/>
          </w:tcPr>
          <w:p w14:paraId="0EDED2F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36"/>
                <w:szCs w:val="36"/>
                <w:u w:val="none"/>
                <w:lang w:val="en-US" w:eastAsia="zh-CN" w:bidi="ar"/>
              </w:rPr>
              <w:t>部门预算国有资本经营预算财政拨款支出表</w:t>
            </w:r>
          </w:p>
        </w:tc>
      </w:tr>
      <w:tr w14:paraId="27901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9754" w:type="dxa"/>
            <w:gridSpan w:val="4"/>
            <w:shd w:val="clear" w:color="auto" w:fill="auto"/>
            <w:vAlign w:val="center"/>
          </w:tcPr>
          <w:p w14:paraId="1C41BD7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预算单位编码及名称：[315]宁晋县司法局</w:t>
            </w:r>
          </w:p>
        </w:tc>
        <w:tc>
          <w:tcPr>
            <w:tcW w:w="2070" w:type="dxa"/>
            <w:shd w:val="clear" w:color="auto" w:fill="auto"/>
            <w:vAlign w:val="center"/>
          </w:tcPr>
          <w:p w14:paraId="2630C8E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2164" w:type="dxa"/>
            <w:shd w:val="clear" w:color="auto" w:fill="auto"/>
            <w:vAlign w:val="center"/>
          </w:tcPr>
          <w:p w14:paraId="36E1AAA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14:paraId="54202D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96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F8E33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67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3C0E4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支出功能分类科目</w:t>
            </w:r>
          </w:p>
        </w:tc>
        <w:tc>
          <w:tcPr>
            <w:tcW w:w="201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AB2DF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4BA60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2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DD120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14:paraId="151A55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9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9386F2">
            <w:pPr>
              <w:jc w:val="center"/>
              <w:rPr>
                <w:rFonts w:hint="eastAsia" w:ascii="宋体" w:hAnsi="宋体" w:eastAsia="宋体" w:cs="宋体"/>
                <w:i w:val="0"/>
                <w:color w:val="000000"/>
                <w:sz w:val="22"/>
                <w:szCs w:val="22"/>
                <w:u w:val="none"/>
              </w:rPr>
            </w:pPr>
          </w:p>
        </w:tc>
        <w:tc>
          <w:tcPr>
            <w:tcW w:w="2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A240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3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A075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20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7B7C7D">
            <w:pPr>
              <w:jc w:val="center"/>
              <w:rPr>
                <w:rFonts w:hint="eastAsia" w:ascii="宋体" w:hAnsi="宋体" w:eastAsia="宋体" w:cs="宋体"/>
                <w:i w:val="0"/>
                <w:color w:val="000000"/>
                <w:sz w:val="22"/>
                <w:szCs w:val="22"/>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BFCF18">
            <w:pPr>
              <w:jc w:val="center"/>
              <w:rPr>
                <w:rFonts w:hint="eastAsia" w:ascii="宋体" w:hAnsi="宋体" w:eastAsia="宋体" w:cs="宋体"/>
                <w:i w:val="0"/>
                <w:color w:val="000000"/>
                <w:sz w:val="22"/>
                <w:szCs w:val="22"/>
                <w:u w:val="none"/>
              </w:rPr>
            </w:pPr>
          </w:p>
        </w:tc>
        <w:tc>
          <w:tcPr>
            <w:tcW w:w="2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1BF209">
            <w:pPr>
              <w:jc w:val="center"/>
              <w:rPr>
                <w:rFonts w:hint="eastAsia" w:ascii="宋体" w:hAnsi="宋体" w:eastAsia="宋体" w:cs="宋体"/>
                <w:i w:val="0"/>
                <w:color w:val="000000"/>
                <w:sz w:val="22"/>
                <w:szCs w:val="22"/>
                <w:u w:val="none"/>
              </w:rPr>
            </w:pPr>
          </w:p>
        </w:tc>
      </w:tr>
      <w:tr w14:paraId="3AC727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7428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2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4BF5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3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EF7D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20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C0E0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BC45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2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606B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6FF83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967" w:type="dxa"/>
            <w:tcBorders>
              <w:top w:val="single" w:color="000000" w:sz="4" w:space="0"/>
              <w:left w:val="single" w:color="000000" w:sz="4" w:space="0"/>
              <w:bottom w:val="single" w:color="000000" w:sz="4" w:space="0"/>
              <w:right w:val="single" w:color="000000" w:sz="4" w:space="0"/>
            </w:tcBorders>
            <w:shd w:val="clear" w:color="auto" w:fill="auto"/>
            <w:vAlign w:val="top"/>
          </w:tcPr>
          <w:p w14:paraId="5E060E12">
            <w:pPr>
              <w:jc w:val="center"/>
              <w:rPr>
                <w:rFonts w:hint="eastAsia" w:ascii="Calibri" w:hAnsi="Calibri" w:eastAsia="宋体" w:cs="Calibri"/>
                <w:i w:val="0"/>
                <w:color w:val="000000"/>
                <w:sz w:val="22"/>
                <w:szCs w:val="22"/>
                <w:u w:val="none"/>
              </w:rPr>
            </w:pPr>
          </w:p>
        </w:tc>
        <w:tc>
          <w:tcPr>
            <w:tcW w:w="2904" w:type="dxa"/>
            <w:tcBorders>
              <w:top w:val="single" w:color="000000" w:sz="4" w:space="0"/>
              <w:left w:val="single" w:color="000000" w:sz="4" w:space="0"/>
              <w:bottom w:val="single" w:color="000000" w:sz="4" w:space="0"/>
              <w:right w:val="single" w:color="000000" w:sz="4" w:space="0"/>
            </w:tcBorders>
            <w:shd w:val="clear" w:color="auto" w:fill="auto"/>
            <w:vAlign w:val="top"/>
          </w:tcPr>
          <w:p w14:paraId="024D3875">
            <w:pPr>
              <w:jc w:val="left"/>
              <w:rPr>
                <w:rFonts w:hint="default" w:ascii="Calibri" w:hAnsi="Calibri" w:eastAsia="宋体" w:cs="Calibri"/>
                <w:i w:val="0"/>
                <w:color w:val="000000"/>
                <w:sz w:val="22"/>
                <w:szCs w:val="22"/>
                <w:u w:val="none"/>
              </w:rPr>
            </w:pPr>
          </w:p>
        </w:tc>
        <w:tc>
          <w:tcPr>
            <w:tcW w:w="3871" w:type="dxa"/>
            <w:tcBorders>
              <w:top w:val="single" w:color="000000" w:sz="4" w:space="0"/>
              <w:left w:val="single" w:color="000000" w:sz="4" w:space="0"/>
              <w:bottom w:val="single" w:color="000000" w:sz="4" w:space="0"/>
              <w:right w:val="single" w:color="000000" w:sz="4" w:space="0"/>
            </w:tcBorders>
            <w:shd w:val="clear" w:color="auto" w:fill="auto"/>
            <w:vAlign w:val="top"/>
          </w:tcPr>
          <w:p w14:paraId="7346D506">
            <w:pPr>
              <w:jc w:val="left"/>
              <w:rPr>
                <w:rFonts w:hint="default" w:ascii="Calibri" w:hAnsi="Calibri" w:eastAsia="宋体" w:cs="Calibri"/>
                <w:i w:val="0"/>
                <w:color w:val="000000"/>
                <w:sz w:val="22"/>
                <w:szCs w:val="22"/>
                <w:u w:val="none"/>
              </w:rPr>
            </w:pPr>
          </w:p>
        </w:tc>
        <w:tc>
          <w:tcPr>
            <w:tcW w:w="2012" w:type="dxa"/>
            <w:tcBorders>
              <w:top w:val="single" w:color="000000" w:sz="4" w:space="0"/>
              <w:left w:val="single" w:color="000000" w:sz="4" w:space="0"/>
              <w:bottom w:val="single" w:color="000000" w:sz="4" w:space="0"/>
              <w:right w:val="single" w:color="000000" w:sz="4" w:space="0"/>
            </w:tcBorders>
            <w:shd w:val="clear" w:color="auto" w:fill="auto"/>
            <w:vAlign w:val="top"/>
          </w:tcPr>
          <w:p w14:paraId="060C8BCD">
            <w:pPr>
              <w:jc w:val="right"/>
              <w:rPr>
                <w:rFonts w:hint="default" w:ascii="Calibri" w:hAnsi="Calibri" w:eastAsia="宋体" w:cs="Calibri"/>
                <w:i w:val="0"/>
                <w:color w:val="000000"/>
                <w:sz w:val="22"/>
                <w:szCs w:val="22"/>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top"/>
          </w:tcPr>
          <w:p w14:paraId="7560D398">
            <w:pPr>
              <w:jc w:val="right"/>
              <w:rPr>
                <w:rFonts w:hint="default" w:ascii="Calibri" w:hAnsi="Calibri" w:eastAsia="宋体" w:cs="Calibri"/>
                <w:i w:val="0"/>
                <w:color w:val="000000"/>
                <w:sz w:val="22"/>
                <w:szCs w:val="22"/>
                <w:u w:val="none"/>
              </w:rPr>
            </w:pPr>
          </w:p>
        </w:tc>
        <w:tc>
          <w:tcPr>
            <w:tcW w:w="2164" w:type="dxa"/>
            <w:tcBorders>
              <w:top w:val="single" w:color="000000" w:sz="4" w:space="0"/>
              <w:left w:val="single" w:color="000000" w:sz="4" w:space="0"/>
              <w:bottom w:val="single" w:color="000000" w:sz="4" w:space="0"/>
              <w:right w:val="single" w:color="000000" w:sz="4" w:space="0"/>
            </w:tcBorders>
            <w:shd w:val="clear" w:color="auto" w:fill="auto"/>
            <w:vAlign w:val="top"/>
          </w:tcPr>
          <w:p w14:paraId="00B94D66">
            <w:pPr>
              <w:jc w:val="right"/>
              <w:rPr>
                <w:rFonts w:hint="default" w:ascii="Calibri" w:hAnsi="Calibri" w:eastAsia="宋体" w:cs="Calibri"/>
                <w:i w:val="0"/>
                <w:color w:val="000000"/>
                <w:sz w:val="22"/>
                <w:szCs w:val="22"/>
                <w:u w:val="none"/>
              </w:rPr>
            </w:pPr>
          </w:p>
        </w:tc>
      </w:tr>
      <w:tr w14:paraId="54D417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967" w:type="dxa"/>
            <w:tcBorders>
              <w:top w:val="single" w:color="000000" w:sz="4" w:space="0"/>
              <w:left w:val="single" w:color="000000" w:sz="4" w:space="0"/>
              <w:bottom w:val="single" w:color="000000" w:sz="4" w:space="0"/>
              <w:right w:val="single" w:color="000000" w:sz="4" w:space="0"/>
            </w:tcBorders>
            <w:shd w:val="clear" w:color="auto" w:fill="auto"/>
            <w:vAlign w:val="top"/>
          </w:tcPr>
          <w:p w14:paraId="77F14867">
            <w:pPr>
              <w:jc w:val="center"/>
              <w:rPr>
                <w:rFonts w:hint="default" w:ascii="Calibri" w:hAnsi="Calibri" w:eastAsia="宋体" w:cs="Calibri"/>
                <w:i w:val="0"/>
                <w:color w:val="000000"/>
                <w:sz w:val="22"/>
                <w:szCs w:val="22"/>
                <w:u w:val="none"/>
              </w:rPr>
            </w:pPr>
          </w:p>
        </w:tc>
        <w:tc>
          <w:tcPr>
            <w:tcW w:w="2904" w:type="dxa"/>
            <w:tcBorders>
              <w:top w:val="single" w:color="000000" w:sz="4" w:space="0"/>
              <w:left w:val="single" w:color="000000" w:sz="4" w:space="0"/>
              <w:bottom w:val="single" w:color="000000" w:sz="4" w:space="0"/>
              <w:right w:val="single" w:color="000000" w:sz="4" w:space="0"/>
            </w:tcBorders>
            <w:shd w:val="clear" w:color="auto" w:fill="auto"/>
            <w:vAlign w:val="top"/>
          </w:tcPr>
          <w:p w14:paraId="74929E70">
            <w:pPr>
              <w:jc w:val="left"/>
              <w:rPr>
                <w:rFonts w:hint="default" w:ascii="Calibri" w:hAnsi="Calibri" w:eastAsia="宋体" w:cs="Calibri"/>
                <w:i w:val="0"/>
                <w:color w:val="000000"/>
                <w:sz w:val="22"/>
                <w:szCs w:val="22"/>
                <w:u w:val="none"/>
              </w:rPr>
            </w:pPr>
          </w:p>
        </w:tc>
        <w:tc>
          <w:tcPr>
            <w:tcW w:w="3871" w:type="dxa"/>
            <w:tcBorders>
              <w:top w:val="single" w:color="000000" w:sz="4" w:space="0"/>
              <w:left w:val="single" w:color="000000" w:sz="4" w:space="0"/>
              <w:bottom w:val="single" w:color="000000" w:sz="4" w:space="0"/>
              <w:right w:val="single" w:color="000000" w:sz="4" w:space="0"/>
            </w:tcBorders>
            <w:shd w:val="clear" w:color="auto" w:fill="auto"/>
            <w:vAlign w:val="top"/>
          </w:tcPr>
          <w:p w14:paraId="440FA126">
            <w:pPr>
              <w:jc w:val="left"/>
              <w:rPr>
                <w:rFonts w:hint="default" w:ascii="Calibri" w:hAnsi="Calibri" w:eastAsia="宋体" w:cs="Calibri"/>
                <w:i w:val="0"/>
                <w:color w:val="000000"/>
                <w:sz w:val="22"/>
                <w:szCs w:val="22"/>
                <w:u w:val="none"/>
              </w:rPr>
            </w:pPr>
          </w:p>
        </w:tc>
        <w:tc>
          <w:tcPr>
            <w:tcW w:w="2012" w:type="dxa"/>
            <w:tcBorders>
              <w:top w:val="single" w:color="000000" w:sz="4" w:space="0"/>
              <w:left w:val="single" w:color="000000" w:sz="4" w:space="0"/>
              <w:bottom w:val="single" w:color="000000" w:sz="4" w:space="0"/>
              <w:right w:val="single" w:color="000000" w:sz="4" w:space="0"/>
            </w:tcBorders>
            <w:shd w:val="clear" w:color="auto" w:fill="auto"/>
            <w:vAlign w:val="top"/>
          </w:tcPr>
          <w:p w14:paraId="0FDD5614">
            <w:pPr>
              <w:jc w:val="right"/>
              <w:rPr>
                <w:rFonts w:hint="default" w:ascii="Calibri" w:hAnsi="Calibri" w:eastAsia="宋体" w:cs="Calibri"/>
                <w:i w:val="0"/>
                <w:color w:val="000000"/>
                <w:sz w:val="22"/>
                <w:szCs w:val="22"/>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top"/>
          </w:tcPr>
          <w:p w14:paraId="14BE7153">
            <w:pPr>
              <w:jc w:val="right"/>
              <w:rPr>
                <w:rFonts w:hint="default" w:ascii="Calibri" w:hAnsi="Calibri" w:eastAsia="宋体" w:cs="Calibri"/>
                <w:i w:val="0"/>
                <w:color w:val="000000"/>
                <w:sz w:val="22"/>
                <w:szCs w:val="22"/>
                <w:u w:val="none"/>
              </w:rPr>
            </w:pPr>
          </w:p>
        </w:tc>
        <w:tc>
          <w:tcPr>
            <w:tcW w:w="2164" w:type="dxa"/>
            <w:tcBorders>
              <w:top w:val="single" w:color="000000" w:sz="4" w:space="0"/>
              <w:left w:val="single" w:color="000000" w:sz="4" w:space="0"/>
              <w:bottom w:val="single" w:color="000000" w:sz="4" w:space="0"/>
              <w:right w:val="single" w:color="000000" w:sz="4" w:space="0"/>
            </w:tcBorders>
            <w:shd w:val="clear" w:color="auto" w:fill="auto"/>
            <w:vAlign w:val="top"/>
          </w:tcPr>
          <w:p w14:paraId="08B833B6">
            <w:pPr>
              <w:jc w:val="right"/>
              <w:rPr>
                <w:rFonts w:hint="default" w:ascii="Calibri" w:hAnsi="Calibri" w:eastAsia="宋体" w:cs="Calibri"/>
                <w:i w:val="0"/>
                <w:color w:val="000000"/>
                <w:sz w:val="22"/>
                <w:szCs w:val="22"/>
                <w:u w:val="none"/>
              </w:rPr>
            </w:pPr>
          </w:p>
        </w:tc>
      </w:tr>
      <w:tr w14:paraId="569EDF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7742" w:type="dxa"/>
            <w:gridSpan w:val="3"/>
            <w:shd w:val="clear" w:color="auto" w:fill="auto"/>
            <w:vAlign w:val="top"/>
          </w:tcPr>
          <w:p w14:paraId="3FB3FF6A">
            <w:pPr>
              <w:jc w:val="left"/>
              <w:rPr>
                <w:rFonts w:hint="default" w:ascii="Calibri" w:hAnsi="Calibri" w:eastAsia="宋体" w:cs="Calibri"/>
                <w:i w:val="0"/>
                <w:color w:val="000000"/>
                <w:sz w:val="22"/>
                <w:szCs w:val="22"/>
                <w:u w:val="none"/>
              </w:rPr>
            </w:pPr>
            <w:r>
              <w:rPr>
                <w:rFonts w:hint="eastAsia" w:ascii="宋体" w:hAnsi="宋体" w:eastAsia="宋体" w:cs="宋体"/>
                <w:i w:val="0"/>
                <w:color w:val="000000"/>
                <w:kern w:val="0"/>
                <w:sz w:val="22"/>
                <w:szCs w:val="22"/>
                <w:u w:val="none"/>
                <w:lang w:val="en-US" w:eastAsia="zh-CN" w:bidi="ar"/>
              </w:rPr>
              <w:t>备注：无国有资本经营预算财政拨款预算，空表列示。</w:t>
            </w:r>
          </w:p>
        </w:tc>
        <w:tc>
          <w:tcPr>
            <w:tcW w:w="2012" w:type="dxa"/>
            <w:shd w:val="clear" w:color="auto" w:fill="auto"/>
            <w:vAlign w:val="center"/>
          </w:tcPr>
          <w:p w14:paraId="4E38CCA0">
            <w:pPr>
              <w:jc w:val="left"/>
              <w:rPr>
                <w:rFonts w:hint="eastAsia" w:ascii="宋体" w:hAnsi="宋体" w:eastAsia="宋体" w:cs="宋体"/>
                <w:i w:val="0"/>
                <w:color w:val="000000"/>
                <w:sz w:val="22"/>
                <w:szCs w:val="22"/>
                <w:u w:val="none"/>
              </w:rPr>
            </w:pPr>
          </w:p>
        </w:tc>
        <w:tc>
          <w:tcPr>
            <w:tcW w:w="2070" w:type="dxa"/>
            <w:shd w:val="clear" w:color="auto" w:fill="auto"/>
            <w:vAlign w:val="center"/>
          </w:tcPr>
          <w:p w14:paraId="744D30C2">
            <w:pPr>
              <w:jc w:val="left"/>
              <w:rPr>
                <w:rFonts w:hint="eastAsia" w:ascii="宋体" w:hAnsi="宋体" w:eastAsia="宋体" w:cs="宋体"/>
                <w:i w:val="0"/>
                <w:color w:val="000000"/>
                <w:sz w:val="22"/>
                <w:szCs w:val="22"/>
                <w:u w:val="none"/>
              </w:rPr>
            </w:pPr>
          </w:p>
        </w:tc>
        <w:tc>
          <w:tcPr>
            <w:tcW w:w="2164" w:type="dxa"/>
            <w:shd w:val="clear" w:color="auto" w:fill="auto"/>
            <w:vAlign w:val="center"/>
          </w:tcPr>
          <w:p w14:paraId="790CE5B0">
            <w:pPr>
              <w:jc w:val="left"/>
              <w:rPr>
                <w:rFonts w:hint="eastAsia" w:ascii="宋体" w:hAnsi="宋体" w:eastAsia="宋体" w:cs="宋体"/>
                <w:i w:val="0"/>
                <w:color w:val="000000"/>
                <w:sz w:val="22"/>
                <w:szCs w:val="22"/>
                <w:u w:val="none"/>
              </w:rPr>
            </w:pPr>
          </w:p>
        </w:tc>
      </w:tr>
    </w:tbl>
    <w:p w14:paraId="3681B107">
      <w:pPr>
        <w:spacing w:line="560" w:lineRule="exact"/>
        <w:jc w:val="center"/>
        <w:rPr>
          <w:rFonts w:hint="eastAsia" w:ascii="宋体" w:hAnsi="宋体"/>
          <w:b/>
          <w:sz w:val="44"/>
          <w:szCs w:val="44"/>
        </w:rPr>
      </w:pPr>
    </w:p>
    <w:p w14:paraId="05795A55">
      <w:pPr>
        <w:spacing w:line="560" w:lineRule="exact"/>
        <w:jc w:val="center"/>
        <w:rPr>
          <w:rFonts w:hint="eastAsia" w:ascii="宋体" w:hAnsi="宋体"/>
          <w:b/>
          <w:sz w:val="44"/>
          <w:szCs w:val="44"/>
        </w:rPr>
      </w:pPr>
    </w:p>
    <w:p w14:paraId="108B0096">
      <w:pPr>
        <w:spacing w:line="560" w:lineRule="exact"/>
        <w:jc w:val="center"/>
        <w:rPr>
          <w:rFonts w:hint="eastAsia" w:ascii="宋体" w:hAnsi="宋体"/>
          <w:b/>
          <w:sz w:val="44"/>
          <w:szCs w:val="44"/>
        </w:rPr>
      </w:pPr>
    </w:p>
    <w:p w14:paraId="72E7BF8B">
      <w:pPr>
        <w:spacing w:line="560" w:lineRule="exact"/>
        <w:jc w:val="center"/>
        <w:rPr>
          <w:rFonts w:hint="eastAsia" w:ascii="宋体" w:hAnsi="宋体"/>
          <w:b/>
          <w:sz w:val="44"/>
          <w:szCs w:val="44"/>
        </w:rPr>
      </w:pPr>
    </w:p>
    <w:p w14:paraId="3386C2D0">
      <w:pPr>
        <w:spacing w:line="560" w:lineRule="exact"/>
        <w:jc w:val="center"/>
        <w:rPr>
          <w:rFonts w:hint="eastAsia" w:ascii="宋体" w:hAnsi="宋体"/>
          <w:b/>
          <w:sz w:val="44"/>
          <w:szCs w:val="44"/>
        </w:rPr>
      </w:pPr>
    </w:p>
    <w:p w14:paraId="27DCD28C">
      <w:pPr>
        <w:spacing w:line="560" w:lineRule="exact"/>
        <w:jc w:val="center"/>
        <w:rPr>
          <w:rFonts w:hint="eastAsia" w:ascii="宋体" w:hAnsi="宋体"/>
          <w:b/>
          <w:sz w:val="44"/>
          <w:szCs w:val="44"/>
        </w:rPr>
      </w:pPr>
    </w:p>
    <w:p w14:paraId="43BDAFD1">
      <w:pPr>
        <w:spacing w:line="560" w:lineRule="exact"/>
        <w:jc w:val="center"/>
        <w:rPr>
          <w:rFonts w:hint="eastAsia" w:ascii="宋体" w:hAnsi="宋体"/>
          <w:b/>
          <w:sz w:val="44"/>
          <w:szCs w:val="44"/>
        </w:rPr>
      </w:pPr>
    </w:p>
    <w:p w14:paraId="12AD3392">
      <w:pPr>
        <w:spacing w:line="560" w:lineRule="exact"/>
        <w:jc w:val="center"/>
        <w:rPr>
          <w:rFonts w:hint="eastAsia" w:ascii="宋体" w:hAnsi="宋体"/>
          <w:b/>
          <w:sz w:val="44"/>
          <w:szCs w:val="44"/>
        </w:rPr>
      </w:pPr>
    </w:p>
    <w:p w14:paraId="3CCB0140">
      <w:pPr>
        <w:spacing w:line="560" w:lineRule="exact"/>
        <w:jc w:val="center"/>
        <w:rPr>
          <w:rFonts w:hint="eastAsia" w:ascii="宋体" w:hAnsi="宋体"/>
          <w:b/>
          <w:sz w:val="44"/>
          <w:szCs w:val="44"/>
        </w:rPr>
      </w:pPr>
    </w:p>
    <w:tbl>
      <w:tblPr>
        <w:tblStyle w:val="5"/>
        <w:tblW w:w="1398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867"/>
        <w:gridCol w:w="4190"/>
        <w:gridCol w:w="3152"/>
        <w:gridCol w:w="1344"/>
        <w:gridCol w:w="516"/>
        <w:gridCol w:w="590"/>
        <w:gridCol w:w="1045"/>
        <w:gridCol w:w="2284"/>
      </w:tblGrid>
      <w:tr w14:paraId="5C9893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60" w:hRule="atLeast"/>
        </w:trPr>
        <w:tc>
          <w:tcPr>
            <w:tcW w:w="13988" w:type="dxa"/>
            <w:gridSpan w:val="8"/>
            <w:shd w:val="clear" w:color="auto" w:fill="auto"/>
            <w:vAlign w:val="center"/>
          </w:tcPr>
          <w:p w14:paraId="67B2CF2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36"/>
                <w:szCs w:val="36"/>
                <w:u w:val="none"/>
                <w:lang w:val="en-US" w:eastAsia="zh-CN" w:bidi="ar"/>
              </w:rPr>
              <w:t>部门预算财政拨款“三公”经费支出表</w:t>
            </w:r>
          </w:p>
        </w:tc>
      </w:tr>
      <w:tr w14:paraId="119E9D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9553" w:type="dxa"/>
            <w:gridSpan w:val="4"/>
            <w:shd w:val="clear" w:color="auto" w:fill="auto"/>
            <w:vAlign w:val="center"/>
          </w:tcPr>
          <w:p w14:paraId="328537D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预算单位编码及名称：[315]宁晋县司法局</w:t>
            </w:r>
          </w:p>
        </w:tc>
        <w:tc>
          <w:tcPr>
            <w:tcW w:w="1106" w:type="dxa"/>
            <w:gridSpan w:val="2"/>
            <w:shd w:val="clear" w:color="auto" w:fill="auto"/>
            <w:vAlign w:val="center"/>
          </w:tcPr>
          <w:p w14:paraId="76623CD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3329" w:type="dxa"/>
            <w:gridSpan w:val="2"/>
            <w:shd w:val="clear" w:color="auto" w:fill="auto"/>
            <w:vAlign w:val="center"/>
          </w:tcPr>
          <w:p w14:paraId="3F14953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14:paraId="497EAA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86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3C3477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41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8CCE0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893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327A18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资金性质</w:t>
            </w:r>
          </w:p>
        </w:tc>
      </w:tr>
      <w:tr w14:paraId="18D082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8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1EDA72">
            <w:pPr>
              <w:jc w:val="center"/>
              <w:rPr>
                <w:rFonts w:hint="eastAsia" w:ascii="宋体" w:hAnsi="宋体" w:eastAsia="宋体" w:cs="宋体"/>
                <w:i w:val="0"/>
                <w:color w:val="000000"/>
                <w:sz w:val="22"/>
                <w:szCs w:val="22"/>
                <w:u w:val="none"/>
              </w:rPr>
            </w:pPr>
          </w:p>
        </w:tc>
        <w:tc>
          <w:tcPr>
            <w:tcW w:w="41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736762">
            <w:pPr>
              <w:jc w:val="center"/>
              <w:rPr>
                <w:rFonts w:hint="eastAsia" w:ascii="宋体" w:hAnsi="宋体" w:eastAsia="宋体" w:cs="宋体"/>
                <w:i w:val="0"/>
                <w:color w:val="000000"/>
                <w:sz w:val="22"/>
                <w:szCs w:val="22"/>
                <w:u w:val="none"/>
              </w:rPr>
            </w:pPr>
          </w:p>
        </w:tc>
        <w:tc>
          <w:tcPr>
            <w:tcW w:w="3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66C9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AD23F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一般公共预算财政拨款</w:t>
            </w:r>
          </w:p>
        </w:tc>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D88B2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政府性基金财政拨款</w:t>
            </w:r>
          </w:p>
        </w:tc>
        <w:tc>
          <w:tcPr>
            <w:tcW w:w="2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52AC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国有资本经营预算财政拨款</w:t>
            </w:r>
          </w:p>
        </w:tc>
      </w:tr>
      <w:tr w14:paraId="2CE354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7304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368E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3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46F5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DA4E8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76690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2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70AE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75707B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vAlign w:val="top"/>
          </w:tcPr>
          <w:p w14:paraId="0F62E0ED">
            <w:pPr>
              <w:keepNext w:val="0"/>
              <w:keepLines w:val="0"/>
              <w:widowControl/>
              <w:suppressLineNumbers w:val="0"/>
              <w:jc w:val="center"/>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top"/>
          </w:tcPr>
          <w:p w14:paraId="4343CA5F">
            <w:pPr>
              <w:keepNext w:val="0"/>
              <w:keepLines w:val="0"/>
              <w:widowControl/>
              <w:suppressLineNumbers w:val="0"/>
              <w:jc w:val="lef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3152" w:type="dxa"/>
            <w:tcBorders>
              <w:top w:val="single" w:color="000000" w:sz="4" w:space="0"/>
              <w:left w:val="single" w:color="000000" w:sz="4" w:space="0"/>
              <w:bottom w:val="single" w:color="000000" w:sz="4" w:space="0"/>
              <w:right w:val="single" w:color="000000" w:sz="4" w:space="0"/>
            </w:tcBorders>
            <w:shd w:val="clear" w:color="auto" w:fill="auto"/>
            <w:vAlign w:val="top"/>
          </w:tcPr>
          <w:p w14:paraId="6315BD31">
            <w:pPr>
              <w:keepNext w:val="0"/>
              <w:keepLines w:val="0"/>
              <w:widowControl/>
              <w:suppressLineNumbers w:val="0"/>
              <w:jc w:val="right"/>
              <w:textAlignment w:val="top"/>
              <w:rPr>
                <w:rFonts w:hint="default" w:ascii="宋体" w:hAnsi="宋体" w:eastAsia="宋体" w:cs="宋体"/>
                <w:i w:val="0"/>
                <w:color w:val="000000"/>
                <w:sz w:val="22"/>
                <w:szCs w:val="22"/>
                <w:u w:val="none"/>
                <w:lang w:val="en-US"/>
              </w:rPr>
            </w:pPr>
            <w:r>
              <w:rPr>
                <w:rFonts w:hint="eastAsia" w:ascii="宋体" w:hAnsi="宋体" w:cs="宋体"/>
                <w:i w:val="0"/>
                <w:color w:val="000000"/>
                <w:kern w:val="0"/>
                <w:sz w:val="22"/>
                <w:szCs w:val="22"/>
                <w:u w:val="none"/>
                <w:lang w:val="en-US" w:eastAsia="zh-CN" w:bidi="ar"/>
              </w:rPr>
              <w:t>20.57</w:t>
            </w: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4A3871E">
            <w:pPr>
              <w:keepNext w:val="0"/>
              <w:keepLines w:val="0"/>
              <w:widowControl/>
              <w:suppressLineNumbers w:val="0"/>
              <w:jc w:val="right"/>
              <w:textAlignment w:val="top"/>
              <w:rPr>
                <w:rFonts w:hint="default" w:ascii="宋体" w:hAnsi="宋体" w:eastAsia="宋体" w:cs="宋体"/>
                <w:i w:val="0"/>
                <w:color w:val="000000"/>
                <w:sz w:val="22"/>
                <w:szCs w:val="22"/>
                <w:u w:val="none"/>
                <w:lang w:val="en-US"/>
              </w:rPr>
            </w:pPr>
            <w:r>
              <w:rPr>
                <w:rFonts w:hint="eastAsia" w:ascii="宋体" w:hAnsi="宋体" w:cs="宋体"/>
                <w:i w:val="0"/>
                <w:color w:val="000000"/>
                <w:kern w:val="0"/>
                <w:sz w:val="22"/>
                <w:szCs w:val="22"/>
                <w:u w:val="none"/>
                <w:lang w:val="en-US" w:eastAsia="zh-CN" w:bidi="ar"/>
              </w:rPr>
              <w:t>20.57</w:t>
            </w:r>
          </w:p>
        </w:tc>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944C3B8">
            <w:pPr>
              <w:jc w:val="right"/>
              <w:rPr>
                <w:rFonts w:hint="eastAsia" w:ascii="宋体" w:hAnsi="宋体" w:eastAsia="宋体" w:cs="宋体"/>
                <w:i w:val="0"/>
                <w:color w:val="000000"/>
                <w:sz w:val="22"/>
                <w:szCs w:val="22"/>
                <w:u w:val="none"/>
              </w:rPr>
            </w:pPr>
          </w:p>
        </w:tc>
        <w:tc>
          <w:tcPr>
            <w:tcW w:w="2284" w:type="dxa"/>
            <w:tcBorders>
              <w:top w:val="single" w:color="000000" w:sz="4" w:space="0"/>
              <w:left w:val="single" w:color="000000" w:sz="4" w:space="0"/>
              <w:bottom w:val="single" w:color="000000" w:sz="4" w:space="0"/>
              <w:right w:val="single" w:color="000000" w:sz="4" w:space="0"/>
            </w:tcBorders>
            <w:shd w:val="clear" w:color="auto" w:fill="auto"/>
            <w:vAlign w:val="top"/>
          </w:tcPr>
          <w:p w14:paraId="2028DF1A">
            <w:pPr>
              <w:jc w:val="right"/>
              <w:rPr>
                <w:rFonts w:hint="eastAsia" w:ascii="宋体" w:hAnsi="宋体" w:eastAsia="宋体" w:cs="宋体"/>
                <w:i w:val="0"/>
                <w:color w:val="000000"/>
                <w:sz w:val="22"/>
                <w:szCs w:val="22"/>
                <w:u w:val="none"/>
              </w:rPr>
            </w:pPr>
          </w:p>
        </w:tc>
      </w:tr>
      <w:tr w14:paraId="7C890F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vAlign w:val="top"/>
          </w:tcPr>
          <w:p w14:paraId="1E6A4679">
            <w:pPr>
              <w:keepNext w:val="0"/>
              <w:keepLines w:val="0"/>
              <w:widowControl/>
              <w:suppressLineNumbers w:val="0"/>
              <w:jc w:val="center"/>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top"/>
          </w:tcPr>
          <w:p w14:paraId="0A17F4A1">
            <w:pPr>
              <w:keepNext w:val="0"/>
              <w:keepLines w:val="0"/>
              <w:widowControl/>
              <w:suppressLineNumbers w:val="0"/>
              <w:jc w:val="lef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“三公”经费小计</w:t>
            </w:r>
          </w:p>
        </w:tc>
        <w:tc>
          <w:tcPr>
            <w:tcW w:w="3152" w:type="dxa"/>
            <w:tcBorders>
              <w:top w:val="single" w:color="000000" w:sz="4" w:space="0"/>
              <w:left w:val="single" w:color="000000" w:sz="4" w:space="0"/>
              <w:bottom w:val="single" w:color="000000" w:sz="4" w:space="0"/>
              <w:right w:val="single" w:color="000000" w:sz="4" w:space="0"/>
            </w:tcBorders>
            <w:shd w:val="clear" w:color="auto" w:fill="auto"/>
            <w:vAlign w:val="top"/>
          </w:tcPr>
          <w:p w14:paraId="65E326A6">
            <w:pPr>
              <w:keepNext w:val="0"/>
              <w:keepLines w:val="0"/>
              <w:widowControl/>
              <w:suppressLineNumbers w:val="0"/>
              <w:jc w:val="righ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20.57</w:t>
            </w: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6A6D7E5">
            <w:pPr>
              <w:keepNext w:val="0"/>
              <w:keepLines w:val="0"/>
              <w:widowControl/>
              <w:suppressLineNumbers w:val="0"/>
              <w:jc w:val="righ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20.57</w:t>
            </w:r>
          </w:p>
        </w:tc>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A17DFDC">
            <w:pPr>
              <w:jc w:val="right"/>
              <w:rPr>
                <w:rFonts w:hint="eastAsia" w:ascii="宋体" w:hAnsi="宋体" w:eastAsia="宋体" w:cs="宋体"/>
                <w:i w:val="0"/>
                <w:color w:val="000000"/>
                <w:sz w:val="22"/>
                <w:szCs w:val="22"/>
                <w:u w:val="none"/>
              </w:rPr>
            </w:pPr>
          </w:p>
        </w:tc>
        <w:tc>
          <w:tcPr>
            <w:tcW w:w="2284" w:type="dxa"/>
            <w:tcBorders>
              <w:top w:val="single" w:color="000000" w:sz="4" w:space="0"/>
              <w:left w:val="single" w:color="000000" w:sz="4" w:space="0"/>
              <w:bottom w:val="single" w:color="000000" w:sz="4" w:space="0"/>
              <w:right w:val="single" w:color="000000" w:sz="4" w:space="0"/>
            </w:tcBorders>
            <w:shd w:val="clear" w:color="auto" w:fill="auto"/>
            <w:vAlign w:val="top"/>
          </w:tcPr>
          <w:p w14:paraId="1DAE92A5">
            <w:pPr>
              <w:jc w:val="right"/>
              <w:rPr>
                <w:rFonts w:hint="eastAsia" w:ascii="宋体" w:hAnsi="宋体" w:eastAsia="宋体" w:cs="宋体"/>
                <w:i w:val="0"/>
                <w:color w:val="000000"/>
                <w:sz w:val="22"/>
                <w:szCs w:val="22"/>
                <w:u w:val="none"/>
              </w:rPr>
            </w:pPr>
          </w:p>
        </w:tc>
      </w:tr>
      <w:tr w14:paraId="3EDC18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vAlign w:val="top"/>
          </w:tcPr>
          <w:p w14:paraId="3739CFD8">
            <w:pPr>
              <w:keepNext w:val="0"/>
              <w:keepLines w:val="0"/>
              <w:widowControl/>
              <w:suppressLineNumbers w:val="0"/>
              <w:jc w:val="center"/>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top"/>
          </w:tcPr>
          <w:p w14:paraId="61F9FC84">
            <w:pPr>
              <w:keepNext w:val="0"/>
              <w:keepLines w:val="0"/>
              <w:widowControl/>
              <w:suppressLineNumbers w:val="0"/>
              <w:jc w:val="lef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一、因公出国（境）费</w:t>
            </w:r>
          </w:p>
        </w:tc>
        <w:tc>
          <w:tcPr>
            <w:tcW w:w="3152" w:type="dxa"/>
            <w:tcBorders>
              <w:top w:val="single" w:color="000000" w:sz="4" w:space="0"/>
              <w:left w:val="single" w:color="000000" w:sz="4" w:space="0"/>
              <w:bottom w:val="single" w:color="000000" w:sz="4" w:space="0"/>
              <w:right w:val="single" w:color="000000" w:sz="4" w:space="0"/>
            </w:tcBorders>
            <w:shd w:val="clear" w:color="auto" w:fill="auto"/>
            <w:vAlign w:val="top"/>
          </w:tcPr>
          <w:p w14:paraId="57EDDC3D">
            <w:pPr>
              <w:jc w:val="right"/>
              <w:rPr>
                <w:rFonts w:hint="eastAsia" w:ascii="宋体" w:hAnsi="宋体" w:eastAsia="宋体" w:cs="宋体"/>
                <w:i w:val="0"/>
                <w:color w:val="000000"/>
                <w:sz w:val="22"/>
                <w:szCs w:val="22"/>
                <w:u w:val="none"/>
              </w:rPr>
            </w:pP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D5BACCF">
            <w:pPr>
              <w:jc w:val="right"/>
              <w:rPr>
                <w:rFonts w:hint="eastAsia" w:ascii="宋体" w:hAnsi="宋体" w:eastAsia="宋体" w:cs="宋体"/>
                <w:i w:val="0"/>
                <w:color w:val="000000"/>
                <w:sz w:val="22"/>
                <w:szCs w:val="22"/>
                <w:u w:val="none"/>
              </w:rPr>
            </w:pPr>
          </w:p>
        </w:tc>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ECBDEB3">
            <w:pPr>
              <w:jc w:val="right"/>
              <w:rPr>
                <w:rFonts w:hint="eastAsia" w:ascii="宋体" w:hAnsi="宋体" w:eastAsia="宋体" w:cs="宋体"/>
                <w:i w:val="0"/>
                <w:color w:val="000000"/>
                <w:sz w:val="22"/>
                <w:szCs w:val="22"/>
                <w:u w:val="none"/>
              </w:rPr>
            </w:pPr>
          </w:p>
        </w:tc>
        <w:tc>
          <w:tcPr>
            <w:tcW w:w="2284" w:type="dxa"/>
            <w:tcBorders>
              <w:top w:val="single" w:color="000000" w:sz="4" w:space="0"/>
              <w:left w:val="single" w:color="000000" w:sz="4" w:space="0"/>
              <w:bottom w:val="single" w:color="000000" w:sz="4" w:space="0"/>
              <w:right w:val="single" w:color="000000" w:sz="4" w:space="0"/>
            </w:tcBorders>
            <w:shd w:val="clear" w:color="auto" w:fill="auto"/>
            <w:vAlign w:val="top"/>
          </w:tcPr>
          <w:p w14:paraId="18A0A966">
            <w:pPr>
              <w:jc w:val="right"/>
              <w:rPr>
                <w:rFonts w:hint="eastAsia" w:ascii="宋体" w:hAnsi="宋体" w:eastAsia="宋体" w:cs="宋体"/>
                <w:i w:val="0"/>
                <w:color w:val="000000"/>
                <w:sz w:val="22"/>
                <w:szCs w:val="22"/>
                <w:u w:val="none"/>
              </w:rPr>
            </w:pPr>
          </w:p>
        </w:tc>
      </w:tr>
      <w:tr w14:paraId="45A711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vAlign w:val="top"/>
          </w:tcPr>
          <w:p w14:paraId="49DFC39D">
            <w:pPr>
              <w:keepNext w:val="0"/>
              <w:keepLines w:val="0"/>
              <w:widowControl/>
              <w:suppressLineNumbers w:val="0"/>
              <w:jc w:val="center"/>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top"/>
          </w:tcPr>
          <w:p w14:paraId="6199F923">
            <w:pPr>
              <w:keepNext w:val="0"/>
              <w:keepLines w:val="0"/>
              <w:widowControl/>
              <w:suppressLineNumbers w:val="0"/>
              <w:jc w:val="lef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其中：教学科研人员因公出国（境）费</w:t>
            </w:r>
          </w:p>
        </w:tc>
        <w:tc>
          <w:tcPr>
            <w:tcW w:w="3152" w:type="dxa"/>
            <w:tcBorders>
              <w:top w:val="single" w:color="000000" w:sz="4" w:space="0"/>
              <w:left w:val="single" w:color="000000" w:sz="4" w:space="0"/>
              <w:bottom w:val="single" w:color="000000" w:sz="4" w:space="0"/>
              <w:right w:val="single" w:color="000000" w:sz="4" w:space="0"/>
            </w:tcBorders>
            <w:shd w:val="clear" w:color="auto" w:fill="auto"/>
            <w:vAlign w:val="top"/>
          </w:tcPr>
          <w:p w14:paraId="76AA9340">
            <w:pPr>
              <w:jc w:val="right"/>
              <w:rPr>
                <w:rFonts w:hint="eastAsia" w:ascii="宋体" w:hAnsi="宋体" w:eastAsia="宋体" w:cs="宋体"/>
                <w:i w:val="0"/>
                <w:color w:val="000000"/>
                <w:sz w:val="22"/>
                <w:szCs w:val="22"/>
                <w:u w:val="none"/>
              </w:rPr>
            </w:pP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33F6C57">
            <w:pPr>
              <w:jc w:val="right"/>
              <w:rPr>
                <w:rFonts w:hint="eastAsia" w:ascii="宋体" w:hAnsi="宋体" w:eastAsia="宋体" w:cs="宋体"/>
                <w:i w:val="0"/>
                <w:color w:val="000000"/>
                <w:sz w:val="22"/>
                <w:szCs w:val="22"/>
                <w:u w:val="none"/>
              </w:rPr>
            </w:pPr>
          </w:p>
        </w:tc>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C7B771C">
            <w:pPr>
              <w:jc w:val="right"/>
              <w:rPr>
                <w:rFonts w:hint="eastAsia" w:ascii="宋体" w:hAnsi="宋体" w:eastAsia="宋体" w:cs="宋体"/>
                <w:i w:val="0"/>
                <w:color w:val="000000"/>
                <w:sz w:val="22"/>
                <w:szCs w:val="22"/>
                <w:u w:val="none"/>
              </w:rPr>
            </w:pPr>
          </w:p>
        </w:tc>
        <w:tc>
          <w:tcPr>
            <w:tcW w:w="2284" w:type="dxa"/>
            <w:tcBorders>
              <w:top w:val="single" w:color="000000" w:sz="4" w:space="0"/>
              <w:left w:val="single" w:color="000000" w:sz="4" w:space="0"/>
              <w:bottom w:val="single" w:color="000000" w:sz="4" w:space="0"/>
              <w:right w:val="single" w:color="000000" w:sz="4" w:space="0"/>
            </w:tcBorders>
            <w:shd w:val="clear" w:color="auto" w:fill="auto"/>
            <w:vAlign w:val="top"/>
          </w:tcPr>
          <w:p w14:paraId="733DD518">
            <w:pPr>
              <w:jc w:val="right"/>
              <w:rPr>
                <w:rFonts w:hint="eastAsia" w:ascii="宋体" w:hAnsi="宋体" w:eastAsia="宋体" w:cs="宋体"/>
                <w:i w:val="0"/>
                <w:color w:val="000000"/>
                <w:sz w:val="22"/>
                <w:szCs w:val="22"/>
                <w:u w:val="none"/>
              </w:rPr>
            </w:pPr>
          </w:p>
        </w:tc>
      </w:tr>
      <w:tr w14:paraId="7D79F2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vAlign w:val="top"/>
          </w:tcPr>
          <w:p w14:paraId="57389E8E">
            <w:pPr>
              <w:keepNext w:val="0"/>
              <w:keepLines w:val="0"/>
              <w:widowControl/>
              <w:suppressLineNumbers w:val="0"/>
              <w:jc w:val="center"/>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top"/>
          </w:tcPr>
          <w:p w14:paraId="02596DF0">
            <w:pPr>
              <w:keepNext w:val="0"/>
              <w:keepLines w:val="0"/>
              <w:widowControl/>
              <w:suppressLineNumbers w:val="0"/>
              <w:jc w:val="lef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其他因公出国（境）费</w:t>
            </w:r>
          </w:p>
        </w:tc>
        <w:tc>
          <w:tcPr>
            <w:tcW w:w="3152" w:type="dxa"/>
            <w:tcBorders>
              <w:top w:val="single" w:color="000000" w:sz="4" w:space="0"/>
              <w:left w:val="single" w:color="000000" w:sz="4" w:space="0"/>
              <w:bottom w:val="single" w:color="000000" w:sz="4" w:space="0"/>
              <w:right w:val="single" w:color="000000" w:sz="4" w:space="0"/>
            </w:tcBorders>
            <w:shd w:val="clear" w:color="auto" w:fill="auto"/>
            <w:vAlign w:val="top"/>
          </w:tcPr>
          <w:p w14:paraId="69AAC5FC">
            <w:pPr>
              <w:jc w:val="right"/>
              <w:rPr>
                <w:rFonts w:hint="eastAsia" w:ascii="宋体" w:hAnsi="宋体" w:eastAsia="宋体" w:cs="宋体"/>
                <w:i w:val="0"/>
                <w:color w:val="000000"/>
                <w:sz w:val="22"/>
                <w:szCs w:val="22"/>
                <w:u w:val="none"/>
              </w:rPr>
            </w:pP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AC423CD">
            <w:pPr>
              <w:jc w:val="right"/>
              <w:rPr>
                <w:rFonts w:hint="eastAsia" w:ascii="宋体" w:hAnsi="宋体" w:eastAsia="宋体" w:cs="宋体"/>
                <w:i w:val="0"/>
                <w:color w:val="000000"/>
                <w:sz w:val="22"/>
                <w:szCs w:val="22"/>
                <w:u w:val="none"/>
              </w:rPr>
            </w:pPr>
          </w:p>
        </w:tc>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5FF9E49">
            <w:pPr>
              <w:jc w:val="right"/>
              <w:rPr>
                <w:rFonts w:hint="eastAsia" w:ascii="宋体" w:hAnsi="宋体" w:eastAsia="宋体" w:cs="宋体"/>
                <w:i w:val="0"/>
                <w:color w:val="000000"/>
                <w:sz w:val="22"/>
                <w:szCs w:val="22"/>
                <w:u w:val="none"/>
              </w:rPr>
            </w:pPr>
          </w:p>
        </w:tc>
        <w:tc>
          <w:tcPr>
            <w:tcW w:w="2284" w:type="dxa"/>
            <w:tcBorders>
              <w:top w:val="single" w:color="000000" w:sz="4" w:space="0"/>
              <w:left w:val="single" w:color="000000" w:sz="4" w:space="0"/>
              <w:bottom w:val="single" w:color="000000" w:sz="4" w:space="0"/>
              <w:right w:val="single" w:color="000000" w:sz="4" w:space="0"/>
            </w:tcBorders>
            <w:shd w:val="clear" w:color="auto" w:fill="auto"/>
            <w:vAlign w:val="top"/>
          </w:tcPr>
          <w:p w14:paraId="17975DFE">
            <w:pPr>
              <w:jc w:val="right"/>
              <w:rPr>
                <w:rFonts w:hint="eastAsia" w:ascii="宋体" w:hAnsi="宋体" w:eastAsia="宋体" w:cs="宋体"/>
                <w:i w:val="0"/>
                <w:color w:val="000000"/>
                <w:sz w:val="22"/>
                <w:szCs w:val="22"/>
                <w:u w:val="none"/>
              </w:rPr>
            </w:pPr>
          </w:p>
        </w:tc>
      </w:tr>
      <w:tr w14:paraId="66AD12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vAlign w:val="top"/>
          </w:tcPr>
          <w:p w14:paraId="1DCB152F">
            <w:pPr>
              <w:keepNext w:val="0"/>
              <w:keepLines w:val="0"/>
              <w:widowControl/>
              <w:suppressLineNumbers w:val="0"/>
              <w:jc w:val="center"/>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top"/>
          </w:tcPr>
          <w:p w14:paraId="779F2194">
            <w:pPr>
              <w:keepNext w:val="0"/>
              <w:keepLines w:val="0"/>
              <w:widowControl/>
              <w:suppressLineNumbers w:val="0"/>
              <w:jc w:val="lef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二、公务用车购置及运维费</w:t>
            </w:r>
          </w:p>
        </w:tc>
        <w:tc>
          <w:tcPr>
            <w:tcW w:w="3152" w:type="dxa"/>
            <w:tcBorders>
              <w:top w:val="single" w:color="000000" w:sz="4" w:space="0"/>
              <w:left w:val="single" w:color="000000" w:sz="4" w:space="0"/>
              <w:bottom w:val="single" w:color="000000" w:sz="4" w:space="0"/>
              <w:right w:val="single" w:color="000000" w:sz="4" w:space="0"/>
            </w:tcBorders>
            <w:shd w:val="clear" w:color="auto" w:fill="auto"/>
            <w:vAlign w:val="top"/>
          </w:tcPr>
          <w:p w14:paraId="4D01E051">
            <w:pPr>
              <w:keepNext w:val="0"/>
              <w:keepLines w:val="0"/>
              <w:widowControl/>
              <w:suppressLineNumbers w:val="0"/>
              <w:jc w:val="righ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w:t>
            </w: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438D785">
            <w:pPr>
              <w:keepNext w:val="0"/>
              <w:keepLines w:val="0"/>
              <w:widowControl/>
              <w:suppressLineNumbers w:val="0"/>
              <w:jc w:val="righ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w:t>
            </w:r>
          </w:p>
        </w:tc>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1DB9629">
            <w:pPr>
              <w:jc w:val="right"/>
              <w:rPr>
                <w:rFonts w:hint="eastAsia" w:ascii="宋体" w:hAnsi="宋体" w:eastAsia="宋体" w:cs="宋体"/>
                <w:i w:val="0"/>
                <w:color w:val="000000"/>
                <w:sz w:val="22"/>
                <w:szCs w:val="22"/>
                <w:u w:val="none"/>
              </w:rPr>
            </w:pPr>
          </w:p>
        </w:tc>
        <w:tc>
          <w:tcPr>
            <w:tcW w:w="2284" w:type="dxa"/>
            <w:tcBorders>
              <w:top w:val="single" w:color="000000" w:sz="4" w:space="0"/>
              <w:left w:val="single" w:color="000000" w:sz="4" w:space="0"/>
              <w:bottom w:val="single" w:color="000000" w:sz="4" w:space="0"/>
              <w:right w:val="single" w:color="000000" w:sz="4" w:space="0"/>
            </w:tcBorders>
            <w:shd w:val="clear" w:color="auto" w:fill="auto"/>
            <w:vAlign w:val="top"/>
          </w:tcPr>
          <w:p w14:paraId="013A4B64">
            <w:pPr>
              <w:jc w:val="right"/>
              <w:rPr>
                <w:rFonts w:hint="eastAsia" w:ascii="宋体" w:hAnsi="宋体" w:eastAsia="宋体" w:cs="宋体"/>
                <w:i w:val="0"/>
                <w:color w:val="000000"/>
                <w:sz w:val="22"/>
                <w:szCs w:val="22"/>
                <w:u w:val="none"/>
              </w:rPr>
            </w:pPr>
          </w:p>
        </w:tc>
      </w:tr>
      <w:tr w14:paraId="3314D5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vAlign w:val="top"/>
          </w:tcPr>
          <w:p w14:paraId="146B07C7">
            <w:pPr>
              <w:keepNext w:val="0"/>
              <w:keepLines w:val="0"/>
              <w:widowControl/>
              <w:suppressLineNumbers w:val="0"/>
              <w:jc w:val="center"/>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top"/>
          </w:tcPr>
          <w:p w14:paraId="4E11A302">
            <w:pPr>
              <w:keepNext w:val="0"/>
              <w:keepLines w:val="0"/>
              <w:widowControl/>
              <w:suppressLineNumbers w:val="0"/>
              <w:jc w:val="lef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其中：公务用车购置费</w:t>
            </w:r>
          </w:p>
        </w:tc>
        <w:tc>
          <w:tcPr>
            <w:tcW w:w="3152" w:type="dxa"/>
            <w:tcBorders>
              <w:top w:val="single" w:color="000000" w:sz="4" w:space="0"/>
              <w:left w:val="single" w:color="000000" w:sz="4" w:space="0"/>
              <w:bottom w:val="single" w:color="000000" w:sz="4" w:space="0"/>
              <w:right w:val="single" w:color="000000" w:sz="4" w:space="0"/>
            </w:tcBorders>
            <w:shd w:val="clear" w:color="auto" w:fill="auto"/>
            <w:vAlign w:val="top"/>
          </w:tcPr>
          <w:p w14:paraId="2C27DF01">
            <w:pPr>
              <w:jc w:val="right"/>
              <w:rPr>
                <w:rFonts w:hint="eastAsia" w:ascii="宋体" w:hAnsi="宋体" w:eastAsia="宋体" w:cs="宋体"/>
                <w:i w:val="0"/>
                <w:color w:val="000000"/>
                <w:sz w:val="22"/>
                <w:szCs w:val="22"/>
                <w:u w:val="none"/>
              </w:rPr>
            </w:pP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F4B81B9">
            <w:pPr>
              <w:jc w:val="right"/>
              <w:rPr>
                <w:rFonts w:hint="eastAsia" w:ascii="宋体" w:hAnsi="宋体" w:eastAsia="宋体" w:cs="宋体"/>
                <w:i w:val="0"/>
                <w:color w:val="000000"/>
                <w:sz w:val="22"/>
                <w:szCs w:val="22"/>
                <w:u w:val="none"/>
              </w:rPr>
            </w:pPr>
          </w:p>
        </w:tc>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E6ACAE9">
            <w:pPr>
              <w:jc w:val="right"/>
              <w:rPr>
                <w:rFonts w:hint="eastAsia" w:ascii="宋体" w:hAnsi="宋体" w:eastAsia="宋体" w:cs="宋体"/>
                <w:i w:val="0"/>
                <w:color w:val="000000"/>
                <w:sz w:val="22"/>
                <w:szCs w:val="22"/>
                <w:u w:val="none"/>
              </w:rPr>
            </w:pPr>
          </w:p>
        </w:tc>
        <w:tc>
          <w:tcPr>
            <w:tcW w:w="2284" w:type="dxa"/>
            <w:tcBorders>
              <w:top w:val="single" w:color="000000" w:sz="4" w:space="0"/>
              <w:left w:val="single" w:color="000000" w:sz="4" w:space="0"/>
              <w:bottom w:val="single" w:color="000000" w:sz="4" w:space="0"/>
              <w:right w:val="single" w:color="000000" w:sz="4" w:space="0"/>
            </w:tcBorders>
            <w:shd w:val="clear" w:color="auto" w:fill="auto"/>
            <w:vAlign w:val="top"/>
          </w:tcPr>
          <w:p w14:paraId="7E99BC30">
            <w:pPr>
              <w:jc w:val="right"/>
              <w:rPr>
                <w:rFonts w:hint="eastAsia" w:ascii="宋体" w:hAnsi="宋体" w:eastAsia="宋体" w:cs="宋体"/>
                <w:i w:val="0"/>
                <w:color w:val="000000"/>
                <w:sz w:val="22"/>
                <w:szCs w:val="22"/>
                <w:u w:val="none"/>
              </w:rPr>
            </w:pPr>
          </w:p>
        </w:tc>
      </w:tr>
      <w:tr w14:paraId="672328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vAlign w:val="top"/>
          </w:tcPr>
          <w:p w14:paraId="52E1B794">
            <w:pPr>
              <w:keepNext w:val="0"/>
              <w:keepLines w:val="0"/>
              <w:widowControl/>
              <w:suppressLineNumbers w:val="0"/>
              <w:jc w:val="center"/>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top"/>
          </w:tcPr>
          <w:p w14:paraId="0DE3955A">
            <w:pPr>
              <w:keepNext w:val="0"/>
              <w:keepLines w:val="0"/>
              <w:widowControl/>
              <w:suppressLineNumbers w:val="0"/>
              <w:jc w:val="lef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公务用车运行维护费</w:t>
            </w:r>
          </w:p>
        </w:tc>
        <w:tc>
          <w:tcPr>
            <w:tcW w:w="3152" w:type="dxa"/>
            <w:tcBorders>
              <w:top w:val="single" w:color="000000" w:sz="4" w:space="0"/>
              <w:left w:val="single" w:color="000000" w:sz="4" w:space="0"/>
              <w:bottom w:val="single" w:color="000000" w:sz="4" w:space="0"/>
              <w:right w:val="single" w:color="000000" w:sz="4" w:space="0"/>
            </w:tcBorders>
            <w:shd w:val="clear" w:color="auto" w:fill="auto"/>
            <w:vAlign w:val="top"/>
          </w:tcPr>
          <w:p w14:paraId="281033B4">
            <w:pPr>
              <w:keepNext w:val="0"/>
              <w:keepLines w:val="0"/>
              <w:widowControl/>
              <w:suppressLineNumbers w:val="0"/>
              <w:jc w:val="righ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w:t>
            </w: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6C20485">
            <w:pPr>
              <w:keepNext w:val="0"/>
              <w:keepLines w:val="0"/>
              <w:widowControl/>
              <w:suppressLineNumbers w:val="0"/>
              <w:jc w:val="righ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w:t>
            </w:r>
          </w:p>
        </w:tc>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EE248B0">
            <w:pPr>
              <w:jc w:val="right"/>
              <w:rPr>
                <w:rFonts w:hint="eastAsia" w:ascii="宋体" w:hAnsi="宋体" w:eastAsia="宋体" w:cs="宋体"/>
                <w:i w:val="0"/>
                <w:color w:val="000000"/>
                <w:sz w:val="22"/>
                <w:szCs w:val="22"/>
                <w:u w:val="none"/>
              </w:rPr>
            </w:pPr>
          </w:p>
        </w:tc>
        <w:tc>
          <w:tcPr>
            <w:tcW w:w="2284" w:type="dxa"/>
            <w:tcBorders>
              <w:top w:val="single" w:color="000000" w:sz="4" w:space="0"/>
              <w:left w:val="single" w:color="000000" w:sz="4" w:space="0"/>
              <w:bottom w:val="single" w:color="000000" w:sz="4" w:space="0"/>
              <w:right w:val="single" w:color="000000" w:sz="4" w:space="0"/>
            </w:tcBorders>
            <w:shd w:val="clear" w:color="auto" w:fill="auto"/>
            <w:vAlign w:val="top"/>
          </w:tcPr>
          <w:p w14:paraId="64FBEDAA">
            <w:pPr>
              <w:jc w:val="right"/>
              <w:rPr>
                <w:rFonts w:hint="eastAsia" w:ascii="宋体" w:hAnsi="宋体" w:eastAsia="宋体" w:cs="宋体"/>
                <w:i w:val="0"/>
                <w:color w:val="000000"/>
                <w:sz w:val="22"/>
                <w:szCs w:val="22"/>
                <w:u w:val="none"/>
              </w:rPr>
            </w:pPr>
          </w:p>
        </w:tc>
      </w:tr>
      <w:tr w14:paraId="5F9ADE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vAlign w:val="top"/>
          </w:tcPr>
          <w:p w14:paraId="131A5094">
            <w:pPr>
              <w:keepNext w:val="0"/>
              <w:keepLines w:val="0"/>
              <w:widowControl/>
              <w:suppressLineNumbers w:val="0"/>
              <w:jc w:val="center"/>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top"/>
          </w:tcPr>
          <w:p w14:paraId="1D68499D">
            <w:pPr>
              <w:keepNext w:val="0"/>
              <w:keepLines w:val="0"/>
              <w:widowControl/>
              <w:suppressLineNumbers w:val="0"/>
              <w:jc w:val="lef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三、公务接待费</w:t>
            </w:r>
          </w:p>
        </w:tc>
        <w:tc>
          <w:tcPr>
            <w:tcW w:w="3152" w:type="dxa"/>
            <w:tcBorders>
              <w:top w:val="single" w:color="000000" w:sz="4" w:space="0"/>
              <w:left w:val="single" w:color="000000" w:sz="4" w:space="0"/>
              <w:bottom w:val="single" w:color="000000" w:sz="4" w:space="0"/>
              <w:right w:val="single" w:color="000000" w:sz="4" w:space="0"/>
            </w:tcBorders>
            <w:shd w:val="clear" w:color="auto" w:fill="auto"/>
            <w:vAlign w:val="top"/>
          </w:tcPr>
          <w:p w14:paraId="5F7F785D">
            <w:pPr>
              <w:keepNext w:val="0"/>
              <w:keepLines w:val="0"/>
              <w:widowControl/>
              <w:suppressLineNumbers w:val="0"/>
              <w:jc w:val="righ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0.57</w:t>
            </w: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7F02084">
            <w:pPr>
              <w:keepNext w:val="0"/>
              <w:keepLines w:val="0"/>
              <w:widowControl/>
              <w:suppressLineNumbers w:val="0"/>
              <w:jc w:val="righ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0.57</w:t>
            </w:r>
          </w:p>
        </w:tc>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4756F51">
            <w:pPr>
              <w:jc w:val="right"/>
              <w:rPr>
                <w:rFonts w:hint="eastAsia" w:ascii="宋体" w:hAnsi="宋体" w:eastAsia="宋体" w:cs="宋体"/>
                <w:i w:val="0"/>
                <w:color w:val="000000"/>
                <w:sz w:val="22"/>
                <w:szCs w:val="22"/>
                <w:u w:val="none"/>
              </w:rPr>
            </w:pPr>
          </w:p>
        </w:tc>
        <w:tc>
          <w:tcPr>
            <w:tcW w:w="2284" w:type="dxa"/>
            <w:tcBorders>
              <w:top w:val="single" w:color="000000" w:sz="4" w:space="0"/>
              <w:left w:val="single" w:color="000000" w:sz="4" w:space="0"/>
              <w:bottom w:val="single" w:color="000000" w:sz="4" w:space="0"/>
              <w:right w:val="single" w:color="000000" w:sz="4" w:space="0"/>
            </w:tcBorders>
            <w:shd w:val="clear" w:color="auto" w:fill="auto"/>
            <w:vAlign w:val="top"/>
          </w:tcPr>
          <w:p w14:paraId="1B456EF6">
            <w:pPr>
              <w:jc w:val="right"/>
              <w:rPr>
                <w:rFonts w:hint="eastAsia" w:ascii="宋体" w:hAnsi="宋体" w:eastAsia="宋体" w:cs="宋体"/>
                <w:i w:val="0"/>
                <w:color w:val="000000"/>
                <w:sz w:val="22"/>
                <w:szCs w:val="22"/>
                <w:u w:val="none"/>
              </w:rPr>
            </w:pPr>
          </w:p>
        </w:tc>
      </w:tr>
    </w:tbl>
    <w:p w14:paraId="4C74C574">
      <w:pPr>
        <w:spacing w:line="560" w:lineRule="exact"/>
        <w:jc w:val="both"/>
        <w:rPr>
          <w:rFonts w:hint="eastAsia" w:ascii="宋体" w:hAnsi="宋体"/>
          <w:b/>
          <w:sz w:val="44"/>
          <w:szCs w:val="44"/>
        </w:rPr>
      </w:pPr>
    </w:p>
    <w:p w14:paraId="2D13F26D">
      <w:pPr>
        <w:spacing w:line="560" w:lineRule="exact"/>
        <w:jc w:val="center"/>
        <w:rPr>
          <w:rFonts w:hint="eastAsia" w:ascii="宋体" w:hAnsi="宋体"/>
          <w:b/>
          <w:sz w:val="44"/>
          <w:szCs w:val="44"/>
        </w:rPr>
      </w:pPr>
    </w:p>
    <w:p w14:paraId="7E108BB6">
      <w:pPr>
        <w:spacing w:line="560" w:lineRule="exact"/>
        <w:jc w:val="both"/>
        <w:rPr>
          <w:rFonts w:hint="eastAsia" w:ascii="宋体" w:hAnsi="宋体"/>
          <w:b/>
          <w:sz w:val="44"/>
          <w:szCs w:val="44"/>
        </w:rPr>
        <w:sectPr>
          <w:footerReference r:id="rId4" w:type="default"/>
          <w:pgSz w:w="16838" w:h="11906" w:orient="landscape"/>
          <w:pgMar w:top="1587" w:right="1134" w:bottom="1361" w:left="1134" w:header="851" w:footer="992" w:gutter="0"/>
          <w:pgNumType w:fmt="decimal" w:start="3"/>
          <w:cols w:space="0" w:num="1"/>
          <w:rtlGutter w:val="0"/>
          <w:docGrid w:type="lines" w:linePitch="312" w:charSpace="0"/>
        </w:sectPr>
      </w:pPr>
    </w:p>
    <w:p w14:paraId="4ED30832">
      <w:pPr>
        <w:spacing w:line="560" w:lineRule="exact"/>
        <w:jc w:val="center"/>
        <w:rPr>
          <w:rFonts w:hint="eastAsia" w:ascii="黑体" w:hAnsi="黑体" w:eastAsia="黑体" w:cs="黑体"/>
          <w:b w:val="0"/>
          <w:bCs/>
          <w:sz w:val="44"/>
          <w:szCs w:val="44"/>
        </w:rPr>
      </w:pPr>
      <w:r>
        <w:rPr>
          <w:rFonts w:hint="eastAsia" w:ascii="黑体" w:hAnsi="黑体" w:eastAsia="黑体" w:cs="黑体"/>
          <w:b w:val="0"/>
          <w:bCs/>
          <w:sz w:val="44"/>
          <w:szCs w:val="44"/>
        </w:rPr>
        <w:t>宁晋县司法局202</w:t>
      </w:r>
      <w:r>
        <w:rPr>
          <w:rFonts w:hint="eastAsia" w:ascii="黑体" w:hAnsi="黑体" w:eastAsia="黑体" w:cs="黑体"/>
          <w:b w:val="0"/>
          <w:bCs/>
          <w:sz w:val="44"/>
          <w:szCs w:val="44"/>
          <w:lang w:val="en-US" w:eastAsia="zh-CN"/>
        </w:rPr>
        <w:t>2</w:t>
      </w:r>
      <w:r>
        <w:rPr>
          <w:rFonts w:hint="eastAsia" w:ascii="黑体" w:hAnsi="黑体" w:eastAsia="黑体" w:cs="黑体"/>
          <w:b w:val="0"/>
          <w:bCs/>
          <w:sz w:val="44"/>
          <w:szCs w:val="44"/>
        </w:rPr>
        <w:t>年部门预算信息公开情况说明</w:t>
      </w:r>
    </w:p>
    <w:p w14:paraId="086B2ADD">
      <w:pPr>
        <w:spacing w:line="560" w:lineRule="exact"/>
        <w:jc w:val="center"/>
        <w:rPr>
          <w:rFonts w:hint="eastAsia" w:ascii="黑体" w:hAnsi="黑体" w:eastAsia="黑体" w:cs="黑体"/>
          <w:b w:val="0"/>
          <w:bCs/>
          <w:sz w:val="44"/>
          <w:szCs w:val="44"/>
        </w:rPr>
      </w:pPr>
    </w:p>
    <w:p w14:paraId="18B405A2">
      <w:pPr>
        <w:keepNext w:val="0"/>
        <w:keepLines w:val="0"/>
        <w:pageBreakBefore w:val="0"/>
        <w:widowControl/>
        <w:kinsoku/>
        <w:wordWrap/>
        <w:overflowPunct/>
        <w:topLinePunct w:val="0"/>
        <w:autoSpaceDE/>
        <w:autoSpaceDN/>
        <w:bidi w:val="0"/>
        <w:adjustRightInd/>
        <w:snapToGrid/>
        <w:spacing w:line="580" w:lineRule="exact"/>
        <w:ind w:firstLine="640"/>
        <w:jc w:val="left"/>
        <w:textAlignment w:val="auto"/>
        <w:rPr>
          <w:rFonts w:ascii="仿宋" w:hAnsi="仿宋" w:eastAsia="仿宋" w:cs="仿宋_GB2312"/>
          <w:sz w:val="32"/>
          <w:szCs w:val="32"/>
        </w:rPr>
      </w:pPr>
      <w:r>
        <w:rPr>
          <w:rFonts w:hint="eastAsia" w:ascii="仿宋" w:hAnsi="仿宋" w:eastAsia="仿宋" w:cs="仿宋_GB2312"/>
          <w:color w:val="000000"/>
          <w:kern w:val="0"/>
          <w:sz w:val="32"/>
          <w:szCs w:val="32"/>
        </w:rPr>
        <w:t>按照</w:t>
      </w:r>
      <w:r>
        <w:rPr>
          <w:rFonts w:hint="eastAsia" w:ascii="仿宋" w:hAnsi="仿宋" w:eastAsia="仿宋" w:cs="仿宋_GB2312"/>
          <w:color w:val="000000"/>
          <w:kern w:val="0"/>
          <w:sz w:val="32"/>
          <w:szCs w:val="32"/>
          <w:lang w:eastAsia="zh-CN"/>
        </w:rPr>
        <w:t>《中华人民共和国预算法》</w:t>
      </w:r>
      <w:r>
        <w:rPr>
          <w:rFonts w:hint="eastAsia" w:ascii="仿宋" w:hAnsi="仿宋" w:eastAsia="仿宋" w:cs="仿宋_GB2312"/>
          <w:color w:val="000000"/>
          <w:kern w:val="0"/>
          <w:sz w:val="32"/>
          <w:szCs w:val="32"/>
        </w:rPr>
        <w:t>、《地方预决算公开操作规程》和《河北省省级预算公开办法》规定，现将宁晋县司法局</w:t>
      </w:r>
      <w:r>
        <w:rPr>
          <w:rFonts w:ascii="仿宋" w:hAnsi="仿宋" w:eastAsia="仿宋" w:cs="仿宋_GB2312"/>
          <w:color w:val="000000"/>
          <w:kern w:val="0"/>
          <w:sz w:val="32"/>
          <w:szCs w:val="32"/>
        </w:rPr>
        <w:t>20</w:t>
      </w:r>
      <w:r>
        <w:rPr>
          <w:rFonts w:hint="eastAsia" w:ascii="仿宋" w:hAnsi="仿宋" w:eastAsia="仿宋" w:cs="仿宋_GB2312"/>
          <w:color w:val="000000"/>
          <w:kern w:val="0"/>
          <w:sz w:val="32"/>
          <w:szCs w:val="32"/>
        </w:rPr>
        <w:t>2</w:t>
      </w:r>
      <w:r>
        <w:rPr>
          <w:rFonts w:hint="eastAsia" w:ascii="仿宋" w:hAnsi="仿宋" w:eastAsia="仿宋" w:cs="仿宋_GB2312"/>
          <w:color w:val="000000"/>
          <w:kern w:val="0"/>
          <w:sz w:val="32"/>
          <w:szCs w:val="32"/>
          <w:lang w:val="en-US" w:eastAsia="zh-CN"/>
        </w:rPr>
        <w:t>2</w:t>
      </w:r>
      <w:r>
        <w:rPr>
          <w:rFonts w:hint="eastAsia" w:ascii="仿宋" w:hAnsi="仿宋" w:eastAsia="仿宋" w:cs="仿宋_GB2312"/>
          <w:color w:val="000000"/>
          <w:kern w:val="0"/>
          <w:sz w:val="32"/>
          <w:szCs w:val="32"/>
        </w:rPr>
        <w:t>年部门预算公开如下：</w:t>
      </w:r>
    </w:p>
    <w:p w14:paraId="2FEF79DD">
      <w:pPr>
        <w:pStyle w:val="8"/>
        <w:keepNext w:val="0"/>
        <w:keepLines w:val="0"/>
        <w:pageBreakBefore w:val="0"/>
        <w:kinsoku/>
        <w:wordWrap/>
        <w:overflowPunct/>
        <w:topLinePunct w:val="0"/>
        <w:autoSpaceDE/>
        <w:autoSpaceDN/>
        <w:bidi w:val="0"/>
        <w:adjustRightInd/>
        <w:snapToGrid/>
        <w:spacing w:line="580" w:lineRule="exact"/>
        <w:ind w:firstLine="643"/>
        <w:jc w:val="left"/>
        <w:textAlignment w:val="auto"/>
        <w:rPr>
          <w:rFonts w:ascii="宋体" w:cs="宋体"/>
          <w:b/>
          <w:bCs/>
          <w:sz w:val="32"/>
          <w:szCs w:val="32"/>
        </w:rPr>
      </w:pPr>
      <w:r>
        <w:rPr>
          <w:rFonts w:hint="eastAsia" w:ascii="宋体" w:hAnsi="宋体" w:cs="宋体"/>
          <w:b/>
          <w:bCs/>
          <w:sz w:val="32"/>
          <w:szCs w:val="32"/>
        </w:rPr>
        <w:t>一、部门职责</w:t>
      </w:r>
      <w:r>
        <w:rPr>
          <w:rFonts w:hint="eastAsia" w:ascii="宋体" w:hAnsi="宋体" w:cs="宋体"/>
          <w:b/>
          <w:bCs/>
          <w:sz w:val="32"/>
          <w:szCs w:val="32"/>
          <w:lang w:eastAsia="zh-CN"/>
        </w:rPr>
        <w:t>及</w:t>
      </w:r>
      <w:r>
        <w:rPr>
          <w:rFonts w:hint="eastAsia" w:ascii="宋体" w:hAnsi="宋体" w:cs="宋体"/>
          <w:b/>
          <w:bCs/>
          <w:sz w:val="32"/>
          <w:szCs w:val="32"/>
        </w:rPr>
        <w:t>机构</w:t>
      </w:r>
      <w:r>
        <w:rPr>
          <w:rFonts w:hint="eastAsia" w:ascii="宋体" w:hAnsi="宋体" w:cs="宋体"/>
          <w:b/>
          <w:bCs/>
          <w:sz w:val="32"/>
          <w:szCs w:val="32"/>
          <w:lang w:eastAsia="zh-CN"/>
        </w:rPr>
        <w:t>设置</w:t>
      </w:r>
      <w:r>
        <w:rPr>
          <w:rFonts w:hint="eastAsia" w:ascii="宋体" w:hAnsi="宋体" w:cs="宋体"/>
          <w:b/>
          <w:bCs/>
          <w:sz w:val="32"/>
          <w:szCs w:val="32"/>
        </w:rPr>
        <w:t>情况</w:t>
      </w:r>
    </w:p>
    <w:p w14:paraId="02B116E1">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sz w:val="32"/>
          <w:szCs w:val="32"/>
        </w:rPr>
        <w:t>宁晋县司法局机关政法编制61名，内设8个机构包括办公室</w:t>
      </w:r>
      <w:r>
        <w:rPr>
          <w:rFonts w:hint="eastAsia" w:ascii="仿宋" w:hAnsi="仿宋" w:eastAsia="仿宋" w:cs="仿宋_GB2312"/>
          <w:color w:val="000000"/>
          <w:sz w:val="32"/>
          <w:szCs w:val="32"/>
        </w:rPr>
        <w:t>、普法依法治理股、社区矫正管理股、行政复议与应诉股、行政执法协调监督股、人民参与和促进法治股、律师和法律援助工作管理股、公证与司法鉴定管理科。</w:t>
      </w:r>
    </w:p>
    <w:p w14:paraId="7917B734">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jc w:val="left"/>
        <w:textAlignment w:val="top"/>
        <w:outlineLvl w:val="9"/>
        <w:rPr>
          <w:rFonts w:hint="eastAsia"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eastAsia="zh-CN"/>
        </w:rPr>
        <w:t>部门</w:t>
      </w:r>
      <w:r>
        <w:rPr>
          <w:rFonts w:hint="eastAsia" w:ascii="方正楷体_GBK" w:hAnsi="方正楷体_GBK" w:eastAsia="方正楷体_GBK" w:cs="方正楷体_GBK"/>
          <w:b/>
          <w:color w:val="000000"/>
          <w:sz w:val="32"/>
        </w:rPr>
        <w:t>职责：</w:t>
      </w:r>
    </w:p>
    <w:p w14:paraId="128B7CF2">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（一）承担全面依法治县重大问题的政策研究。组织协调有关方面提出全面依法治县中长期规划建议，负责有关重大决策部署督察工作。</w:t>
      </w:r>
    </w:p>
    <w:p w14:paraId="0CE713DE">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lang w:eastAsia="zh-CN"/>
        </w:rPr>
        <w:t>（二）</w:t>
      </w:r>
      <w:r>
        <w:rPr>
          <w:rFonts w:hint="eastAsia" w:ascii="仿宋" w:hAnsi="仿宋" w:eastAsia="仿宋" w:cs="仿宋_GB2312"/>
          <w:sz w:val="32"/>
          <w:szCs w:val="32"/>
        </w:rPr>
        <w:t>负责县政府及各部门、各乡镇政府规范性文件的备案审查工作；负责对县政府政策措施、规范性文件和合同协议的合法性审核工作；承办县政府交办的涉法事务。</w:t>
      </w:r>
    </w:p>
    <w:p w14:paraId="6D4B2783">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三）承担统筹推进宁晋法治政府建设的责任。指导、监督县政府各部门、乡镇政府依法行政工作；负责综合协调行政执法，承担推进行政执法体制改革有关工作，推进严格规范公正文明执法；依法承办行政复议案件；受县政府委托，代理行政诉讼案件的应诉;受县政府委托，代理由市政府审理的行政复议裁决案件；指导、监督全县行政复议和行政应诉工作。</w:t>
      </w:r>
      <w:r>
        <w:rPr>
          <w:rFonts w:hint="eastAsia" w:ascii="仿宋" w:hAnsi="仿宋" w:eastAsia="仿宋" w:cs="仿宋_GB2312"/>
          <w:sz w:val="32"/>
          <w:szCs w:val="32"/>
        </w:rPr>
        <w:br w:type="textWrapping"/>
      </w:r>
      <w:r>
        <w:rPr>
          <w:rFonts w:hint="eastAsia" w:ascii="仿宋" w:hAnsi="仿宋" w:eastAsia="仿宋" w:cs="仿宋_GB2312"/>
          <w:sz w:val="32"/>
          <w:szCs w:val="32"/>
        </w:rPr>
        <w:t xml:space="preserve">    （四）承担统筹规划全县法治社会建设的责任。负责拟订全县法治宣传教育规划，组织实施普法宣传工作，推动全县人民参与和促进法治建设；指导全县依法治理和法治创建工作；指导全县调解工作，负责和指导全县人民陪审员选任管理工作，协助上级司法行政机关做好全县人民监督员选任和管理具体工作；负责指导全县司法所建设。</w:t>
      </w:r>
    </w:p>
    <w:p w14:paraId="29E840CE">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（五）负责全县社区矫正工作；负责全县刑满释放人员帮教安置工作。</w:t>
      </w:r>
    </w:p>
    <w:p w14:paraId="0C69733E">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 xml:space="preserve">（六）负责制定全县公共法律服务体系建设规划并指导实施，统筹和布局城乡、区域法律服务资源。负责全县律师、公证、法律援助、司法鉴定和基层法律服务管理工作。 </w:t>
      </w:r>
    </w:p>
    <w:p w14:paraId="684EA2F0">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（七）负责本系统服装和警车等物资装备管理工作；指导、监督本系统财务、装备、设施、场所等保障工作。</w:t>
      </w:r>
    </w:p>
    <w:p w14:paraId="4C882C76">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（八）规划、协调、指导全县法治人才队伍建设相关工作。指导、监督本系统队伍建设；负责本系统警务管理和警务督察工作。</w:t>
      </w:r>
    </w:p>
    <w:p w14:paraId="7AF389CF">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（九）完成县委、县政府交办的其他任务。</w:t>
      </w:r>
    </w:p>
    <w:p w14:paraId="5578507B">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内设机构：</w:t>
      </w:r>
    </w:p>
    <w:p w14:paraId="149DDF0B">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根据主要职责，宁晋县司法局内设8个机构：</w:t>
      </w:r>
    </w:p>
    <w:p w14:paraId="3EB2F200">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一）办公室。负责机关日常运转工作。制定本系统经费保障、财务管理、资产装备、技术业务用房建设等方面制度和政策；指导本系统财务、物资装备和基本建设管理工作；负责本系统服装和警车等管理工作；指导、监督本系统中央、省级、市级政法转移支付资金和基建投资的使用；负责和指导局机关和所属事业单位的预决算、财务管理和政府采购工作；负责局机关国有资产管理和后勤保障工作。负责对机关和所属单位经济财务活动的内部审计监督。负责和指导本系统思想政治工作、组织工作、队伍建设，指导、监督党的建设。负责规划、协调、指导法治人才队伍建设相关工作；负责和指导本系统教育培训工作；负责和指导本系统表彰奖励工作。指导本系统党的基层组织建设。负责本系统警务督察工作。负责局机关和所属单位人事管理和机构编制管理。负责全县司法行政系统警务管理工作。负责机关离退休干部工作，指导所属单位离退休干部工作。负责机关党群工作，指导所属单位党群工作。协助局党组落实党风廉政建设主体责任。负责局机关纪检监察工作，履行监督执纪问责职责。</w:t>
      </w:r>
    </w:p>
    <w:p w14:paraId="2EBC6B4A">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二）普法依法治理股。承办全面依法治县理论和实践调查研究工作，提出政策建议；承办全面依法治县工作规划建议的协调工作；组织起草全面依法治县有关重要文件；研究提出建设法治政府、推进依法行政的意见和措施；负责拟订本系统发展战略、中长期规划、重大政策；负责推进全县司法行政改革工作；负责全面依法治县重大决策部署和政策措施的督促检查工作；负责拟订县委全面依法治县办年度督察工作计划，组织开展重点工作督察，提出督察意见、问责建议；接受县政府各部门和乡镇政府法治工作重要决定和方案的备案；负责拟订全县法治宣传教育规划并组织实施。指导、监督全县各部门“谁执法谁普法”的普法责任制落实，推进全民普法工作；指导、监督全县国家工作人员学法用法工作；指导、监督全县各部门各行业依法治理和基层法治创建工作；指导全县社会主义法治文化建设工作。</w:t>
      </w:r>
    </w:p>
    <w:p w14:paraId="63471962">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三）社区矫正管理股。负责监督检查社区矫正法律法规和政策的执行工作；制定全县社区矫正工作发展规划、管理制度和相关政策并组织实施；负责对社区矫正对象的刑罚执行、管理教育和帮扶工作；指导社会力量和志愿者参与社区矫正工作；指导社区矫正场所建设和管理工作。负责帮教安置工作。</w:t>
      </w:r>
    </w:p>
    <w:p w14:paraId="5572B4B1">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四）行政复议与应诉股。依法受理行政复议申请，履行《中华人民共和国行政复议法》规定的各项职责。承办由县政府、县政府各部门、各乡镇政府行政行为引起的行政复议案件；受县政府委托，代理以县政府为被告的行政诉讼案件的行政应诉工作；受县政府委托，代理由市政府审理的行政复议裁决案件；监督、指导全县行政复议和行政应诉工作；办理行政复议与应诉的统计分析、评价、问题建议和综合等事项；负责县司法局机关行政复议和行政应诉案件办理工作。</w:t>
      </w:r>
    </w:p>
    <w:p w14:paraId="447EA05C">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五）行政执法协调监督股。负责规范性文件备案审查工作；组织开展规范性文件清理工作；组织办理县政府重大行政决策合法性审查、以县政府或县政府办公室名义印发规范性文件审核工作；办理县政府交办的涉法事务；承办县司法局规范性文件审查。负责全县行政执法综合协调工作；指导、监督全县各部门行政执法工作，推进严格规范公正文明执法；协调全县行政执法体制改革和行政执法普遍性重要性问题，协调部门之间行政执法中有关争议和问题，指导全县行政裁决工作；指导全县行政执法队伍规范化、制度化建设和行政执法人员培训工作；负责县政府职能转变、“放管服”等改革措施的法制协调工作，牵头负责县司法局“放管服”有关工作。</w:t>
      </w:r>
    </w:p>
    <w:p w14:paraId="2E938BAA">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六）人民参与和促进法治股。负责制定全县保障人民群众参与、促进、监督法治建设的制度措施；指导人民团体、群众自治组织和社会组织参与、支持法治社会建设工作。负责全县司法所建设工作；指导全县人民调解、行政调解、行业性专业性调解工作；负责和指导全县人民陪审员选任管理工作；协助上级司法行政机关做好全县人民监督员选任和管理具体工作；负责规划和推进全县公共法律服务体系和平台建设工作；指导、监督县人民调解员协会工作。</w:t>
      </w:r>
    </w:p>
    <w:p w14:paraId="3770388B">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 xml:space="preserve">（七）律师和法律援助工作管理股。负责指导、监督全县律师法律法规和规章政策的执行工作，负责全县律师工作。指导全县涉外法律服务工作；负责全县公职律师、公司律师和基层法律服务工作；指导、监督全县党政机关、企事业单位和村居法律顾问工作；指导律师行业党建工作；负责全县法律援助工作，组织、指导社会组织和志愿者开展法律服务工作。  </w:t>
      </w:r>
    </w:p>
    <w:p w14:paraId="116E42CF">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 xml:space="preserve">（八）公证与司法鉴定管理科。负责指导、监督全县公证和司法鉴定法律法规和规章政策的执行工作；负责全县公证和司法鉴定工作。指导监督全县公证机构和公证员执业活动；组织开展全县公证机构、公证员年度考核；制定全县司法鉴定发展规划和管理规定；负责对审核登记的司法鉴定机构和司法鉴定人的监督管理、教育培训工作。指导、督导县司法鉴定协会工作。 </w:t>
      </w:r>
    </w:p>
    <w:p w14:paraId="47B2C40C">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派出机构。县司法局设18个基层司法所。</w:t>
      </w:r>
    </w:p>
    <w:p w14:paraId="72AEAE0E">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_GB2312"/>
          <w:sz w:val="32"/>
          <w:szCs w:val="32"/>
        </w:rPr>
      </w:pPr>
      <w:r>
        <w:rPr>
          <w:rFonts w:hint="eastAsia" w:ascii="仿宋" w:hAnsi="仿宋" w:eastAsia="仿宋" w:cs="仿宋_GB2312"/>
          <w:sz w:val="32"/>
          <w:szCs w:val="32"/>
        </w:rPr>
        <w:t>司法所主要职责：指导管理人民调解工作，参与调解疑难、复杂民间纠纷；承担社区矫正日常管理工作，组织开展对社区服刑人员的管理、教育和帮助；指导、管理基层法律服务工作；协调有关部门和单位开展对刑释解教人员的安置帮教工作；组织开展法制宣传教育工作；组织开展基层依法治理工作，为乡镇（区）、街道依法行政、依法管理提供法律意见和建议；协助基层政府处理社会矛盾纠纷；参与社会治安综合治理工作；完成上级司法行政机关和乡镇（区）、街道交办的维护社会稳定的有关工作。</w:t>
      </w:r>
    </w:p>
    <w:p w14:paraId="4CA45585">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jc w:val="left"/>
        <w:textAlignment w:val="top"/>
        <w:outlineLvl w:val="9"/>
        <w:rPr>
          <w:rFonts w:ascii="方正楷体_GBK" w:hAnsi="方正楷体_GBK" w:eastAsia="方正楷体_GBK" w:cs="方正楷体_GBK"/>
          <w:b/>
          <w:color w:val="000000"/>
          <w:sz w:val="32"/>
        </w:rPr>
      </w:pPr>
    </w:p>
    <w:p w14:paraId="6132643D">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jc w:val="left"/>
        <w:textAlignment w:val="top"/>
        <w:outlineLvl w:val="9"/>
        <w:rPr>
          <w:rFonts w:hint="eastAsia" w:ascii="仿宋" w:hAnsi="仿宋" w:eastAsia="仿宋" w:cs="仿宋_GB2312"/>
          <w:sz w:val="32"/>
          <w:szCs w:val="32"/>
        </w:rPr>
      </w:pPr>
      <w:r>
        <w:rPr>
          <w:rFonts w:ascii="方正楷体_GBK" w:hAnsi="方正楷体_GBK" w:eastAsia="方正楷体_GBK" w:cs="方正楷体_GBK"/>
          <w:b/>
          <w:color w:val="000000"/>
          <w:sz w:val="32"/>
        </w:rPr>
        <w:t>机构设置：</w:t>
      </w:r>
    </w:p>
    <w:p w14:paraId="1D217793">
      <w:pPr>
        <w:jc w:val="center"/>
        <w:outlineLvl w:val="0"/>
        <w:rPr>
          <w:rFonts w:hint="eastAsia" w:ascii="仿宋" w:hAnsi="仿宋" w:eastAsia="仿宋" w:cs="仿宋_GB2312"/>
          <w:sz w:val="32"/>
          <w:szCs w:val="32"/>
        </w:rPr>
      </w:pPr>
      <w:r>
        <w:rPr>
          <w:rFonts w:eastAsia="方正小标宋_GBK"/>
          <w:b/>
          <w:bCs/>
          <w:sz w:val="32"/>
        </w:rPr>
        <w:t>部门</w:t>
      </w:r>
      <w:r>
        <w:rPr>
          <w:rFonts w:hint="eastAsia" w:eastAsia="方正小标宋_GBK"/>
          <w:b/>
          <w:bCs/>
          <w:sz w:val="32"/>
        </w:rPr>
        <w:t>机构设置情况</w:t>
      </w:r>
    </w:p>
    <w:tbl>
      <w:tblPr>
        <w:tblStyle w:val="6"/>
        <w:tblW w:w="94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12"/>
        <w:gridCol w:w="1600"/>
        <w:gridCol w:w="1625"/>
        <w:gridCol w:w="2668"/>
      </w:tblGrid>
      <w:tr w14:paraId="3BC5F2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512" w:type="dxa"/>
            <w:vAlign w:val="top"/>
          </w:tcPr>
          <w:p w14:paraId="36D60DD1">
            <w:pPr>
              <w:spacing w:line="660" w:lineRule="exact"/>
              <w:jc w:val="center"/>
              <w:rPr>
                <w:rFonts w:hint="eastAsia" w:asciiTheme="minorEastAsia" w:hAnsiTheme="minorEastAsia" w:eastAsiaTheme="minorEastAsia" w:cstheme="minorEastAsia"/>
                <w:b/>
                <w:bCs/>
                <w:sz w:val="32"/>
                <w:szCs w:val="32"/>
                <w:vertAlign w:val="baseline"/>
                <w:lang w:eastAsia="zh-CN"/>
              </w:rPr>
            </w:pPr>
            <w:r>
              <w:rPr>
                <w:rFonts w:hint="eastAsia" w:asciiTheme="minorEastAsia" w:hAnsiTheme="minorEastAsia" w:eastAsiaTheme="minorEastAsia" w:cstheme="minorEastAsia"/>
                <w:b/>
                <w:bCs/>
                <w:sz w:val="32"/>
                <w:szCs w:val="32"/>
                <w:vertAlign w:val="baseline"/>
                <w:lang w:eastAsia="zh-CN"/>
              </w:rPr>
              <w:t>单位名称</w:t>
            </w:r>
          </w:p>
        </w:tc>
        <w:tc>
          <w:tcPr>
            <w:tcW w:w="1600" w:type="dxa"/>
            <w:vAlign w:val="top"/>
          </w:tcPr>
          <w:p w14:paraId="66F3010D">
            <w:pPr>
              <w:spacing w:line="660" w:lineRule="exact"/>
              <w:jc w:val="center"/>
              <w:rPr>
                <w:rFonts w:hint="eastAsia" w:asciiTheme="minorEastAsia" w:hAnsiTheme="minorEastAsia" w:eastAsiaTheme="minorEastAsia" w:cstheme="minorEastAsia"/>
                <w:b/>
                <w:bCs/>
                <w:sz w:val="32"/>
                <w:szCs w:val="32"/>
                <w:vertAlign w:val="baseline"/>
                <w:lang w:eastAsia="zh-CN"/>
              </w:rPr>
            </w:pPr>
            <w:r>
              <w:rPr>
                <w:rFonts w:hint="eastAsia" w:asciiTheme="minorEastAsia" w:hAnsiTheme="minorEastAsia" w:eastAsiaTheme="minorEastAsia" w:cstheme="minorEastAsia"/>
                <w:b/>
                <w:bCs/>
                <w:sz w:val="32"/>
                <w:szCs w:val="32"/>
                <w:vertAlign w:val="baseline"/>
                <w:lang w:eastAsia="zh-CN"/>
              </w:rPr>
              <w:t>单位性质</w:t>
            </w:r>
          </w:p>
        </w:tc>
        <w:tc>
          <w:tcPr>
            <w:tcW w:w="1625" w:type="dxa"/>
            <w:vAlign w:val="top"/>
          </w:tcPr>
          <w:p w14:paraId="3F432840">
            <w:pPr>
              <w:spacing w:line="660" w:lineRule="exact"/>
              <w:jc w:val="center"/>
              <w:rPr>
                <w:rFonts w:hint="eastAsia" w:asciiTheme="minorEastAsia" w:hAnsiTheme="minorEastAsia" w:eastAsiaTheme="minorEastAsia" w:cstheme="minorEastAsia"/>
                <w:b/>
                <w:bCs/>
                <w:sz w:val="32"/>
                <w:szCs w:val="32"/>
                <w:vertAlign w:val="baseline"/>
                <w:lang w:eastAsia="zh-CN"/>
              </w:rPr>
            </w:pPr>
            <w:r>
              <w:rPr>
                <w:rFonts w:hint="eastAsia" w:asciiTheme="minorEastAsia" w:hAnsiTheme="minorEastAsia" w:eastAsiaTheme="minorEastAsia" w:cstheme="minorEastAsia"/>
                <w:b/>
                <w:bCs/>
                <w:sz w:val="32"/>
                <w:szCs w:val="32"/>
                <w:vertAlign w:val="baseline"/>
                <w:lang w:eastAsia="zh-CN"/>
              </w:rPr>
              <w:t>单位规格</w:t>
            </w:r>
          </w:p>
        </w:tc>
        <w:tc>
          <w:tcPr>
            <w:tcW w:w="2668" w:type="dxa"/>
            <w:vAlign w:val="top"/>
          </w:tcPr>
          <w:p w14:paraId="38A79F3B">
            <w:pPr>
              <w:spacing w:line="660" w:lineRule="exact"/>
              <w:jc w:val="center"/>
              <w:rPr>
                <w:rFonts w:hint="eastAsia" w:asciiTheme="minorEastAsia" w:hAnsiTheme="minorEastAsia" w:eastAsiaTheme="minorEastAsia" w:cstheme="minorEastAsia"/>
                <w:b/>
                <w:bCs/>
                <w:sz w:val="32"/>
                <w:szCs w:val="32"/>
                <w:vertAlign w:val="baseline"/>
                <w:lang w:eastAsia="zh-CN"/>
              </w:rPr>
            </w:pPr>
            <w:r>
              <w:rPr>
                <w:rFonts w:hint="eastAsia" w:asciiTheme="minorEastAsia" w:hAnsiTheme="minorEastAsia" w:eastAsiaTheme="minorEastAsia" w:cstheme="minorEastAsia"/>
                <w:b/>
                <w:bCs/>
                <w:sz w:val="32"/>
                <w:szCs w:val="32"/>
                <w:vertAlign w:val="baseline"/>
                <w:lang w:eastAsia="zh-CN"/>
              </w:rPr>
              <w:t>经费保障形式</w:t>
            </w:r>
          </w:p>
        </w:tc>
      </w:tr>
      <w:tr w14:paraId="656626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jc w:val="center"/>
        </w:trPr>
        <w:tc>
          <w:tcPr>
            <w:tcW w:w="3512" w:type="dxa"/>
            <w:vAlign w:val="top"/>
          </w:tcPr>
          <w:p w14:paraId="5F5AA0AB">
            <w:pPr>
              <w:spacing w:line="660" w:lineRule="exact"/>
              <w:jc w:val="center"/>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eastAsia="zh-CN"/>
              </w:rPr>
              <w:t>宁晋县司法局</w:t>
            </w:r>
            <w:r>
              <w:rPr>
                <w:rFonts w:hint="eastAsia" w:ascii="仿宋" w:hAnsi="仿宋" w:eastAsia="仿宋" w:cs="仿宋"/>
                <w:sz w:val="32"/>
                <w:szCs w:val="32"/>
                <w:vertAlign w:val="baseline"/>
                <w:lang w:val="en-US" w:eastAsia="zh-CN"/>
              </w:rPr>
              <w:t>本级</w:t>
            </w:r>
          </w:p>
        </w:tc>
        <w:tc>
          <w:tcPr>
            <w:tcW w:w="1600" w:type="dxa"/>
            <w:vAlign w:val="top"/>
          </w:tcPr>
          <w:p w14:paraId="7E59FE1C">
            <w:pPr>
              <w:spacing w:line="660" w:lineRule="exact"/>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行政</w:t>
            </w:r>
          </w:p>
        </w:tc>
        <w:tc>
          <w:tcPr>
            <w:tcW w:w="1625" w:type="dxa"/>
            <w:vAlign w:val="top"/>
          </w:tcPr>
          <w:p w14:paraId="1ECDC92D">
            <w:pPr>
              <w:spacing w:line="660" w:lineRule="exact"/>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正科级</w:t>
            </w:r>
          </w:p>
        </w:tc>
        <w:tc>
          <w:tcPr>
            <w:tcW w:w="2668" w:type="dxa"/>
            <w:vAlign w:val="top"/>
          </w:tcPr>
          <w:p w14:paraId="11D99D65">
            <w:pPr>
              <w:spacing w:line="660" w:lineRule="exact"/>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财政拨款</w:t>
            </w:r>
          </w:p>
        </w:tc>
      </w:tr>
    </w:tbl>
    <w:p w14:paraId="08B00652">
      <w:pPr>
        <w:ind w:firstLine="643" w:firstLineChars="200"/>
        <w:rPr>
          <w:rFonts w:hint="eastAsia" w:ascii="宋体" w:hAnsi="宋体" w:cs="宋体"/>
          <w:b/>
          <w:bCs/>
          <w:color w:val="000000"/>
          <w:sz w:val="32"/>
          <w:szCs w:val="32"/>
        </w:rPr>
      </w:pPr>
    </w:p>
    <w:p w14:paraId="762CADBB">
      <w:pPr>
        <w:keepNext w:val="0"/>
        <w:keepLines w:val="0"/>
        <w:pageBreakBefore w:val="0"/>
        <w:kinsoku/>
        <w:wordWrap/>
        <w:overflowPunct/>
        <w:topLinePunct w:val="0"/>
        <w:autoSpaceDE/>
        <w:autoSpaceDN/>
        <w:bidi w:val="0"/>
        <w:adjustRightInd/>
        <w:snapToGrid/>
        <w:spacing w:line="580" w:lineRule="exact"/>
        <w:ind w:firstLine="643" w:firstLineChars="200"/>
        <w:textAlignment w:val="auto"/>
        <w:rPr>
          <w:rFonts w:hint="eastAsia" w:ascii="宋体" w:hAnsi="宋体" w:cs="宋体"/>
          <w:b/>
          <w:bCs/>
          <w:color w:val="000000"/>
          <w:sz w:val="32"/>
          <w:szCs w:val="32"/>
        </w:rPr>
      </w:pPr>
    </w:p>
    <w:p w14:paraId="51F9F6B1">
      <w:pPr>
        <w:keepNext w:val="0"/>
        <w:keepLines w:val="0"/>
        <w:pageBreakBefore w:val="0"/>
        <w:kinsoku/>
        <w:wordWrap/>
        <w:overflowPunct/>
        <w:topLinePunct w:val="0"/>
        <w:autoSpaceDE/>
        <w:autoSpaceDN/>
        <w:bidi w:val="0"/>
        <w:adjustRightInd/>
        <w:snapToGrid/>
        <w:spacing w:line="580" w:lineRule="exact"/>
        <w:ind w:firstLine="643" w:firstLineChars="200"/>
        <w:textAlignment w:val="auto"/>
        <w:rPr>
          <w:rFonts w:ascii="宋体" w:cs="宋体"/>
          <w:b/>
          <w:bCs/>
          <w:color w:val="000000"/>
          <w:sz w:val="32"/>
          <w:szCs w:val="32"/>
        </w:rPr>
      </w:pPr>
      <w:r>
        <w:rPr>
          <w:rFonts w:hint="eastAsia" w:ascii="宋体" w:hAnsi="宋体" w:cs="宋体"/>
          <w:b/>
          <w:bCs/>
          <w:color w:val="000000"/>
          <w:sz w:val="32"/>
          <w:szCs w:val="32"/>
        </w:rPr>
        <w:t>二、部门预算安排的总体情况</w:t>
      </w:r>
    </w:p>
    <w:p w14:paraId="3A0361F1">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_GB2312"/>
          <w:sz w:val="32"/>
          <w:szCs w:val="32"/>
        </w:rPr>
      </w:pPr>
      <w:r>
        <w:rPr>
          <w:rFonts w:hint="eastAsia" w:ascii="仿宋" w:hAnsi="仿宋" w:eastAsia="仿宋" w:cs="仿宋_GB2312"/>
          <w:sz w:val="32"/>
          <w:szCs w:val="32"/>
        </w:rPr>
        <w:t>按照预算管理有关规定，目前我县部门预算的编制实行综合预算管理，即全部收入和支出都反映在预算中。宁晋县司法局机关及所属事业单位的收支包含在部门预算中。</w:t>
      </w:r>
    </w:p>
    <w:p w14:paraId="6FDD7B96">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_GB2312"/>
          <w:sz w:val="32"/>
          <w:szCs w:val="32"/>
        </w:rPr>
      </w:pPr>
      <w:r>
        <w:rPr>
          <w:rFonts w:hint="eastAsia" w:ascii="仿宋" w:hAnsi="仿宋" w:eastAsia="仿宋" w:cs="仿宋_GB2312"/>
          <w:sz w:val="32"/>
          <w:szCs w:val="32"/>
        </w:rPr>
        <w:t>1、收入说明</w:t>
      </w:r>
    </w:p>
    <w:p w14:paraId="03D5095E">
      <w:pPr>
        <w:pStyle w:val="8"/>
        <w:keepNext w:val="0"/>
        <w:keepLines w:val="0"/>
        <w:pageBreakBefore w:val="0"/>
        <w:kinsoku/>
        <w:wordWrap/>
        <w:overflowPunct/>
        <w:topLinePunct w:val="0"/>
        <w:autoSpaceDE/>
        <w:autoSpaceDN/>
        <w:bidi w:val="0"/>
        <w:adjustRightInd/>
        <w:snapToGrid/>
        <w:spacing w:line="580" w:lineRule="exact"/>
        <w:ind w:firstLine="640"/>
        <w:textAlignment w:val="auto"/>
        <w:rPr>
          <w:rFonts w:hint="eastAsia" w:ascii="仿宋" w:hAnsi="仿宋" w:eastAsia="仿宋" w:cs="仿宋_GB2312"/>
          <w:sz w:val="32"/>
          <w:szCs w:val="32"/>
        </w:rPr>
      </w:pPr>
      <w:r>
        <w:rPr>
          <w:rFonts w:hint="eastAsia" w:ascii="仿宋" w:hAnsi="仿宋" w:eastAsia="仿宋" w:cs="仿宋_GB2312"/>
          <w:sz w:val="32"/>
          <w:szCs w:val="32"/>
        </w:rPr>
        <w:t>收入预算，</w:t>
      </w:r>
      <w:r>
        <w:rPr>
          <w:rFonts w:ascii="仿宋" w:hAnsi="仿宋" w:eastAsia="仿宋" w:cs="仿宋_GB2312"/>
          <w:sz w:val="32"/>
          <w:szCs w:val="32"/>
        </w:rPr>
        <w:t>20</w:t>
      </w:r>
      <w:r>
        <w:rPr>
          <w:rFonts w:hint="eastAsia" w:ascii="仿宋" w:hAnsi="仿宋" w:eastAsia="仿宋" w:cs="仿宋_GB2312"/>
          <w:sz w:val="32"/>
          <w:szCs w:val="32"/>
        </w:rPr>
        <w:t>2</w:t>
      </w:r>
      <w:r>
        <w:rPr>
          <w:rFonts w:hint="eastAsia" w:ascii="仿宋" w:hAnsi="仿宋" w:eastAsia="仿宋" w:cs="仿宋_GB2312"/>
          <w:sz w:val="32"/>
          <w:szCs w:val="32"/>
          <w:lang w:val="en-US" w:eastAsia="zh-CN"/>
        </w:rPr>
        <w:t>2</w:t>
      </w:r>
      <w:r>
        <w:rPr>
          <w:rFonts w:hint="eastAsia" w:ascii="仿宋" w:hAnsi="仿宋" w:eastAsia="仿宋" w:cs="仿宋_GB2312"/>
          <w:sz w:val="32"/>
          <w:szCs w:val="32"/>
        </w:rPr>
        <w:t>年年初预算数为</w:t>
      </w:r>
      <w:r>
        <w:rPr>
          <w:rFonts w:hint="eastAsia" w:ascii="仿宋" w:hAnsi="仿宋" w:eastAsia="仿宋" w:cs="仿宋_GB2312"/>
          <w:sz w:val="32"/>
          <w:szCs w:val="32"/>
          <w:lang w:val="en-US" w:eastAsia="zh-CN"/>
        </w:rPr>
        <w:t>1053.83</w:t>
      </w:r>
      <w:r>
        <w:rPr>
          <w:rFonts w:hint="eastAsia" w:ascii="仿宋" w:hAnsi="仿宋" w:eastAsia="仿宋" w:cs="仿宋_GB2312"/>
          <w:sz w:val="32"/>
          <w:szCs w:val="32"/>
        </w:rPr>
        <w:t>万元，其中一般公共预算拨款</w:t>
      </w:r>
      <w:r>
        <w:rPr>
          <w:rFonts w:hint="eastAsia" w:ascii="仿宋" w:hAnsi="仿宋" w:eastAsia="仿宋" w:cs="仿宋_GB2312"/>
          <w:sz w:val="32"/>
          <w:szCs w:val="32"/>
          <w:lang w:val="en-US" w:eastAsia="zh-CN"/>
        </w:rPr>
        <w:t>1053.83</w:t>
      </w:r>
      <w:r>
        <w:rPr>
          <w:rFonts w:hint="eastAsia" w:ascii="仿宋" w:hAnsi="仿宋" w:eastAsia="仿宋" w:cs="仿宋_GB2312"/>
          <w:sz w:val="32"/>
          <w:szCs w:val="32"/>
        </w:rPr>
        <w:t>万元，基金预算收入0万元，国有资本经营预算收入0万元，财政专户核拨收入0万元。</w:t>
      </w:r>
    </w:p>
    <w:p w14:paraId="0BFC3D8F">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2</w:t>
      </w:r>
      <w:r>
        <w:rPr>
          <w:rFonts w:hint="eastAsia" w:ascii="仿宋" w:hAnsi="仿宋" w:eastAsia="仿宋" w:cs="仿宋_GB2312"/>
          <w:sz w:val="32"/>
          <w:szCs w:val="32"/>
        </w:rPr>
        <w:t>、</w:t>
      </w:r>
      <w:r>
        <w:rPr>
          <w:rFonts w:hint="eastAsia" w:ascii="仿宋" w:hAnsi="仿宋" w:eastAsia="仿宋" w:cs="仿宋_GB2312"/>
          <w:sz w:val="32"/>
          <w:szCs w:val="32"/>
          <w:lang w:eastAsia="zh-CN"/>
        </w:rPr>
        <w:t>支出</w:t>
      </w:r>
      <w:r>
        <w:rPr>
          <w:rFonts w:hint="eastAsia" w:ascii="仿宋" w:hAnsi="仿宋" w:eastAsia="仿宋" w:cs="仿宋_GB2312"/>
          <w:sz w:val="32"/>
          <w:szCs w:val="32"/>
        </w:rPr>
        <w:t>说明</w:t>
      </w:r>
    </w:p>
    <w:p w14:paraId="296B7215">
      <w:pPr>
        <w:pStyle w:val="8"/>
        <w:keepNext w:val="0"/>
        <w:keepLines w:val="0"/>
        <w:pageBreakBefore w:val="0"/>
        <w:kinsoku/>
        <w:wordWrap/>
        <w:overflowPunct/>
        <w:topLinePunct w:val="0"/>
        <w:autoSpaceDE/>
        <w:autoSpaceDN/>
        <w:bidi w:val="0"/>
        <w:adjustRightInd/>
        <w:snapToGrid/>
        <w:spacing w:line="580" w:lineRule="exact"/>
        <w:ind w:firstLine="640"/>
        <w:textAlignment w:val="auto"/>
        <w:rPr>
          <w:rFonts w:hint="eastAsia" w:ascii="仿宋" w:hAnsi="仿宋" w:eastAsia="仿宋" w:cs="仿宋_GB2312"/>
          <w:color w:val="auto"/>
          <w:sz w:val="32"/>
          <w:szCs w:val="32"/>
          <w:lang w:val="en-US" w:eastAsia="zh-CN"/>
        </w:rPr>
      </w:pPr>
      <w:r>
        <w:rPr>
          <w:rFonts w:hint="eastAsia" w:ascii="仿宋" w:hAnsi="仿宋" w:eastAsia="仿宋" w:cs="仿宋_GB2312"/>
          <w:sz w:val="32"/>
          <w:szCs w:val="32"/>
        </w:rPr>
        <w:t>支出预算，</w:t>
      </w:r>
      <w:r>
        <w:rPr>
          <w:rFonts w:ascii="仿宋" w:hAnsi="仿宋" w:eastAsia="仿宋" w:cs="仿宋_GB2312"/>
          <w:sz w:val="32"/>
          <w:szCs w:val="32"/>
        </w:rPr>
        <w:t>20</w:t>
      </w:r>
      <w:r>
        <w:rPr>
          <w:rFonts w:hint="eastAsia" w:ascii="仿宋" w:hAnsi="仿宋" w:eastAsia="仿宋" w:cs="仿宋_GB2312"/>
          <w:sz w:val="32"/>
          <w:szCs w:val="32"/>
        </w:rPr>
        <w:t>2</w:t>
      </w:r>
      <w:r>
        <w:rPr>
          <w:rFonts w:hint="eastAsia" w:ascii="仿宋" w:hAnsi="仿宋" w:eastAsia="仿宋" w:cs="仿宋_GB2312"/>
          <w:sz w:val="32"/>
          <w:szCs w:val="32"/>
          <w:lang w:val="en-US" w:eastAsia="zh-CN"/>
        </w:rPr>
        <w:t>2</w:t>
      </w:r>
      <w:r>
        <w:rPr>
          <w:rFonts w:hint="eastAsia" w:ascii="仿宋" w:hAnsi="仿宋" w:eastAsia="仿宋" w:cs="仿宋_GB2312"/>
          <w:sz w:val="32"/>
          <w:szCs w:val="32"/>
        </w:rPr>
        <w:t>年年初预算数为</w:t>
      </w:r>
      <w:r>
        <w:rPr>
          <w:rFonts w:hint="eastAsia" w:ascii="仿宋" w:hAnsi="仿宋" w:eastAsia="仿宋" w:cs="仿宋_GB2312"/>
          <w:sz w:val="32"/>
          <w:szCs w:val="32"/>
          <w:lang w:val="en-US" w:eastAsia="zh-CN"/>
        </w:rPr>
        <w:t>1053.83</w:t>
      </w:r>
      <w:r>
        <w:rPr>
          <w:rFonts w:hint="eastAsia" w:ascii="仿宋" w:hAnsi="仿宋" w:eastAsia="仿宋" w:cs="仿宋_GB2312"/>
          <w:sz w:val="32"/>
          <w:szCs w:val="32"/>
        </w:rPr>
        <w:t>万元。</w:t>
      </w:r>
      <w:r>
        <w:rPr>
          <w:rFonts w:hint="eastAsia" w:ascii="仿宋" w:hAnsi="仿宋" w:eastAsia="仿宋" w:cs="仿宋_GB2312"/>
          <w:color w:val="auto"/>
          <w:sz w:val="32"/>
          <w:szCs w:val="32"/>
        </w:rPr>
        <w:t>其中工资福利支出</w:t>
      </w:r>
      <w:r>
        <w:rPr>
          <w:rFonts w:hint="eastAsia" w:ascii="仿宋" w:hAnsi="仿宋" w:eastAsia="仿宋" w:cs="仿宋_GB2312"/>
          <w:color w:val="auto"/>
          <w:sz w:val="32"/>
          <w:szCs w:val="32"/>
          <w:lang w:val="en-US" w:eastAsia="zh-CN"/>
        </w:rPr>
        <w:t>534.26</w:t>
      </w:r>
      <w:r>
        <w:rPr>
          <w:rFonts w:hint="eastAsia" w:ascii="仿宋" w:hAnsi="仿宋" w:eastAsia="仿宋" w:cs="仿宋_GB2312"/>
          <w:color w:val="auto"/>
          <w:sz w:val="32"/>
          <w:szCs w:val="32"/>
        </w:rPr>
        <w:t>万元，商品和服务支出</w:t>
      </w:r>
      <w:r>
        <w:rPr>
          <w:rFonts w:hint="eastAsia" w:ascii="仿宋" w:hAnsi="仿宋" w:eastAsia="仿宋" w:cs="仿宋_GB2312"/>
          <w:color w:val="auto"/>
          <w:sz w:val="32"/>
          <w:szCs w:val="32"/>
          <w:lang w:val="en-US" w:eastAsia="zh-CN"/>
        </w:rPr>
        <w:t>221.63</w:t>
      </w:r>
      <w:r>
        <w:rPr>
          <w:rFonts w:hint="eastAsia" w:ascii="仿宋" w:hAnsi="仿宋" w:eastAsia="仿宋" w:cs="仿宋_GB2312"/>
          <w:color w:val="auto"/>
          <w:sz w:val="32"/>
          <w:szCs w:val="32"/>
        </w:rPr>
        <w:t>万元，资本性支出</w:t>
      </w:r>
      <w:r>
        <w:rPr>
          <w:rFonts w:hint="eastAsia" w:ascii="仿宋" w:hAnsi="仿宋" w:eastAsia="仿宋" w:cs="仿宋_GB2312"/>
          <w:color w:val="auto"/>
          <w:sz w:val="32"/>
          <w:szCs w:val="32"/>
          <w:lang w:val="en-US" w:eastAsia="zh-CN"/>
        </w:rPr>
        <w:t>49.96</w:t>
      </w:r>
      <w:r>
        <w:rPr>
          <w:rFonts w:hint="eastAsia" w:ascii="仿宋" w:hAnsi="仿宋" w:eastAsia="仿宋" w:cs="仿宋_GB2312"/>
          <w:color w:val="auto"/>
          <w:sz w:val="32"/>
          <w:szCs w:val="32"/>
        </w:rPr>
        <w:t>万元</w:t>
      </w:r>
      <w:r>
        <w:rPr>
          <w:rFonts w:hint="eastAsia" w:ascii="仿宋" w:hAnsi="仿宋" w:eastAsia="仿宋" w:cs="仿宋_GB2312"/>
          <w:color w:val="auto"/>
          <w:sz w:val="32"/>
          <w:szCs w:val="32"/>
          <w:lang w:eastAsia="zh-CN"/>
        </w:rPr>
        <w:t>，对事业单位经常性补助</w:t>
      </w:r>
      <w:r>
        <w:rPr>
          <w:rFonts w:hint="eastAsia" w:ascii="仿宋" w:hAnsi="仿宋" w:eastAsia="仿宋" w:cs="仿宋_GB2312"/>
          <w:color w:val="auto"/>
          <w:sz w:val="32"/>
          <w:szCs w:val="32"/>
          <w:lang w:val="en-US" w:eastAsia="zh-CN"/>
        </w:rPr>
        <w:t>118.60万元，</w:t>
      </w:r>
      <w:r>
        <w:rPr>
          <w:rFonts w:hint="eastAsia" w:ascii="仿宋" w:hAnsi="仿宋" w:eastAsia="仿宋" w:cs="仿宋_GB2312"/>
          <w:color w:val="auto"/>
          <w:sz w:val="32"/>
          <w:szCs w:val="32"/>
        </w:rPr>
        <w:t>对个人和家庭的补助支出</w:t>
      </w:r>
      <w:r>
        <w:rPr>
          <w:rFonts w:hint="eastAsia" w:ascii="仿宋" w:hAnsi="仿宋" w:eastAsia="仿宋" w:cs="仿宋_GB2312"/>
          <w:color w:val="auto"/>
          <w:sz w:val="32"/>
          <w:szCs w:val="32"/>
          <w:lang w:val="en-US" w:eastAsia="zh-CN"/>
        </w:rPr>
        <w:t>129.38</w:t>
      </w:r>
      <w:r>
        <w:rPr>
          <w:rFonts w:hint="eastAsia" w:ascii="仿宋" w:hAnsi="仿宋" w:eastAsia="仿宋" w:cs="仿宋_GB2312"/>
          <w:color w:val="auto"/>
          <w:sz w:val="32"/>
          <w:szCs w:val="32"/>
        </w:rPr>
        <w:t>万元</w:t>
      </w:r>
      <w:r>
        <w:rPr>
          <w:rFonts w:hint="eastAsia" w:ascii="仿宋" w:hAnsi="仿宋" w:eastAsia="仿宋" w:cs="仿宋_GB2312"/>
          <w:color w:val="auto"/>
          <w:sz w:val="32"/>
          <w:szCs w:val="32"/>
          <w:lang w:eastAsia="zh-CN"/>
        </w:rPr>
        <w:t>。</w:t>
      </w:r>
    </w:p>
    <w:p w14:paraId="36190A38">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ascii="仿宋" w:hAnsi="仿宋" w:eastAsia="仿宋" w:cs="仿宋_GB2312"/>
          <w:sz w:val="32"/>
          <w:szCs w:val="32"/>
        </w:rPr>
        <w:t>20</w:t>
      </w:r>
      <w:r>
        <w:rPr>
          <w:rFonts w:hint="eastAsia" w:ascii="仿宋" w:hAnsi="仿宋" w:eastAsia="仿宋" w:cs="仿宋_GB2312"/>
          <w:sz w:val="32"/>
          <w:szCs w:val="32"/>
        </w:rPr>
        <w:t>2</w:t>
      </w:r>
      <w:r>
        <w:rPr>
          <w:rFonts w:hint="eastAsia" w:ascii="仿宋" w:hAnsi="仿宋" w:eastAsia="仿宋" w:cs="仿宋_GB2312"/>
          <w:sz w:val="32"/>
          <w:szCs w:val="32"/>
          <w:lang w:val="en-US" w:eastAsia="zh-CN"/>
        </w:rPr>
        <w:t>2</w:t>
      </w:r>
      <w:r>
        <w:rPr>
          <w:rFonts w:hint="eastAsia" w:ascii="仿宋" w:hAnsi="仿宋" w:eastAsia="仿宋" w:cs="仿宋_GB2312"/>
          <w:sz w:val="32"/>
          <w:szCs w:val="32"/>
        </w:rPr>
        <w:t>年一般公共预算拨款收入</w:t>
      </w:r>
      <w:r>
        <w:rPr>
          <w:rFonts w:hint="eastAsia" w:ascii="仿宋" w:hAnsi="仿宋" w:eastAsia="仿宋" w:cs="仿宋_GB2312"/>
          <w:sz w:val="32"/>
          <w:szCs w:val="32"/>
          <w:lang w:val="en-US" w:eastAsia="zh-CN"/>
        </w:rPr>
        <w:t>1053.83</w:t>
      </w:r>
      <w:r>
        <w:rPr>
          <w:rFonts w:hint="eastAsia" w:ascii="仿宋" w:hAnsi="仿宋" w:eastAsia="仿宋" w:cs="仿宋_GB2312"/>
          <w:sz w:val="32"/>
          <w:szCs w:val="32"/>
        </w:rPr>
        <w:t>万元，具体安排如下：</w:t>
      </w:r>
    </w:p>
    <w:p w14:paraId="10276438">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基本支出：年初预算数为</w:t>
      </w:r>
      <w:r>
        <w:rPr>
          <w:rFonts w:hint="eastAsia" w:ascii="仿宋" w:hAnsi="仿宋" w:eastAsia="仿宋" w:cs="仿宋_GB2312"/>
          <w:sz w:val="32"/>
          <w:szCs w:val="32"/>
          <w:lang w:val="en-US" w:eastAsia="zh-CN"/>
        </w:rPr>
        <w:t>761.91</w:t>
      </w:r>
      <w:r>
        <w:rPr>
          <w:rFonts w:hint="eastAsia" w:ascii="仿宋" w:hAnsi="仿宋" w:eastAsia="仿宋" w:cs="仿宋_GB2312"/>
          <w:sz w:val="32"/>
          <w:szCs w:val="32"/>
        </w:rPr>
        <w:t>万元，是指为保障机关正常运转、完成日常工作任务而发生的额各项支出，包括用于在职人员基本工资、津贴补贴和退休人员的退休费和生活补贴以及办公及印刷费、邮电费、差旅费、会议费、福利费、日常维修费、专用材料及一般设备购置费、办公用房水电费、办公用房取暖费、办公用房物业管理费、公务用车运行维护费以及其他费用。</w:t>
      </w:r>
    </w:p>
    <w:p w14:paraId="158DCACE">
      <w:pPr>
        <w:keepNext w:val="0"/>
        <w:keepLines w:val="0"/>
        <w:pageBreakBefore w:val="0"/>
        <w:kinsoku/>
        <w:wordWrap/>
        <w:overflowPunct/>
        <w:topLinePunct w:val="0"/>
        <w:autoSpaceDE/>
        <w:autoSpaceDN/>
        <w:bidi w:val="0"/>
        <w:adjustRightInd/>
        <w:snapToGrid/>
        <w:spacing w:line="580" w:lineRule="exact"/>
        <w:ind w:firstLine="800" w:firstLineChars="250"/>
        <w:textAlignment w:val="auto"/>
        <w:rPr>
          <w:rFonts w:hint="eastAsia" w:ascii="仿宋" w:hAnsi="仿宋" w:eastAsia="仿宋" w:cs="仿宋_GB2312"/>
          <w:sz w:val="32"/>
          <w:szCs w:val="32"/>
        </w:rPr>
      </w:pPr>
      <w:r>
        <w:rPr>
          <w:rFonts w:hint="eastAsia" w:ascii="仿宋" w:hAnsi="仿宋" w:eastAsia="仿宋" w:cs="仿宋_GB2312"/>
          <w:sz w:val="32"/>
          <w:szCs w:val="32"/>
        </w:rPr>
        <w:t>项目支出：年初预算数为</w:t>
      </w:r>
      <w:r>
        <w:rPr>
          <w:rFonts w:hint="eastAsia" w:ascii="仿宋" w:hAnsi="仿宋" w:eastAsia="仿宋" w:cs="仿宋_GB2312"/>
          <w:sz w:val="32"/>
          <w:szCs w:val="32"/>
          <w:lang w:val="en-US" w:eastAsia="zh-CN"/>
        </w:rPr>
        <w:t>291.92</w:t>
      </w:r>
      <w:r>
        <w:rPr>
          <w:rFonts w:hint="eastAsia" w:ascii="仿宋" w:hAnsi="仿宋" w:eastAsia="仿宋" w:cs="仿宋_GB2312"/>
          <w:sz w:val="32"/>
          <w:szCs w:val="32"/>
        </w:rPr>
        <w:t>万元，是指单位为完成特定工作任务或事业发展目标而发生的支出，包括基层司法业务经费、办案装备费、法律援助经费、社区矫正经费、涉军安置人员工资及保险、公证处新招录人员工资、冯路杰养老保险资金、创建国家级“智慧矫正中心”资金、依法治县和依法行政工作经费、基层人民调解工作经费、法治宣传经费。</w:t>
      </w:r>
    </w:p>
    <w:p w14:paraId="20167668">
      <w:pPr>
        <w:keepNext w:val="0"/>
        <w:keepLines w:val="0"/>
        <w:pageBreakBefore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_GB2312"/>
          <w:sz w:val="32"/>
          <w:szCs w:val="32"/>
        </w:rPr>
      </w:pPr>
      <w:r>
        <w:rPr>
          <w:rFonts w:hint="eastAsia" w:ascii="仿宋" w:hAnsi="仿宋" w:eastAsia="仿宋" w:cs="仿宋_GB2312"/>
          <w:sz w:val="32"/>
          <w:szCs w:val="32"/>
          <w:lang w:val="en-US" w:eastAsia="zh-CN"/>
        </w:rPr>
        <w:t>3、</w:t>
      </w:r>
      <w:r>
        <w:rPr>
          <w:rFonts w:hint="eastAsia" w:ascii="仿宋" w:hAnsi="仿宋" w:eastAsia="仿宋" w:cs="仿宋_GB2312"/>
          <w:sz w:val="32"/>
          <w:szCs w:val="32"/>
        </w:rPr>
        <w:t>比上年增减情况</w:t>
      </w:r>
    </w:p>
    <w:p w14:paraId="6CB946CF">
      <w:pPr>
        <w:pStyle w:val="9"/>
        <w:keepNext w:val="0"/>
        <w:keepLines w:val="0"/>
        <w:pageBreakBefore w:val="0"/>
        <w:kinsoku/>
        <w:wordWrap/>
        <w:overflowPunct/>
        <w:topLinePunct w:val="0"/>
        <w:autoSpaceDE/>
        <w:autoSpaceDN/>
        <w:bidi w:val="0"/>
        <w:adjustRightInd/>
        <w:snapToGrid/>
        <w:spacing w:line="580" w:lineRule="exact"/>
        <w:textAlignment w:val="auto"/>
        <w:rPr>
          <w:rFonts w:hint="eastAsia" w:ascii="仿宋" w:hAnsi="仿宋" w:eastAsia="仿宋" w:cs="仿宋_GB2312"/>
          <w:sz w:val="32"/>
          <w:szCs w:val="32"/>
        </w:rPr>
      </w:pPr>
      <w:r>
        <w:rPr>
          <w:rFonts w:hint="eastAsia" w:ascii="仿宋" w:hAnsi="仿宋" w:eastAsia="仿宋" w:cs="仿宋_GB2312"/>
          <w:sz w:val="32"/>
          <w:szCs w:val="32"/>
        </w:rPr>
        <w:t>202</w:t>
      </w:r>
      <w:r>
        <w:rPr>
          <w:rFonts w:hint="eastAsia" w:ascii="仿宋" w:hAnsi="仿宋" w:eastAsia="仿宋" w:cs="仿宋_GB2312"/>
          <w:sz w:val="32"/>
          <w:szCs w:val="32"/>
          <w:lang w:val="en-US" w:eastAsia="zh-CN"/>
        </w:rPr>
        <w:t>2</w:t>
      </w:r>
      <w:r>
        <w:rPr>
          <w:rFonts w:hint="eastAsia" w:ascii="仿宋" w:hAnsi="仿宋" w:eastAsia="仿宋" w:cs="仿宋_GB2312"/>
          <w:sz w:val="32"/>
          <w:szCs w:val="32"/>
        </w:rPr>
        <w:t>年预算收支安排</w:t>
      </w:r>
      <w:r>
        <w:rPr>
          <w:rFonts w:hint="eastAsia" w:ascii="仿宋" w:hAnsi="仿宋" w:eastAsia="仿宋" w:cs="仿宋_GB2312"/>
          <w:sz w:val="32"/>
          <w:szCs w:val="32"/>
          <w:lang w:val="en-US" w:eastAsia="zh-CN"/>
        </w:rPr>
        <w:t>1053.83</w:t>
      </w:r>
      <w:r>
        <w:rPr>
          <w:rFonts w:hint="eastAsia" w:ascii="仿宋" w:hAnsi="仿宋" w:eastAsia="仿宋" w:cs="仿宋_GB2312"/>
          <w:sz w:val="32"/>
          <w:szCs w:val="32"/>
        </w:rPr>
        <w:t>万元，较202</w:t>
      </w:r>
      <w:r>
        <w:rPr>
          <w:rFonts w:hint="eastAsia" w:ascii="仿宋" w:hAnsi="仿宋" w:eastAsia="仿宋" w:cs="仿宋_GB2312"/>
          <w:sz w:val="32"/>
          <w:szCs w:val="32"/>
          <w:lang w:val="en-US" w:eastAsia="zh-CN"/>
        </w:rPr>
        <w:t>1</w:t>
      </w:r>
      <w:r>
        <w:rPr>
          <w:rFonts w:hint="eastAsia" w:ascii="仿宋" w:hAnsi="仿宋" w:eastAsia="仿宋" w:cs="仿宋_GB2312"/>
          <w:sz w:val="32"/>
          <w:szCs w:val="32"/>
        </w:rPr>
        <w:t>年预算增加</w:t>
      </w:r>
      <w:r>
        <w:rPr>
          <w:rFonts w:hint="eastAsia" w:ascii="仿宋" w:hAnsi="仿宋" w:eastAsia="仿宋" w:cs="仿宋_GB2312"/>
          <w:sz w:val="32"/>
          <w:szCs w:val="32"/>
          <w:lang w:val="en-US" w:eastAsia="zh-CN"/>
        </w:rPr>
        <w:t>90.07</w:t>
      </w:r>
      <w:r>
        <w:rPr>
          <w:rFonts w:hint="eastAsia" w:ascii="仿宋" w:hAnsi="仿宋" w:eastAsia="仿宋" w:cs="仿宋_GB2312"/>
          <w:sz w:val="32"/>
          <w:szCs w:val="32"/>
        </w:rPr>
        <w:t>万元，其中：基本支出增加</w:t>
      </w:r>
      <w:r>
        <w:rPr>
          <w:rFonts w:hint="eastAsia" w:ascii="仿宋" w:hAnsi="仿宋" w:eastAsia="仿宋" w:cs="仿宋_GB2312"/>
          <w:sz w:val="32"/>
          <w:szCs w:val="32"/>
          <w:lang w:val="en-US" w:eastAsia="zh-CN"/>
        </w:rPr>
        <w:t>118.01</w:t>
      </w:r>
      <w:r>
        <w:rPr>
          <w:rFonts w:hint="eastAsia" w:ascii="仿宋" w:hAnsi="仿宋" w:eastAsia="仿宋" w:cs="仿宋_GB2312"/>
          <w:sz w:val="32"/>
          <w:szCs w:val="32"/>
        </w:rPr>
        <w:t>万元，主要为增加人员经费支出；项目支出减少</w:t>
      </w:r>
      <w:r>
        <w:rPr>
          <w:rFonts w:hint="eastAsia" w:ascii="仿宋" w:hAnsi="仿宋" w:eastAsia="仿宋" w:cs="仿宋_GB2312"/>
          <w:sz w:val="32"/>
          <w:szCs w:val="32"/>
          <w:lang w:val="en-US" w:eastAsia="zh-CN"/>
        </w:rPr>
        <w:t>27.94</w:t>
      </w:r>
      <w:r>
        <w:rPr>
          <w:rFonts w:hint="eastAsia" w:ascii="仿宋" w:hAnsi="仿宋" w:eastAsia="仿宋" w:cs="仿宋_GB2312"/>
          <w:sz w:val="32"/>
          <w:szCs w:val="32"/>
        </w:rPr>
        <w:t>万元，主要为</w:t>
      </w:r>
      <w:r>
        <w:rPr>
          <w:rFonts w:hint="eastAsia" w:ascii="仿宋_GB2312" w:hAnsi="仿宋_GB2312" w:eastAsia="仿宋_GB2312" w:cs="仿宋_GB2312"/>
          <w:sz w:val="32"/>
          <w:szCs w:val="32"/>
        </w:rPr>
        <w:t>减少目标绩效奖</w:t>
      </w:r>
      <w:r>
        <w:rPr>
          <w:rFonts w:hint="eastAsia" w:ascii="仿宋_GB2312" w:hAnsi="仿宋_GB2312" w:eastAsia="仿宋_GB2312" w:cs="仿宋_GB2312"/>
          <w:sz w:val="32"/>
          <w:szCs w:val="32"/>
          <w:lang w:eastAsia="zh-CN"/>
        </w:rPr>
        <w:t>和</w:t>
      </w:r>
      <w:r>
        <w:rPr>
          <w:rFonts w:hint="eastAsia" w:ascii="仿宋_GB2312" w:hAnsi="仿宋_GB2312" w:eastAsia="仿宋_GB2312" w:cs="仿宋_GB2312"/>
          <w:sz w:val="32"/>
          <w:szCs w:val="32"/>
        </w:rPr>
        <w:t>精神文明奖及平安建设奖</w:t>
      </w:r>
      <w:r>
        <w:rPr>
          <w:rFonts w:hint="eastAsia" w:ascii="仿宋_GB2312" w:hAnsi="仿宋_GB2312" w:eastAsia="仿宋_GB2312" w:cs="仿宋_GB2312"/>
          <w:sz w:val="32"/>
          <w:szCs w:val="32"/>
          <w:lang w:eastAsia="zh-CN"/>
        </w:rPr>
        <w:t>经费支出</w:t>
      </w:r>
      <w:r>
        <w:rPr>
          <w:rFonts w:hint="eastAsia" w:ascii="仿宋_GB2312" w:hAnsi="仿宋_GB2312" w:eastAsia="仿宋_GB2312" w:cs="仿宋_GB2312"/>
          <w:sz w:val="32"/>
          <w:szCs w:val="32"/>
        </w:rPr>
        <w:t>。</w:t>
      </w:r>
    </w:p>
    <w:p w14:paraId="52939C6D">
      <w:pPr>
        <w:keepNext w:val="0"/>
        <w:keepLines w:val="0"/>
        <w:pageBreakBefore w:val="0"/>
        <w:widowControl/>
        <w:kinsoku/>
        <w:wordWrap/>
        <w:overflowPunct/>
        <w:topLinePunct w:val="0"/>
        <w:autoSpaceDE/>
        <w:autoSpaceDN/>
        <w:bidi w:val="0"/>
        <w:adjustRightInd/>
        <w:snapToGrid/>
        <w:spacing w:line="580" w:lineRule="exact"/>
        <w:ind w:firstLine="643" w:firstLineChars="200"/>
        <w:jc w:val="left"/>
        <w:textAlignment w:val="auto"/>
        <w:rPr>
          <w:rFonts w:ascii="宋体" w:cs="宋体"/>
          <w:b/>
          <w:bCs/>
          <w:sz w:val="32"/>
          <w:szCs w:val="32"/>
        </w:rPr>
      </w:pPr>
      <w:r>
        <w:rPr>
          <w:rFonts w:hint="eastAsia" w:ascii="宋体" w:hAnsi="宋体" w:cs="宋体"/>
          <w:b/>
          <w:bCs/>
          <w:kern w:val="0"/>
          <w:sz w:val="32"/>
          <w:szCs w:val="32"/>
        </w:rPr>
        <w:t>三、机关运行经费安排情况</w:t>
      </w:r>
    </w:p>
    <w:p w14:paraId="7DF32CB8">
      <w:pPr>
        <w:keepNext w:val="0"/>
        <w:keepLines w:val="0"/>
        <w:pageBreakBefore w:val="0"/>
        <w:widowControl/>
        <w:kinsoku/>
        <w:wordWrap/>
        <w:overflowPunct/>
        <w:topLinePunct w:val="0"/>
        <w:autoSpaceDE/>
        <w:autoSpaceDN/>
        <w:bidi w:val="0"/>
        <w:adjustRightInd/>
        <w:snapToGrid/>
        <w:spacing w:line="580" w:lineRule="exact"/>
        <w:ind w:firstLine="640" w:firstLineChars="200"/>
        <w:jc w:val="left"/>
        <w:textAlignment w:val="auto"/>
        <w:rPr>
          <w:rFonts w:ascii="仿宋" w:hAnsi="仿宋" w:eastAsia="仿宋" w:cs="仿宋_GB2312"/>
          <w:kern w:val="0"/>
          <w:sz w:val="32"/>
          <w:szCs w:val="32"/>
        </w:rPr>
      </w:pPr>
      <w:r>
        <w:rPr>
          <w:rFonts w:hint="eastAsia" w:ascii="仿宋" w:hAnsi="仿宋" w:eastAsia="仿宋" w:cs="仿宋_GB2312"/>
          <w:kern w:val="0"/>
          <w:sz w:val="32"/>
          <w:szCs w:val="32"/>
        </w:rPr>
        <w:t>202</w:t>
      </w:r>
      <w:r>
        <w:rPr>
          <w:rFonts w:hint="eastAsia" w:ascii="仿宋" w:hAnsi="仿宋" w:eastAsia="仿宋" w:cs="仿宋_GB2312"/>
          <w:kern w:val="0"/>
          <w:sz w:val="32"/>
          <w:szCs w:val="32"/>
          <w:lang w:val="en-US" w:eastAsia="zh-CN"/>
        </w:rPr>
        <w:t>2</w:t>
      </w:r>
      <w:r>
        <w:rPr>
          <w:rFonts w:hint="eastAsia" w:ascii="仿宋" w:hAnsi="仿宋" w:eastAsia="仿宋" w:cs="仿宋_GB2312"/>
          <w:kern w:val="0"/>
          <w:sz w:val="32"/>
          <w:szCs w:val="32"/>
        </w:rPr>
        <w:t>年部门日常公用经费共计安排</w:t>
      </w:r>
      <w:r>
        <w:rPr>
          <w:rFonts w:hint="eastAsia" w:ascii="仿宋" w:hAnsi="仿宋" w:eastAsia="仿宋" w:cs="仿宋_GB2312"/>
          <w:kern w:val="0"/>
          <w:sz w:val="32"/>
          <w:szCs w:val="32"/>
          <w:lang w:val="en-US" w:eastAsia="zh-CN"/>
        </w:rPr>
        <w:t>86.55</w:t>
      </w:r>
      <w:r>
        <w:rPr>
          <w:rFonts w:hint="eastAsia" w:ascii="仿宋" w:hAnsi="仿宋" w:eastAsia="仿宋" w:cs="仿宋_GB2312"/>
          <w:kern w:val="0"/>
          <w:sz w:val="32"/>
          <w:szCs w:val="32"/>
        </w:rPr>
        <w:t>万元，较</w:t>
      </w:r>
      <w:r>
        <w:rPr>
          <w:rFonts w:ascii="仿宋" w:hAnsi="仿宋" w:eastAsia="仿宋" w:cs="仿宋_GB2312"/>
          <w:kern w:val="0"/>
          <w:sz w:val="32"/>
          <w:szCs w:val="32"/>
        </w:rPr>
        <w:t>20</w:t>
      </w:r>
      <w:r>
        <w:rPr>
          <w:rFonts w:hint="eastAsia" w:ascii="仿宋" w:hAnsi="仿宋" w:eastAsia="仿宋" w:cs="仿宋_GB2312"/>
          <w:kern w:val="0"/>
          <w:sz w:val="32"/>
          <w:szCs w:val="32"/>
          <w:lang w:val="en-US" w:eastAsia="zh-CN"/>
        </w:rPr>
        <w:t>21</w:t>
      </w:r>
      <w:r>
        <w:rPr>
          <w:rFonts w:hint="eastAsia" w:ascii="仿宋" w:hAnsi="仿宋" w:eastAsia="仿宋" w:cs="仿宋_GB2312"/>
          <w:kern w:val="0"/>
          <w:sz w:val="32"/>
          <w:szCs w:val="32"/>
        </w:rPr>
        <w:t>年（</w:t>
      </w:r>
      <w:r>
        <w:rPr>
          <w:rFonts w:hint="eastAsia" w:ascii="仿宋" w:hAnsi="仿宋" w:eastAsia="仿宋" w:cs="仿宋_GB2312"/>
          <w:kern w:val="0"/>
          <w:sz w:val="32"/>
          <w:szCs w:val="32"/>
          <w:lang w:val="en-US" w:eastAsia="zh-CN"/>
        </w:rPr>
        <w:t>85.01</w:t>
      </w:r>
      <w:r>
        <w:rPr>
          <w:rFonts w:hint="eastAsia" w:ascii="仿宋" w:hAnsi="仿宋" w:eastAsia="仿宋" w:cs="仿宋_GB2312"/>
          <w:kern w:val="0"/>
          <w:sz w:val="32"/>
          <w:szCs w:val="32"/>
        </w:rPr>
        <w:t>万元）增加</w:t>
      </w:r>
      <w:r>
        <w:rPr>
          <w:rFonts w:hint="eastAsia" w:ascii="仿宋" w:hAnsi="仿宋" w:eastAsia="仿宋" w:cs="仿宋_GB2312"/>
          <w:kern w:val="0"/>
          <w:sz w:val="32"/>
          <w:szCs w:val="32"/>
          <w:lang w:val="en-US" w:eastAsia="zh-CN"/>
        </w:rPr>
        <w:t>1.54</w:t>
      </w:r>
      <w:r>
        <w:rPr>
          <w:rFonts w:hint="eastAsia" w:ascii="仿宋" w:hAnsi="仿宋" w:eastAsia="仿宋" w:cs="仿宋_GB2312"/>
          <w:kern w:val="0"/>
          <w:sz w:val="32"/>
          <w:szCs w:val="32"/>
        </w:rPr>
        <w:t>万元。其中</w:t>
      </w:r>
      <w:r>
        <w:rPr>
          <w:rFonts w:hint="eastAsia" w:ascii="仿宋" w:hAnsi="仿宋" w:eastAsia="仿宋" w:cs="仿宋_GB2312"/>
          <w:kern w:val="0"/>
          <w:sz w:val="32"/>
          <w:szCs w:val="32"/>
          <w:lang w:eastAsia="zh-CN"/>
        </w:rPr>
        <w:t>：基础定额类支出安排</w:t>
      </w:r>
      <w:r>
        <w:rPr>
          <w:rFonts w:hint="eastAsia" w:ascii="仿宋" w:hAnsi="仿宋" w:eastAsia="仿宋" w:cs="仿宋_GB2312"/>
          <w:kern w:val="0"/>
          <w:sz w:val="32"/>
          <w:szCs w:val="32"/>
          <w:lang w:val="en-US" w:eastAsia="zh-CN"/>
        </w:rPr>
        <w:t>81.45</w:t>
      </w:r>
      <w:r>
        <w:rPr>
          <w:rFonts w:hint="eastAsia" w:ascii="仿宋" w:hAnsi="仿宋" w:eastAsia="仿宋" w:cs="仿宋_GB2312"/>
          <w:kern w:val="0"/>
          <w:sz w:val="32"/>
          <w:szCs w:val="32"/>
          <w:lang w:eastAsia="zh-CN"/>
        </w:rPr>
        <w:t>万元，主要用于办公、水电、取暖、差旅、会议以及通讯和交通补贴等用于机关日常业务开展的支出；按规定比例计提类支出安排</w:t>
      </w:r>
      <w:r>
        <w:rPr>
          <w:rFonts w:hint="eastAsia" w:ascii="仿宋" w:hAnsi="仿宋" w:eastAsia="仿宋" w:cs="仿宋_GB2312"/>
          <w:kern w:val="0"/>
          <w:sz w:val="32"/>
          <w:szCs w:val="32"/>
          <w:lang w:val="en-US" w:eastAsia="zh-CN"/>
        </w:rPr>
        <w:t>5.10</w:t>
      </w:r>
      <w:r>
        <w:rPr>
          <w:rFonts w:hint="eastAsia" w:ascii="仿宋" w:hAnsi="仿宋" w:eastAsia="仿宋" w:cs="仿宋_GB2312"/>
          <w:kern w:val="0"/>
          <w:sz w:val="32"/>
          <w:szCs w:val="32"/>
          <w:lang w:eastAsia="zh-CN"/>
        </w:rPr>
        <w:t>万元，主要用于工会、公务接待等。</w:t>
      </w:r>
    </w:p>
    <w:p w14:paraId="76B460F1">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ascii="宋体" w:cs="宋体"/>
          <w:b/>
          <w:bCs/>
          <w:sz w:val="32"/>
          <w:szCs w:val="32"/>
        </w:rPr>
      </w:pPr>
      <w:r>
        <w:rPr>
          <w:rFonts w:hint="eastAsia" w:ascii="宋体" w:hAnsi="宋体" w:cs="宋体"/>
          <w:b/>
          <w:bCs/>
          <w:kern w:val="0"/>
          <w:sz w:val="32"/>
          <w:szCs w:val="32"/>
        </w:rPr>
        <w:t>四、财政拨款“三公”经费预算安排情况</w:t>
      </w:r>
    </w:p>
    <w:p w14:paraId="5EE815F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_GB2312"/>
          <w:sz w:val="32"/>
          <w:szCs w:val="32"/>
          <w:lang w:val="en-US" w:eastAsia="zh-CN"/>
        </w:rPr>
      </w:pPr>
      <w:r>
        <w:rPr>
          <w:rFonts w:hint="eastAsia" w:ascii="仿宋" w:hAnsi="仿宋" w:eastAsia="仿宋" w:cs="仿宋_GB2312"/>
          <w:sz w:val="32"/>
          <w:szCs w:val="32"/>
        </w:rPr>
        <w:t>纳入财政预算管理的</w:t>
      </w:r>
      <w:r>
        <w:rPr>
          <w:rFonts w:hint="eastAsia" w:ascii="仿宋" w:hAnsi="仿宋" w:eastAsia="仿宋" w:cs="仿宋_GB2312"/>
          <w:sz w:val="32"/>
          <w:szCs w:val="32"/>
          <w:lang w:eastAsia="zh-CN"/>
        </w:rPr>
        <w:t>“三公”经费</w:t>
      </w:r>
      <w:r>
        <w:rPr>
          <w:rFonts w:hint="eastAsia" w:ascii="仿宋" w:hAnsi="仿宋" w:eastAsia="仿宋" w:cs="仿宋_GB2312"/>
          <w:sz w:val="32"/>
          <w:szCs w:val="32"/>
        </w:rPr>
        <w:t>是指一般公共预算拨款安排的公务接待费、公务用车购置及运行维护费</w:t>
      </w:r>
      <w:r>
        <w:rPr>
          <w:rFonts w:hint="eastAsia" w:ascii="仿宋" w:hAnsi="仿宋" w:eastAsia="仿宋" w:cs="仿宋_GB2312"/>
          <w:sz w:val="32"/>
          <w:szCs w:val="32"/>
          <w:lang w:eastAsia="zh-CN"/>
        </w:rPr>
        <w:t>和</w:t>
      </w:r>
      <w:r>
        <w:rPr>
          <w:rFonts w:hint="eastAsia" w:ascii="仿宋" w:hAnsi="仿宋" w:eastAsia="仿宋" w:cs="仿宋_GB2312"/>
          <w:sz w:val="32"/>
          <w:szCs w:val="32"/>
        </w:rPr>
        <w:t>因公出国（境）费。2023年部门“三公”经费年初预算数为20.5</w:t>
      </w:r>
      <w:r>
        <w:rPr>
          <w:rFonts w:hint="eastAsia" w:ascii="仿宋" w:hAnsi="仿宋" w:eastAsia="仿宋" w:cs="仿宋_GB2312"/>
          <w:sz w:val="32"/>
          <w:szCs w:val="32"/>
          <w:lang w:val="en-US" w:eastAsia="zh-CN"/>
        </w:rPr>
        <w:t>7</w:t>
      </w:r>
      <w:r>
        <w:rPr>
          <w:rFonts w:hint="eastAsia" w:ascii="仿宋" w:hAnsi="仿宋" w:eastAsia="仿宋" w:cs="仿宋_GB2312"/>
          <w:kern w:val="0"/>
          <w:sz w:val="32"/>
          <w:szCs w:val="32"/>
        </w:rPr>
        <w:t>万</w:t>
      </w:r>
      <w:r>
        <w:rPr>
          <w:rFonts w:hint="eastAsia" w:ascii="仿宋" w:hAnsi="仿宋" w:eastAsia="仿宋" w:cs="仿宋_GB2312"/>
          <w:sz w:val="32"/>
          <w:szCs w:val="32"/>
        </w:rPr>
        <w:t>元</w:t>
      </w:r>
      <w:r>
        <w:rPr>
          <w:rFonts w:hint="eastAsia" w:ascii="仿宋" w:hAnsi="仿宋" w:eastAsia="仿宋" w:cs="仿宋_GB2312"/>
          <w:kern w:val="0"/>
          <w:sz w:val="32"/>
          <w:szCs w:val="32"/>
        </w:rPr>
        <w:t>，与</w:t>
      </w:r>
      <w:r>
        <w:rPr>
          <w:rFonts w:ascii="仿宋" w:hAnsi="仿宋" w:eastAsia="仿宋" w:cs="仿宋_GB2312"/>
          <w:kern w:val="0"/>
          <w:sz w:val="32"/>
          <w:szCs w:val="32"/>
        </w:rPr>
        <w:t>20</w:t>
      </w:r>
      <w:r>
        <w:rPr>
          <w:rFonts w:hint="eastAsia" w:ascii="仿宋" w:hAnsi="仿宋" w:eastAsia="仿宋" w:cs="仿宋_GB2312"/>
          <w:kern w:val="0"/>
          <w:sz w:val="32"/>
          <w:szCs w:val="32"/>
          <w:lang w:val="en-US" w:eastAsia="zh-CN"/>
        </w:rPr>
        <w:t>21</w:t>
      </w:r>
      <w:r>
        <w:rPr>
          <w:rFonts w:hint="eastAsia" w:ascii="仿宋" w:hAnsi="仿宋" w:eastAsia="仿宋" w:cs="仿宋_GB2312"/>
          <w:kern w:val="0"/>
          <w:sz w:val="32"/>
          <w:szCs w:val="32"/>
        </w:rPr>
        <w:t>年</w:t>
      </w:r>
      <w:r>
        <w:rPr>
          <w:rFonts w:hint="eastAsia" w:ascii="仿宋" w:hAnsi="仿宋" w:eastAsia="仿宋" w:cs="仿宋_GB2312"/>
          <w:kern w:val="0"/>
          <w:sz w:val="32"/>
          <w:szCs w:val="32"/>
          <w:lang w:eastAsia="zh-CN"/>
        </w:rPr>
        <w:t>决算数持平</w:t>
      </w:r>
      <w:r>
        <w:rPr>
          <w:rFonts w:hint="eastAsia" w:ascii="仿宋" w:hAnsi="仿宋" w:eastAsia="仿宋" w:cs="仿宋_GB2312"/>
          <w:kern w:val="0"/>
          <w:sz w:val="32"/>
          <w:szCs w:val="32"/>
        </w:rPr>
        <w:t>。</w:t>
      </w:r>
      <w:r>
        <w:rPr>
          <w:rFonts w:hint="eastAsia" w:ascii="仿宋" w:hAnsi="仿宋" w:eastAsia="仿宋" w:cs="仿宋_GB2312"/>
          <w:sz w:val="32"/>
          <w:szCs w:val="32"/>
        </w:rPr>
        <w:t>其中因公出国（境）费</w:t>
      </w:r>
      <w:r>
        <w:rPr>
          <w:rFonts w:hint="eastAsia" w:ascii="仿宋" w:hAnsi="仿宋" w:eastAsia="仿宋" w:cs="仿宋_GB2312"/>
          <w:sz w:val="32"/>
          <w:szCs w:val="32"/>
          <w:lang w:val="en-US" w:eastAsia="zh-CN"/>
        </w:rPr>
        <w:t>0万元，</w:t>
      </w:r>
      <w:r>
        <w:rPr>
          <w:rFonts w:hint="eastAsia" w:ascii="仿宋" w:hAnsi="仿宋" w:eastAsia="仿宋" w:cs="仿宋_GB2312"/>
          <w:sz w:val="32"/>
          <w:szCs w:val="32"/>
        </w:rPr>
        <w:t>与</w:t>
      </w:r>
      <w:r>
        <w:rPr>
          <w:rFonts w:ascii="仿宋" w:hAnsi="仿宋" w:eastAsia="仿宋" w:cs="仿宋_GB2312"/>
          <w:sz w:val="32"/>
          <w:szCs w:val="32"/>
        </w:rPr>
        <w:t>20</w:t>
      </w:r>
      <w:r>
        <w:rPr>
          <w:rFonts w:hint="eastAsia" w:ascii="仿宋" w:hAnsi="仿宋" w:eastAsia="仿宋" w:cs="仿宋_GB2312"/>
          <w:sz w:val="32"/>
          <w:szCs w:val="32"/>
          <w:lang w:val="en-US" w:eastAsia="zh-CN"/>
        </w:rPr>
        <w:t>21</w:t>
      </w:r>
      <w:r>
        <w:rPr>
          <w:rFonts w:hint="eastAsia" w:ascii="仿宋" w:hAnsi="仿宋" w:eastAsia="仿宋" w:cs="仿宋_GB2312"/>
          <w:sz w:val="32"/>
          <w:szCs w:val="32"/>
        </w:rPr>
        <w:t>年</w:t>
      </w:r>
      <w:r>
        <w:rPr>
          <w:rFonts w:hint="eastAsia" w:ascii="仿宋" w:hAnsi="仿宋" w:eastAsia="仿宋" w:cs="仿宋_GB2312"/>
          <w:kern w:val="0"/>
          <w:sz w:val="32"/>
          <w:szCs w:val="32"/>
          <w:lang w:eastAsia="zh-CN"/>
        </w:rPr>
        <w:t>决算数持平；</w:t>
      </w:r>
      <w:r>
        <w:rPr>
          <w:rFonts w:hint="eastAsia" w:ascii="仿宋" w:hAnsi="仿宋" w:eastAsia="仿宋" w:cs="仿宋_GB2312"/>
          <w:sz w:val="32"/>
          <w:szCs w:val="32"/>
        </w:rPr>
        <w:t>公务接待费0.5</w:t>
      </w:r>
      <w:r>
        <w:rPr>
          <w:rFonts w:hint="eastAsia" w:ascii="仿宋" w:hAnsi="仿宋" w:eastAsia="仿宋" w:cs="仿宋_GB2312"/>
          <w:sz w:val="32"/>
          <w:szCs w:val="32"/>
          <w:lang w:val="en-US" w:eastAsia="zh-CN"/>
        </w:rPr>
        <w:t>7万</w:t>
      </w:r>
      <w:r>
        <w:rPr>
          <w:rFonts w:hint="eastAsia" w:ascii="仿宋" w:hAnsi="仿宋" w:eastAsia="仿宋" w:cs="仿宋_GB2312"/>
          <w:sz w:val="32"/>
          <w:szCs w:val="32"/>
        </w:rPr>
        <w:t>元，与</w:t>
      </w:r>
      <w:r>
        <w:rPr>
          <w:rFonts w:ascii="仿宋" w:hAnsi="仿宋" w:eastAsia="仿宋" w:cs="仿宋_GB2312"/>
          <w:sz w:val="32"/>
          <w:szCs w:val="32"/>
        </w:rPr>
        <w:t>20</w:t>
      </w:r>
      <w:r>
        <w:rPr>
          <w:rFonts w:hint="eastAsia" w:ascii="仿宋" w:hAnsi="仿宋" w:eastAsia="仿宋" w:cs="仿宋_GB2312"/>
          <w:sz w:val="32"/>
          <w:szCs w:val="32"/>
          <w:lang w:val="en-US" w:eastAsia="zh-CN"/>
        </w:rPr>
        <w:t>21</w:t>
      </w:r>
      <w:r>
        <w:rPr>
          <w:rFonts w:hint="eastAsia" w:ascii="仿宋" w:hAnsi="仿宋" w:eastAsia="仿宋" w:cs="仿宋_GB2312"/>
          <w:sz w:val="32"/>
          <w:szCs w:val="32"/>
        </w:rPr>
        <w:t>年</w:t>
      </w:r>
      <w:r>
        <w:rPr>
          <w:rFonts w:hint="eastAsia" w:ascii="仿宋" w:hAnsi="仿宋" w:eastAsia="仿宋" w:cs="仿宋_GB2312"/>
          <w:kern w:val="0"/>
          <w:sz w:val="32"/>
          <w:szCs w:val="32"/>
          <w:lang w:eastAsia="zh-CN"/>
        </w:rPr>
        <w:t>决算数持平；</w:t>
      </w:r>
      <w:r>
        <w:rPr>
          <w:rFonts w:hint="eastAsia" w:ascii="仿宋" w:hAnsi="仿宋" w:eastAsia="仿宋" w:cs="仿宋_GB2312"/>
          <w:sz w:val="32"/>
          <w:szCs w:val="32"/>
        </w:rPr>
        <w:t>公务用车购置及运行费</w:t>
      </w:r>
      <w:r>
        <w:rPr>
          <w:rFonts w:ascii="仿宋" w:hAnsi="仿宋" w:eastAsia="仿宋" w:cs="仿宋_GB2312"/>
          <w:sz w:val="32"/>
          <w:szCs w:val="32"/>
        </w:rPr>
        <w:t>20</w:t>
      </w:r>
      <w:r>
        <w:rPr>
          <w:rFonts w:hint="eastAsia" w:ascii="仿宋" w:hAnsi="仿宋" w:eastAsia="仿宋" w:cs="仿宋_GB2312"/>
          <w:sz w:val="32"/>
          <w:szCs w:val="32"/>
        </w:rPr>
        <w:t>万元，与</w:t>
      </w:r>
      <w:r>
        <w:rPr>
          <w:rFonts w:hint="eastAsia" w:ascii="仿宋" w:hAnsi="仿宋" w:eastAsia="仿宋" w:cs="仿宋_GB2312"/>
          <w:sz w:val="32"/>
          <w:szCs w:val="32"/>
          <w:lang w:val="en-US" w:eastAsia="zh-CN"/>
        </w:rPr>
        <w:t>2021</w:t>
      </w:r>
      <w:r>
        <w:rPr>
          <w:rFonts w:hint="eastAsia" w:ascii="仿宋" w:hAnsi="仿宋" w:eastAsia="仿宋" w:cs="仿宋_GB2312"/>
          <w:sz w:val="32"/>
          <w:szCs w:val="32"/>
        </w:rPr>
        <w:t>年</w:t>
      </w:r>
      <w:r>
        <w:rPr>
          <w:rFonts w:hint="eastAsia" w:ascii="仿宋" w:hAnsi="仿宋" w:eastAsia="仿宋" w:cs="仿宋_GB2312"/>
          <w:kern w:val="0"/>
          <w:sz w:val="32"/>
          <w:szCs w:val="32"/>
          <w:lang w:eastAsia="zh-CN"/>
        </w:rPr>
        <w:t>决算数持平</w:t>
      </w:r>
      <w:r>
        <w:rPr>
          <w:rFonts w:hint="eastAsia" w:ascii="仿宋" w:hAnsi="仿宋" w:eastAsia="仿宋" w:cs="仿宋_GB2312"/>
          <w:sz w:val="32"/>
          <w:szCs w:val="32"/>
        </w:rPr>
        <w:t>。</w:t>
      </w:r>
    </w:p>
    <w:p w14:paraId="7F488786">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firstLine="630"/>
        <w:textAlignment w:val="auto"/>
        <w:rPr>
          <w:rFonts w:hint="eastAsia" w:ascii="宋体" w:hAnsi="宋体" w:cs="宋体"/>
          <w:b/>
          <w:bCs/>
          <w:sz w:val="32"/>
          <w:szCs w:val="32"/>
        </w:rPr>
      </w:pPr>
      <w:r>
        <w:rPr>
          <w:rFonts w:hint="eastAsia" w:ascii="宋体" w:hAnsi="宋体" w:cs="宋体"/>
          <w:b/>
          <w:bCs/>
          <w:sz w:val="32"/>
          <w:szCs w:val="32"/>
        </w:rPr>
        <w:t>绩效预算信息</w:t>
      </w:r>
    </w:p>
    <w:p w14:paraId="34CAD146">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jc w:val="left"/>
        <w:textAlignment w:val="auto"/>
        <w:outlineLvl w:val="9"/>
      </w:pPr>
      <w:r>
        <w:rPr>
          <w:rFonts w:ascii="方正楷体_GBK" w:hAnsi="方正楷体_GBK" w:eastAsia="方正楷体_GBK" w:cs="方正楷体_GBK"/>
          <w:b/>
          <w:color w:val="000000"/>
          <w:sz w:val="32"/>
        </w:rPr>
        <w:t>第一部分 部门整体绩效目标</w:t>
      </w:r>
    </w:p>
    <w:p w14:paraId="6BA640D5">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60"/>
        <w:jc w:val="left"/>
        <w:textAlignment w:val="auto"/>
        <w:outlineLvl w:val="9"/>
        <w:rPr>
          <w:rFonts w:hint="eastAsia" w:ascii="仿宋" w:hAnsi="仿宋" w:eastAsia="仿宋" w:cs="宋体"/>
          <w:kern w:val="0"/>
          <w:sz w:val="32"/>
          <w:szCs w:val="32"/>
        </w:rPr>
      </w:pPr>
      <w:r>
        <w:rPr>
          <w:rFonts w:ascii="Times New Roman" w:hAnsi="Times New Roman" w:eastAsia="方正仿宋_GBK" w:cs="Times New Roman"/>
          <w:color w:val="000000"/>
          <w:sz w:val="32"/>
          <w:szCs w:val="32"/>
        </w:rPr>
        <w:t>（一）总体绩效目标</w:t>
      </w:r>
    </w:p>
    <w:p w14:paraId="2A349635">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1、统筹规划地方立法工作，做好有关地方性法规与政府规章草案的起草、组织、审查、协调等工作与政府规范性文件的备案审查工作，对政府政策、措施、规范性文件和合同协议进行合法性审核，做好政府交办的涉法事务。</w:t>
      </w:r>
    </w:p>
    <w:p w14:paraId="6509684D">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2、统筹推进法治政府建设工作，指导监督政府依法行政工作，依法承办行政复议案件，做好受政府委托代理的行政诉案件的诉讼工作。</w:t>
      </w:r>
    </w:p>
    <w:p w14:paraId="73B40A55">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60"/>
        <w:jc w:val="left"/>
        <w:textAlignment w:val="auto"/>
        <w:outlineLvl w:val="9"/>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3、统筹规划法治社会建设工作，拟定法治宣传教育规划，组织实施普法宣传，负责指导全县人民调解工作与人民陪审员、监督员管理工作。</w:t>
      </w:r>
    </w:p>
    <w:p w14:paraId="56C70625">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60"/>
        <w:jc w:val="left"/>
        <w:textAlignment w:val="auto"/>
        <w:outlineLvl w:val="9"/>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4、做好全县社区矫正和刑满释放人员帮教安置工作。</w:t>
      </w:r>
    </w:p>
    <w:p w14:paraId="5C11EF82">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60"/>
        <w:jc w:val="left"/>
        <w:textAlignment w:val="auto"/>
        <w:outlineLvl w:val="9"/>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5、做好律师、公正、法律援助、司法鉴定、忠诚和基层法律服务管理工作。</w:t>
      </w:r>
    </w:p>
    <w:p w14:paraId="58BD9150">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60"/>
        <w:jc w:val="left"/>
        <w:textAlignment w:val="auto"/>
        <w:outlineLvl w:val="9"/>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6、做好本系统警车等物资设备管理工作。</w:t>
      </w:r>
    </w:p>
    <w:p w14:paraId="7F6CBCAB">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60"/>
        <w:jc w:val="left"/>
        <w:textAlignment w:val="auto"/>
        <w:outlineLvl w:val="9"/>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（二）分项绩效目标</w:t>
      </w:r>
    </w:p>
    <w:p w14:paraId="12737705">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60"/>
        <w:jc w:val="left"/>
        <w:textAlignment w:val="auto"/>
        <w:outlineLvl w:val="9"/>
        <w:rPr>
          <w:rFonts w:hint="eastAsia" w:ascii="Times New Roman" w:hAnsi="Times New Roman" w:eastAsia="方正仿宋_GBK" w:cs="Times New Roman"/>
          <w:color w:val="000000"/>
          <w:sz w:val="28"/>
        </w:rPr>
      </w:pPr>
      <w:r>
        <w:rPr>
          <w:rFonts w:hint="eastAsia" w:ascii="仿宋_GB2312" w:hAnsi="仿宋_GB2312" w:eastAsia="仿宋_GB2312" w:cs="仿宋_GB2312"/>
          <w:color w:val="000000"/>
          <w:sz w:val="32"/>
          <w:szCs w:val="32"/>
        </w:rPr>
        <w:t>紧紧围绕党的十九届六中全会精神，对照省市县党代会精神，唱响“三年工作一年干”，紧密结合司法行政工作实际情况，明确工作主线，抓住关键点，打造新亮点，着力推进各项工作上台阶。</w:t>
      </w:r>
    </w:p>
    <w:p w14:paraId="106708E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_GB2312"/>
          <w:sz w:val="32"/>
          <w:szCs w:val="32"/>
        </w:rPr>
      </w:pPr>
      <w:r>
        <w:rPr>
          <w:rFonts w:hint="eastAsia" w:ascii="仿宋" w:hAnsi="仿宋" w:eastAsia="仿宋" w:cs="仿宋_GB2312"/>
          <w:sz w:val="32"/>
          <w:szCs w:val="32"/>
          <w:lang w:val="en-US" w:eastAsia="zh-CN"/>
        </w:rPr>
        <w:t>1、</w:t>
      </w:r>
      <w:r>
        <w:rPr>
          <w:rFonts w:hint="eastAsia" w:ascii="仿宋" w:hAnsi="仿宋" w:eastAsia="仿宋" w:cs="仿宋_GB2312"/>
          <w:sz w:val="32"/>
          <w:szCs w:val="32"/>
        </w:rPr>
        <w:t>突出一个主线，即全面推进依法治县。充分发挥依法治县办统筹协调作用，坚持以法治政府建设为抓手，紧盯法治政府“市县同创”，高质量高标准做好材料上报，全面提升法治意识和法治水平，着力打造法治宁晋。</w:t>
      </w:r>
    </w:p>
    <w:p w14:paraId="4661272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_GB2312"/>
          <w:sz w:val="32"/>
          <w:szCs w:val="32"/>
        </w:rPr>
      </w:pPr>
      <w:r>
        <w:rPr>
          <w:rFonts w:hint="eastAsia" w:ascii="仿宋" w:hAnsi="仿宋" w:eastAsia="仿宋" w:cs="仿宋_GB2312"/>
          <w:sz w:val="32"/>
          <w:szCs w:val="32"/>
          <w:lang w:val="en-US" w:eastAsia="zh-CN"/>
        </w:rPr>
        <w:t>2、</w:t>
      </w:r>
      <w:r>
        <w:rPr>
          <w:rFonts w:hint="eastAsia" w:ascii="仿宋" w:hAnsi="仿宋" w:eastAsia="仿宋" w:cs="仿宋_GB2312"/>
          <w:sz w:val="32"/>
          <w:szCs w:val="32"/>
        </w:rPr>
        <w:t>着力打造三个法治特色项目。一是宪法主题公园。联合县城管局，设计建设宪法主题公园，加快建设进度，确保12月4日前完成一期建设，并投入使用。二是谋划建设司法驿站。积极争取上级资金，充分利用公共场所，建设集公共法律服务、智慧普法宣传、法律休闲书屋为一体的司法驿站，为广大群众提供一站式、休闲性的法律综合服务中心，满足社会各界法律需求。三是升级青少年法治教育智慧基地。借助AI智慧普法系统，实现普法教育和心理辅导人机实时互动交流，提高对青少年普法宣传的针对性和有效性。</w:t>
      </w:r>
    </w:p>
    <w:p w14:paraId="6D4DBD3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_GB2312"/>
          <w:sz w:val="32"/>
          <w:szCs w:val="32"/>
        </w:rPr>
      </w:pPr>
      <w:r>
        <w:rPr>
          <w:rFonts w:hint="eastAsia" w:ascii="仿宋" w:hAnsi="仿宋" w:eastAsia="仿宋" w:cs="仿宋_GB2312"/>
          <w:sz w:val="32"/>
          <w:szCs w:val="32"/>
          <w:lang w:val="en-US" w:eastAsia="zh-CN"/>
        </w:rPr>
        <w:t>3、</w:t>
      </w:r>
      <w:r>
        <w:rPr>
          <w:rFonts w:hint="eastAsia" w:ascii="仿宋" w:hAnsi="仿宋" w:eastAsia="仿宋" w:cs="仿宋_GB2312"/>
          <w:sz w:val="32"/>
          <w:szCs w:val="32"/>
        </w:rPr>
        <w:t>全面推行四项便民司法措施。一是广泛开展送法活动。围绕经济发展和乡村振兴工作，开展“司企共建法律同行”和“助力新发展法治促攻坚”活动，为我县民营企业发展提供精准法律服务，结合民主法治示范村创建活动，助推乡村振兴，助力经济社会高质量发展。二是深化行政复议改革。严格落实改革要求，全面提升行政复议水平。做到复议案件应接尽接，引导走司法程序，依法审理，妥善解决，将行政复议申请人稳控在县内，为维护全县稳定大局做贡献。三是开展系统普法培训，围绕全县中心工作，集中法律专业人员，在全县重点行业、领域开展针对性的法律专业培训，提升法治意识和依法办事能力，为经济发展提供有力法律保障。四是加强公证便民网络服务。开通公证业务网上受理服务，拓展网上受理服务项目，强化便民举措，简化群众业务办理手续。</w:t>
      </w:r>
    </w:p>
    <w:p w14:paraId="00280A8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_GB2312"/>
          <w:sz w:val="32"/>
          <w:szCs w:val="32"/>
        </w:rPr>
      </w:pPr>
      <w:r>
        <w:rPr>
          <w:rFonts w:hint="eastAsia" w:ascii="仿宋" w:hAnsi="仿宋" w:eastAsia="仿宋" w:cs="仿宋_GB2312"/>
          <w:sz w:val="32"/>
          <w:szCs w:val="32"/>
          <w:lang w:val="en-US" w:eastAsia="zh-CN"/>
        </w:rPr>
        <w:t>4、</w:t>
      </w:r>
      <w:r>
        <w:rPr>
          <w:rFonts w:hint="eastAsia" w:ascii="仿宋" w:hAnsi="仿宋" w:eastAsia="仿宋" w:cs="仿宋_GB2312"/>
          <w:sz w:val="32"/>
          <w:szCs w:val="32"/>
        </w:rPr>
        <w:t>积极推进五个省级示范试点，即省级法治政府示范创建、省级人民调解示范创建、省级法治乡镇（贾家口镇）示范创建和省级社区矫正智慧化示范创建、省市县乡四级行政执法协调监督工作体系试点。与省司法厅积极对接，争取对我县创建工作的支持，经省厅领导对我县法治政府建设工作进行了详细指导，我们对照省厅编制（未公布）的内部文件法治政府导则，先行一步，精细准备，规范法治政府建设，努力打造法治政府创建示范县。我县的智慧矫正是全省县级试点，积极争取明年在我县召开全省现场会。</w:t>
      </w:r>
    </w:p>
    <w:p w14:paraId="11E31915">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60"/>
        <w:jc w:val="left"/>
        <w:textAlignment w:val="auto"/>
        <w:outlineLvl w:val="9"/>
        <w:rPr>
          <w:sz w:val="32"/>
          <w:szCs w:val="32"/>
        </w:rPr>
      </w:pPr>
      <w:r>
        <w:rPr>
          <w:rFonts w:ascii="Times New Roman" w:hAnsi="Times New Roman" w:eastAsia="方正仿宋_GBK" w:cs="Times New Roman"/>
          <w:color w:val="000000"/>
          <w:sz w:val="32"/>
          <w:szCs w:val="32"/>
        </w:rPr>
        <w:t>（三）工作保障措施</w:t>
      </w:r>
    </w:p>
    <w:p w14:paraId="17B456B6">
      <w:pPr>
        <w:pStyle w:val="10"/>
        <w:ind w:left="0" w:leftChars="0"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保障职工工资、福利正常发放，提高职工工作积极性，确保司法局各项工作正常运转，促进司法事业更快更好发展。</w:t>
      </w:r>
    </w:p>
    <w:p w14:paraId="7BB869CE">
      <w:pPr>
        <w:pStyle w:val="1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保障必要办公条件,加快办公设备更新，加强基础条件建设，提高工作效率。</w:t>
      </w:r>
    </w:p>
    <w:p w14:paraId="34FBCA31">
      <w:pPr>
        <w:pStyle w:val="1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加强法治工作队伍建设，创新法治人才培养机制，大力培养法律人才，促进人才健康成长。</w:t>
      </w:r>
    </w:p>
    <w:p w14:paraId="6F37BE15">
      <w:pPr>
        <w:pStyle w:val="1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加强法治政府创建工作，开展依法治县等专题培训，组织协调有关方面提出依法治县规划建议。</w:t>
      </w:r>
    </w:p>
    <w:p w14:paraId="15C24FBD">
      <w:pPr>
        <w:keepNext w:val="0"/>
        <w:keepLines w:val="0"/>
        <w:pageBreakBefore w:val="0"/>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ascii="方正楷体_GBK" w:hAnsi="方正楷体_GBK" w:eastAsia="方正楷体_GBK" w:cs="方正楷体_GBK"/>
          <w:b/>
          <w:color w:val="000000"/>
          <w:sz w:val="32"/>
        </w:rPr>
      </w:pPr>
    </w:p>
    <w:p w14:paraId="4FFACDD8">
      <w:pPr>
        <w:keepNext w:val="0"/>
        <w:keepLines w:val="0"/>
        <w:pageBreakBefore w:val="0"/>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46223739">
      <w:pPr>
        <w:spacing w:before="0" w:after="0"/>
        <w:ind w:firstLine="560"/>
        <w:jc w:val="left"/>
        <w:outlineLvl w:val="3"/>
      </w:pPr>
      <w:bookmarkStart w:id="0" w:name="_Toc_4_4_0000000004"/>
      <w:r>
        <w:rPr>
          <w:rFonts w:ascii="方正仿宋_GBK" w:hAnsi="方正仿宋_GBK" w:eastAsia="方正仿宋_GBK" w:cs="方正仿宋_GBK"/>
          <w:color w:val="000000"/>
          <w:sz w:val="28"/>
        </w:rPr>
        <w:t>1.2022年冯路杰养老保险绩效目标表</w:t>
      </w:r>
      <w:bookmarkEnd w:id="0"/>
    </w:p>
    <w:tbl>
      <w:tblPr>
        <w:tblStyle w:val="5"/>
        <w:tblW w:w="137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42"/>
        <w:gridCol w:w="11052"/>
      </w:tblGrid>
      <w:tr w14:paraId="476AA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742" w:type="dxa"/>
            <w:vAlign w:val="center"/>
          </w:tcPr>
          <w:p w14:paraId="3EBC21ED">
            <w:pPr>
              <w:pStyle w:val="11"/>
            </w:pPr>
            <w:r>
              <w:t>绩效目标</w:t>
            </w:r>
          </w:p>
        </w:tc>
        <w:tc>
          <w:tcPr>
            <w:tcW w:w="11052" w:type="dxa"/>
            <w:vAlign w:val="center"/>
          </w:tcPr>
          <w:p w14:paraId="7607A16B">
            <w:r>
              <w:rPr>
                <w:rFonts w:ascii="方正书宋_GBK" w:hAnsi="方正书宋_GBK" w:eastAsia="方正书宋_GBK" w:cs="方正书宋_GBK"/>
                <w:sz w:val="21"/>
                <w:szCs w:val="24"/>
                <w:lang w:val="en-US" w:eastAsia="uk-UA" w:bidi="ar-SA"/>
              </w:rPr>
              <w:t>1.保证单位人员工资福利待遇。</w:t>
            </w:r>
          </w:p>
        </w:tc>
      </w:tr>
    </w:tbl>
    <w:p w14:paraId="359CA53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1378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38"/>
        <w:gridCol w:w="2790"/>
        <w:gridCol w:w="3127"/>
        <w:gridCol w:w="1973"/>
        <w:gridCol w:w="1395"/>
        <w:gridCol w:w="1763"/>
      </w:tblGrid>
      <w:tr w14:paraId="7914F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738" w:type="dxa"/>
            <w:vAlign w:val="center"/>
          </w:tcPr>
          <w:p w14:paraId="57BBE9C0">
            <w:pPr>
              <w:pStyle w:val="11"/>
            </w:pPr>
            <w:r>
              <w:t>一级指标</w:t>
            </w:r>
          </w:p>
        </w:tc>
        <w:tc>
          <w:tcPr>
            <w:tcW w:w="2790" w:type="dxa"/>
            <w:vAlign w:val="center"/>
          </w:tcPr>
          <w:p w14:paraId="02AA876F">
            <w:pPr>
              <w:pStyle w:val="11"/>
            </w:pPr>
            <w:r>
              <w:t>二级指标</w:t>
            </w:r>
          </w:p>
        </w:tc>
        <w:tc>
          <w:tcPr>
            <w:tcW w:w="3127" w:type="dxa"/>
            <w:vAlign w:val="center"/>
          </w:tcPr>
          <w:p w14:paraId="77B6B6F8">
            <w:pPr>
              <w:pStyle w:val="11"/>
            </w:pPr>
            <w:r>
              <w:t>三级指标</w:t>
            </w:r>
          </w:p>
        </w:tc>
        <w:tc>
          <w:tcPr>
            <w:tcW w:w="1973" w:type="dxa"/>
            <w:vAlign w:val="center"/>
          </w:tcPr>
          <w:p w14:paraId="0FCCF796">
            <w:pPr>
              <w:pStyle w:val="11"/>
            </w:pPr>
            <w:r>
              <w:t>绩效指标描述</w:t>
            </w:r>
          </w:p>
        </w:tc>
        <w:tc>
          <w:tcPr>
            <w:tcW w:w="1395" w:type="dxa"/>
            <w:vAlign w:val="center"/>
          </w:tcPr>
          <w:p w14:paraId="4CDEA172">
            <w:pPr>
              <w:pStyle w:val="11"/>
              <w:ind w:firstLine="0" w:firstLineChars="0"/>
            </w:pPr>
            <w:r>
              <w:t>指标值</w:t>
            </w:r>
          </w:p>
        </w:tc>
        <w:tc>
          <w:tcPr>
            <w:tcW w:w="1763" w:type="dxa"/>
            <w:vAlign w:val="center"/>
          </w:tcPr>
          <w:p w14:paraId="076B7ACA">
            <w:pPr>
              <w:pStyle w:val="11"/>
              <w:ind w:firstLine="0" w:firstLineChars="0"/>
              <w:rPr>
                <w:lang w:val="en-US" w:eastAsia="uk-UA"/>
              </w:rPr>
            </w:pPr>
            <w:r>
              <w:t>指标值确定依据</w:t>
            </w:r>
          </w:p>
        </w:tc>
      </w:tr>
      <w:tr w14:paraId="203B7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38" w:type="dxa"/>
            <w:vMerge w:val="restart"/>
            <w:vAlign w:val="center"/>
          </w:tcPr>
          <w:p w14:paraId="4A8A323F">
            <w:pPr>
              <w:pStyle w:val="12"/>
            </w:pPr>
            <w:r>
              <w:t>产出指标</w:t>
            </w:r>
          </w:p>
        </w:tc>
        <w:tc>
          <w:tcPr>
            <w:tcW w:w="2790" w:type="dxa"/>
            <w:vAlign w:val="center"/>
          </w:tcPr>
          <w:p w14:paraId="03DADDA4">
            <w:pPr>
              <w:pStyle w:val="13"/>
            </w:pPr>
            <w:r>
              <w:t>数量指标</w:t>
            </w:r>
          </w:p>
        </w:tc>
        <w:tc>
          <w:tcPr>
            <w:tcW w:w="3127" w:type="dxa"/>
            <w:vAlign w:val="center"/>
          </w:tcPr>
          <w:p w14:paraId="04DBA591">
            <w:pPr>
              <w:pStyle w:val="13"/>
            </w:pPr>
            <w:r>
              <w:t>资金到位率</w:t>
            </w:r>
          </w:p>
        </w:tc>
        <w:tc>
          <w:tcPr>
            <w:tcW w:w="1973" w:type="dxa"/>
            <w:vAlign w:val="center"/>
          </w:tcPr>
          <w:p w14:paraId="25942104">
            <w:pPr>
              <w:pStyle w:val="13"/>
            </w:pPr>
            <w:r>
              <w:t>资金到位率</w:t>
            </w:r>
          </w:p>
        </w:tc>
        <w:tc>
          <w:tcPr>
            <w:tcW w:w="1395" w:type="dxa"/>
            <w:vAlign w:val="center"/>
          </w:tcPr>
          <w:p w14:paraId="7E994E05">
            <w:pPr>
              <w:pStyle w:val="13"/>
              <w:ind w:firstLine="0" w:firstLineChars="0"/>
            </w:pPr>
            <w:r>
              <w:t>100%</w:t>
            </w:r>
          </w:p>
        </w:tc>
        <w:tc>
          <w:tcPr>
            <w:tcW w:w="1763" w:type="dxa"/>
            <w:vAlign w:val="center"/>
          </w:tcPr>
          <w:p w14:paraId="3832AB19">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县文件</w:t>
            </w:r>
          </w:p>
        </w:tc>
      </w:tr>
      <w:tr w14:paraId="5FF14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38" w:type="dxa"/>
            <w:vMerge w:val="continue"/>
            <w:vAlign w:val="center"/>
          </w:tcPr>
          <w:p w14:paraId="1E98F802"/>
        </w:tc>
        <w:tc>
          <w:tcPr>
            <w:tcW w:w="2790" w:type="dxa"/>
            <w:vAlign w:val="center"/>
          </w:tcPr>
          <w:p w14:paraId="4A9E0F7C">
            <w:pPr>
              <w:pStyle w:val="13"/>
            </w:pPr>
            <w:r>
              <w:t>质量指标</w:t>
            </w:r>
          </w:p>
        </w:tc>
        <w:tc>
          <w:tcPr>
            <w:tcW w:w="3127" w:type="dxa"/>
            <w:vAlign w:val="center"/>
          </w:tcPr>
          <w:p w14:paraId="0AB0308E">
            <w:pPr>
              <w:pStyle w:val="13"/>
            </w:pPr>
            <w:r>
              <w:t>保险缴纳率</w:t>
            </w:r>
          </w:p>
        </w:tc>
        <w:tc>
          <w:tcPr>
            <w:tcW w:w="1973" w:type="dxa"/>
            <w:vAlign w:val="center"/>
          </w:tcPr>
          <w:p w14:paraId="2F368D35">
            <w:pPr>
              <w:pStyle w:val="13"/>
            </w:pPr>
            <w:r>
              <w:t>保险缴纳情况</w:t>
            </w:r>
          </w:p>
        </w:tc>
        <w:tc>
          <w:tcPr>
            <w:tcW w:w="1395" w:type="dxa"/>
            <w:vAlign w:val="center"/>
          </w:tcPr>
          <w:p w14:paraId="729D77EE">
            <w:pPr>
              <w:pStyle w:val="13"/>
              <w:ind w:firstLine="0" w:firstLineChars="0"/>
            </w:pPr>
            <w:r>
              <w:t>100%</w:t>
            </w:r>
          </w:p>
        </w:tc>
        <w:tc>
          <w:tcPr>
            <w:tcW w:w="1763" w:type="dxa"/>
            <w:vAlign w:val="center"/>
          </w:tcPr>
          <w:p w14:paraId="6745F89C">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县文件</w:t>
            </w:r>
          </w:p>
        </w:tc>
      </w:tr>
      <w:tr w14:paraId="30C79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38" w:type="dxa"/>
            <w:vMerge w:val="continue"/>
            <w:vAlign w:val="center"/>
          </w:tcPr>
          <w:p w14:paraId="7E0A47FE"/>
        </w:tc>
        <w:tc>
          <w:tcPr>
            <w:tcW w:w="2790" w:type="dxa"/>
            <w:vAlign w:val="center"/>
          </w:tcPr>
          <w:p w14:paraId="71882504">
            <w:pPr>
              <w:pStyle w:val="13"/>
            </w:pPr>
            <w:r>
              <w:t>时效指标</w:t>
            </w:r>
          </w:p>
        </w:tc>
        <w:tc>
          <w:tcPr>
            <w:tcW w:w="3127" w:type="dxa"/>
            <w:vAlign w:val="center"/>
          </w:tcPr>
          <w:p w14:paraId="42DAFAB8">
            <w:pPr>
              <w:pStyle w:val="13"/>
            </w:pPr>
            <w:r>
              <w:t>按规定时限发放工资、缴纳保险</w:t>
            </w:r>
          </w:p>
        </w:tc>
        <w:tc>
          <w:tcPr>
            <w:tcW w:w="1973" w:type="dxa"/>
            <w:vAlign w:val="center"/>
          </w:tcPr>
          <w:p w14:paraId="4B2AC1A8">
            <w:pPr>
              <w:pStyle w:val="13"/>
            </w:pPr>
            <w:r>
              <w:t>按规定时限缴纳保险</w:t>
            </w:r>
          </w:p>
        </w:tc>
        <w:tc>
          <w:tcPr>
            <w:tcW w:w="1395" w:type="dxa"/>
            <w:vAlign w:val="center"/>
          </w:tcPr>
          <w:p w14:paraId="5B04A287">
            <w:pPr>
              <w:pStyle w:val="13"/>
              <w:ind w:firstLine="0" w:firstLineChars="0"/>
            </w:pPr>
            <w:r>
              <w:t>≥90%</w:t>
            </w:r>
          </w:p>
        </w:tc>
        <w:tc>
          <w:tcPr>
            <w:tcW w:w="1763" w:type="dxa"/>
            <w:vAlign w:val="center"/>
          </w:tcPr>
          <w:p w14:paraId="3B3AA17B">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县文件</w:t>
            </w:r>
          </w:p>
        </w:tc>
      </w:tr>
      <w:tr w14:paraId="41D12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38" w:type="dxa"/>
            <w:vMerge w:val="continue"/>
            <w:vAlign w:val="center"/>
          </w:tcPr>
          <w:p w14:paraId="3A7A3A58"/>
        </w:tc>
        <w:tc>
          <w:tcPr>
            <w:tcW w:w="2790" w:type="dxa"/>
            <w:vAlign w:val="center"/>
          </w:tcPr>
          <w:p w14:paraId="199DB40A">
            <w:pPr>
              <w:pStyle w:val="13"/>
            </w:pPr>
            <w:r>
              <w:t>成本指标</w:t>
            </w:r>
          </w:p>
        </w:tc>
        <w:tc>
          <w:tcPr>
            <w:tcW w:w="3127" w:type="dxa"/>
            <w:vAlign w:val="center"/>
          </w:tcPr>
          <w:p w14:paraId="7C38FCD5">
            <w:pPr>
              <w:pStyle w:val="13"/>
            </w:pPr>
            <w:r>
              <w:t>按预算资金完成率</w:t>
            </w:r>
          </w:p>
        </w:tc>
        <w:tc>
          <w:tcPr>
            <w:tcW w:w="1973" w:type="dxa"/>
            <w:vAlign w:val="center"/>
          </w:tcPr>
          <w:p w14:paraId="7C9ED6DF">
            <w:pPr>
              <w:pStyle w:val="13"/>
            </w:pPr>
            <w:r>
              <w:t>按预算资金完成率</w:t>
            </w:r>
          </w:p>
        </w:tc>
        <w:tc>
          <w:tcPr>
            <w:tcW w:w="1395" w:type="dxa"/>
            <w:vAlign w:val="center"/>
          </w:tcPr>
          <w:p w14:paraId="219ADABA">
            <w:pPr>
              <w:pStyle w:val="13"/>
              <w:ind w:firstLine="0" w:firstLineChars="0"/>
            </w:pPr>
            <w:r>
              <w:t>≥90%</w:t>
            </w:r>
          </w:p>
        </w:tc>
        <w:tc>
          <w:tcPr>
            <w:tcW w:w="1763" w:type="dxa"/>
            <w:vAlign w:val="center"/>
          </w:tcPr>
          <w:p w14:paraId="669DDA98">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县文件</w:t>
            </w:r>
          </w:p>
        </w:tc>
      </w:tr>
      <w:tr w14:paraId="06B74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38" w:type="dxa"/>
            <w:vMerge w:val="restart"/>
            <w:vAlign w:val="center"/>
          </w:tcPr>
          <w:p w14:paraId="77676650">
            <w:pPr>
              <w:pStyle w:val="12"/>
            </w:pPr>
            <w:r>
              <w:t>效益指标</w:t>
            </w:r>
          </w:p>
        </w:tc>
        <w:tc>
          <w:tcPr>
            <w:tcW w:w="2790" w:type="dxa"/>
            <w:vAlign w:val="center"/>
          </w:tcPr>
          <w:p w14:paraId="3A3AAE7E">
            <w:pPr>
              <w:pStyle w:val="13"/>
            </w:pPr>
            <w:r>
              <w:t>经济效益指标</w:t>
            </w:r>
          </w:p>
        </w:tc>
        <w:tc>
          <w:tcPr>
            <w:tcW w:w="3127" w:type="dxa"/>
            <w:vAlign w:val="center"/>
          </w:tcPr>
          <w:p w14:paraId="2A815684">
            <w:pPr>
              <w:pStyle w:val="13"/>
            </w:pPr>
            <w:r>
              <w:t>重点工作完成率</w:t>
            </w:r>
          </w:p>
        </w:tc>
        <w:tc>
          <w:tcPr>
            <w:tcW w:w="1973" w:type="dxa"/>
            <w:vAlign w:val="center"/>
          </w:tcPr>
          <w:p w14:paraId="1E0A631F">
            <w:pPr>
              <w:pStyle w:val="13"/>
            </w:pPr>
            <w:r>
              <w:t>重点工作完成的占全部重点工作的比重</w:t>
            </w:r>
          </w:p>
          <w:p w14:paraId="77C03B4C">
            <w:pPr>
              <w:pStyle w:val="13"/>
            </w:pPr>
          </w:p>
        </w:tc>
        <w:tc>
          <w:tcPr>
            <w:tcW w:w="1395" w:type="dxa"/>
            <w:vAlign w:val="center"/>
          </w:tcPr>
          <w:p w14:paraId="58A08DB1">
            <w:pPr>
              <w:pStyle w:val="13"/>
              <w:ind w:firstLine="0" w:firstLineChars="0"/>
            </w:pPr>
            <w:r>
              <w:t>≥95%</w:t>
            </w:r>
          </w:p>
        </w:tc>
        <w:tc>
          <w:tcPr>
            <w:tcW w:w="1763" w:type="dxa"/>
            <w:vAlign w:val="center"/>
          </w:tcPr>
          <w:p w14:paraId="714D6600">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年初工作计划</w:t>
            </w:r>
          </w:p>
        </w:tc>
      </w:tr>
      <w:tr w14:paraId="66B9C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38" w:type="dxa"/>
            <w:vMerge w:val="continue"/>
            <w:vAlign w:val="center"/>
          </w:tcPr>
          <w:p w14:paraId="52F93DE0"/>
        </w:tc>
        <w:tc>
          <w:tcPr>
            <w:tcW w:w="2790" w:type="dxa"/>
            <w:vAlign w:val="center"/>
          </w:tcPr>
          <w:p w14:paraId="2C72B41C">
            <w:pPr>
              <w:pStyle w:val="13"/>
            </w:pPr>
            <w:r>
              <w:t>社会效益指标</w:t>
            </w:r>
          </w:p>
        </w:tc>
        <w:tc>
          <w:tcPr>
            <w:tcW w:w="3127" w:type="dxa"/>
            <w:vAlign w:val="center"/>
          </w:tcPr>
          <w:p w14:paraId="11626727">
            <w:pPr>
              <w:pStyle w:val="13"/>
            </w:pPr>
            <w:r>
              <w:t>年终考核成绩</w:t>
            </w:r>
          </w:p>
        </w:tc>
        <w:tc>
          <w:tcPr>
            <w:tcW w:w="1973" w:type="dxa"/>
            <w:vAlign w:val="center"/>
          </w:tcPr>
          <w:p w14:paraId="3801406D">
            <w:pPr>
              <w:pStyle w:val="13"/>
            </w:pPr>
            <w:r>
              <w:t>年终考核成绩</w:t>
            </w:r>
          </w:p>
        </w:tc>
        <w:tc>
          <w:tcPr>
            <w:tcW w:w="1395" w:type="dxa"/>
            <w:vAlign w:val="center"/>
          </w:tcPr>
          <w:p w14:paraId="078E3392">
            <w:pPr>
              <w:pStyle w:val="13"/>
              <w:ind w:firstLine="0" w:firstLineChars="0"/>
            </w:pPr>
            <w:r>
              <w:t>全部良以上</w:t>
            </w:r>
          </w:p>
        </w:tc>
        <w:tc>
          <w:tcPr>
            <w:tcW w:w="1763" w:type="dxa"/>
            <w:vAlign w:val="center"/>
          </w:tcPr>
          <w:p w14:paraId="6DBE351B">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考核情况</w:t>
            </w:r>
          </w:p>
        </w:tc>
      </w:tr>
      <w:tr w14:paraId="78AC7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38" w:type="dxa"/>
            <w:vMerge w:val="continue"/>
            <w:vAlign w:val="center"/>
          </w:tcPr>
          <w:p w14:paraId="1722580F"/>
        </w:tc>
        <w:tc>
          <w:tcPr>
            <w:tcW w:w="2790" w:type="dxa"/>
            <w:vAlign w:val="center"/>
          </w:tcPr>
          <w:p w14:paraId="30B49515">
            <w:pPr>
              <w:pStyle w:val="13"/>
            </w:pPr>
            <w:r>
              <w:t>生态效益指标</w:t>
            </w:r>
          </w:p>
        </w:tc>
        <w:tc>
          <w:tcPr>
            <w:tcW w:w="3127" w:type="dxa"/>
            <w:vAlign w:val="center"/>
          </w:tcPr>
          <w:p w14:paraId="2E14A832">
            <w:pPr>
              <w:pStyle w:val="13"/>
            </w:pPr>
            <w:r>
              <w:t>生态保护影响力</w:t>
            </w:r>
          </w:p>
        </w:tc>
        <w:tc>
          <w:tcPr>
            <w:tcW w:w="1973" w:type="dxa"/>
            <w:vAlign w:val="center"/>
          </w:tcPr>
          <w:p w14:paraId="65F4A43A">
            <w:pPr>
              <w:pStyle w:val="13"/>
            </w:pPr>
            <w:r>
              <w:t>促进本单位持续、稳定发展</w:t>
            </w:r>
          </w:p>
        </w:tc>
        <w:tc>
          <w:tcPr>
            <w:tcW w:w="1395" w:type="dxa"/>
            <w:vAlign w:val="center"/>
          </w:tcPr>
          <w:p w14:paraId="72758347">
            <w:pPr>
              <w:pStyle w:val="13"/>
              <w:ind w:firstLine="0" w:firstLineChars="0"/>
            </w:pPr>
            <w:r>
              <w:t>全部良以上</w:t>
            </w:r>
          </w:p>
        </w:tc>
        <w:tc>
          <w:tcPr>
            <w:tcW w:w="1763" w:type="dxa"/>
            <w:vAlign w:val="center"/>
          </w:tcPr>
          <w:p w14:paraId="184CCBA4">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考核情况</w:t>
            </w:r>
          </w:p>
        </w:tc>
      </w:tr>
      <w:tr w14:paraId="4CAB9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38" w:type="dxa"/>
            <w:vMerge w:val="continue"/>
            <w:vAlign w:val="center"/>
          </w:tcPr>
          <w:p w14:paraId="72094D0E"/>
        </w:tc>
        <w:tc>
          <w:tcPr>
            <w:tcW w:w="2790" w:type="dxa"/>
            <w:vAlign w:val="center"/>
          </w:tcPr>
          <w:p w14:paraId="2129971B">
            <w:pPr>
              <w:pStyle w:val="13"/>
            </w:pPr>
            <w:r>
              <w:t>可持续影响指标</w:t>
            </w:r>
          </w:p>
        </w:tc>
        <w:tc>
          <w:tcPr>
            <w:tcW w:w="3127" w:type="dxa"/>
            <w:vAlign w:val="center"/>
          </w:tcPr>
          <w:p w14:paraId="2B64421B">
            <w:pPr>
              <w:pStyle w:val="13"/>
            </w:pPr>
            <w:r>
              <w:t>职工评价</w:t>
            </w:r>
          </w:p>
        </w:tc>
        <w:tc>
          <w:tcPr>
            <w:tcW w:w="1973" w:type="dxa"/>
            <w:vAlign w:val="center"/>
          </w:tcPr>
          <w:p w14:paraId="71F4B773">
            <w:pPr>
              <w:pStyle w:val="13"/>
            </w:pPr>
            <w:r>
              <w:t>职工对保险缴纳工作的评价</w:t>
            </w:r>
          </w:p>
        </w:tc>
        <w:tc>
          <w:tcPr>
            <w:tcW w:w="1395" w:type="dxa"/>
            <w:vAlign w:val="center"/>
          </w:tcPr>
          <w:p w14:paraId="24520484">
            <w:pPr>
              <w:pStyle w:val="13"/>
              <w:ind w:firstLine="0" w:firstLineChars="0"/>
            </w:pPr>
            <w:r>
              <w:t>≥90%</w:t>
            </w:r>
          </w:p>
        </w:tc>
        <w:tc>
          <w:tcPr>
            <w:tcW w:w="1763" w:type="dxa"/>
            <w:vAlign w:val="center"/>
          </w:tcPr>
          <w:p w14:paraId="285C301B">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县文件</w:t>
            </w:r>
          </w:p>
        </w:tc>
      </w:tr>
      <w:tr w14:paraId="2E2D8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38" w:type="dxa"/>
            <w:vAlign w:val="center"/>
          </w:tcPr>
          <w:p w14:paraId="2A7FF8D7">
            <w:pPr>
              <w:pStyle w:val="12"/>
            </w:pPr>
            <w:r>
              <w:t>满意度指标</w:t>
            </w:r>
          </w:p>
        </w:tc>
        <w:tc>
          <w:tcPr>
            <w:tcW w:w="2790" w:type="dxa"/>
            <w:vAlign w:val="center"/>
          </w:tcPr>
          <w:p w14:paraId="7CFD3CA7">
            <w:pPr>
              <w:pStyle w:val="13"/>
            </w:pPr>
            <w:r>
              <w:t>服务对象满意度指标</w:t>
            </w:r>
          </w:p>
        </w:tc>
        <w:tc>
          <w:tcPr>
            <w:tcW w:w="3127" w:type="dxa"/>
            <w:vAlign w:val="center"/>
          </w:tcPr>
          <w:p w14:paraId="294DA741">
            <w:pPr>
              <w:pStyle w:val="13"/>
            </w:pPr>
            <w:r>
              <w:t>服务对象满意度</w:t>
            </w:r>
          </w:p>
        </w:tc>
        <w:tc>
          <w:tcPr>
            <w:tcW w:w="1973" w:type="dxa"/>
            <w:vAlign w:val="center"/>
          </w:tcPr>
          <w:p w14:paraId="1B4AD481">
            <w:pPr>
              <w:pStyle w:val="13"/>
            </w:pPr>
            <w:r>
              <w:t>服务对象满意度</w:t>
            </w:r>
          </w:p>
        </w:tc>
        <w:tc>
          <w:tcPr>
            <w:tcW w:w="1395" w:type="dxa"/>
            <w:vAlign w:val="center"/>
          </w:tcPr>
          <w:p w14:paraId="1B3C1D56">
            <w:pPr>
              <w:pStyle w:val="13"/>
              <w:ind w:firstLine="0" w:firstLineChars="0"/>
            </w:pPr>
            <w:r>
              <w:t>≥95%</w:t>
            </w:r>
          </w:p>
        </w:tc>
        <w:tc>
          <w:tcPr>
            <w:tcW w:w="1763" w:type="dxa"/>
            <w:vAlign w:val="center"/>
          </w:tcPr>
          <w:p w14:paraId="2B12A18F">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县文件</w:t>
            </w:r>
          </w:p>
        </w:tc>
      </w:tr>
    </w:tbl>
    <w:p w14:paraId="162772B9">
      <w:pPr>
        <w:sectPr>
          <w:pgSz w:w="16840" w:h="11900" w:orient="landscape"/>
          <w:pgMar w:top="1587" w:right="1134" w:bottom="1361" w:left="1134" w:header="720" w:footer="720" w:gutter="0"/>
          <w:pgNumType w:fmt="numberInDash"/>
          <w:cols w:space="720" w:num="1"/>
        </w:sectPr>
      </w:pPr>
    </w:p>
    <w:p w14:paraId="7B2831DF">
      <w:pPr>
        <w:spacing w:before="0" w:after="0"/>
        <w:ind w:firstLine="560"/>
        <w:jc w:val="left"/>
        <w:outlineLvl w:val="3"/>
      </w:pPr>
      <w:bookmarkStart w:id="1" w:name="_Toc_4_4_0000000005"/>
      <w:r>
        <w:rPr>
          <w:rFonts w:ascii="方正仿宋_GBK" w:hAnsi="方正仿宋_GBK" w:eastAsia="方正仿宋_GBK" w:cs="方正仿宋_GBK"/>
          <w:color w:val="000000"/>
          <w:sz w:val="28"/>
        </w:rPr>
        <w:t>2.2022年公证处新招录人员工资绩效目标表</w:t>
      </w:r>
      <w:bookmarkEnd w:id="1"/>
    </w:p>
    <w:tbl>
      <w:tblPr>
        <w:tblStyle w:val="5"/>
        <w:tblW w:w="133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45"/>
        <w:gridCol w:w="11444"/>
      </w:tblGrid>
      <w:tr w14:paraId="5897E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4" w:hRule="atLeast"/>
          <w:jc w:val="center"/>
        </w:trPr>
        <w:tc>
          <w:tcPr>
            <w:tcW w:w="1945" w:type="dxa"/>
            <w:vAlign w:val="center"/>
          </w:tcPr>
          <w:p w14:paraId="1FFEEAE0">
            <w:pPr>
              <w:pStyle w:val="11"/>
            </w:pPr>
            <w:r>
              <w:t>绩效目标</w:t>
            </w:r>
          </w:p>
        </w:tc>
        <w:tc>
          <w:tcPr>
            <w:tcW w:w="11444" w:type="dxa"/>
            <w:vAlign w:val="center"/>
          </w:tcPr>
          <w:p w14:paraId="391EB857">
            <w:r>
              <w:rPr>
                <w:rFonts w:ascii="方正书宋_GBK" w:hAnsi="方正书宋_GBK" w:eastAsia="方正书宋_GBK" w:cs="方正书宋_GBK"/>
                <w:sz w:val="21"/>
                <w:szCs w:val="24"/>
                <w:lang w:val="en-US" w:eastAsia="uk-UA" w:bidi="ar-SA"/>
              </w:rPr>
              <w:t>1.保障单位人员工资及时准确发放</w:t>
            </w:r>
          </w:p>
        </w:tc>
      </w:tr>
    </w:tbl>
    <w:p w14:paraId="2160319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1338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29"/>
        <w:gridCol w:w="1710"/>
        <w:gridCol w:w="2805"/>
        <w:gridCol w:w="2340"/>
        <w:gridCol w:w="1440"/>
        <w:gridCol w:w="3163"/>
      </w:tblGrid>
      <w:tr w14:paraId="6F1C4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929" w:type="dxa"/>
            <w:vAlign w:val="center"/>
          </w:tcPr>
          <w:p w14:paraId="14924198">
            <w:pPr>
              <w:pStyle w:val="11"/>
            </w:pPr>
            <w:r>
              <w:t>一级指标</w:t>
            </w:r>
          </w:p>
        </w:tc>
        <w:tc>
          <w:tcPr>
            <w:tcW w:w="1710" w:type="dxa"/>
            <w:vAlign w:val="center"/>
          </w:tcPr>
          <w:p w14:paraId="3F8B0157">
            <w:pPr>
              <w:pStyle w:val="11"/>
            </w:pPr>
            <w:r>
              <w:t>二级指标</w:t>
            </w:r>
          </w:p>
        </w:tc>
        <w:tc>
          <w:tcPr>
            <w:tcW w:w="2805" w:type="dxa"/>
            <w:vAlign w:val="center"/>
          </w:tcPr>
          <w:p w14:paraId="3C974F85">
            <w:pPr>
              <w:pStyle w:val="11"/>
            </w:pPr>
            <w:r>
              <w:t>三级指标</w:t>
            </w:r>
          </w:p>
        </w:tc>
        <w:tc>
          <w:tcPr>
            <w:tcW w:w="2340" w:type="dxa"/>
            <w:vAlign w:val="center"/>
          </w:tcPr>
          <w:p w14:paraId="63DF93E2">
            <w:pPr>
              <w:pStyle w:val="11"/>
            </w:pPr>
            <w:r>
              <w:t>绩效指标描述</w:t>
            </w:r>
          </w:p>
        </w:tc>
        <w:tc>
          <w:tcPr>
            <w:tcW w:w="1440" w:type="dxa"/>
            <w:vAlign w:val="center"/>
          </w:tcPr>
          <w:p w14:paraId="308AA1C6">
            <w:pPr>
              <w:pStyle w:val="11"/>
              <w:ind w:firstLine="0" w:firstLineChars="0"/>
            </w:pPr>
            <w:r>
              <w:t>指标值</w:t>
            </w:r>
          </w:p>
        </w:tc>
        <w:tc>
          <w:tcPr>
            <w:tcW w:w="3163" w:type="dxa"/>
            <w:vAlign w:val="center"/>
          </w:tcPr>
          <w:p w14:paraId="45C1D768">
            <w:pPr>
              <w:jc w:val="center"/>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01984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9" w:type="dxa"/>
            <w:vMerge w:val="restart"/>
            <w:vAlign w:val="center"/>
          </w:tcPr>
          <w:p w14:paraId="07BD949D">
            <w:pPr>
              <w:pStyle w:val="12"/>
            </w:pPr>
            <w:r>
              <w:t>产出指标</w:t>
            </w:r>
          </w:p>
        </w:tc>
        <w:tc>
          <w:tcPr>
            <w:tcW w:w="1710" w:type="dxa"/>
            <w:vAlign w:val="center"/>
          </w:tcPr>
          <w:p w14:paraId="15B61050">
            <w:pPr>
              <w:pStyle w:val="13"/>
            </w:pPr>
            <w:r>
              <w:t>数量指标</w:t>
            </w:r>
          </w:p>
        </w:tc>
        <w:tc>
          <w:tcPr>
            <w:tcW w:w="2805" w:type="dxa"/>
            <w:vAlign w:val="center"/>
          </w:tcPr>
          <w:p w14:paraId="65A7B505">
            <w:pPr>
              <w:pStyle w:val="13"/>
            </w:pPr>
            <w:r>
              <w:t>保障单位人员工资发放人数</w:t>
            </w:r>
          </w:p>
        </w:tc>
        <w:tc>
          <w:tcPr>
            <w:tcW w:w="2340" w:type="dxa"/>
            <w:vAlign w:val="center"/>
          </w:tcPr>
          <w:p w14:paraId="7AEFC173">
            <w:pPr>
              <w:pStyle w:val="13"/>
            </w:pPr>
            <w:r>
              <w:t>保证单位人员工资发放的人数</w:t>
            </w:r>
          </w:p>
        </w:tc>
        <w:tc>
          <w:tcPr>
            <w:tcW w:w="1440" w:type="dxa"/>
            <w:vAlign w:val="center"/>
          </w:tcPr>
          <w:p w14:paraId="16DBC13A">
            <w:pPr>
              <w:pStyle w:val="13"/>
              <w:ind w:firstLine="0" w:firstLineChars="0"/>
            </w:pPr>
            <w:r>
              <w:t>4人数</w:t>
            </w:r>
          </w:p>
        </w:tc>
        <w:tc>
          <w:tcPr>
            <w:tcW w:w="3163" w:type="dxa"/>
            <w:vAlign w:val="center"/>
          </w:tcPr>
          <w:p w14:paraId="7FDC6868">
            <w:pPr>
              <w:rPr>
                <w:rFonts w:ascii="方正书宋_GBK" w:hAnsi="方正书宋_GBK" w:eastAsia="方正书宋_GBK" w:cs="方正书宋_GBK"/>
                <w:b w:val="0"/>
                <w:bCs/>
                <w:sz w:val="21"/>
                <w:szCs w:val="24"/>
                <w:lang w:val="en-US" w:eastAsia="uk-UA" w:bidi="ar-SA"/>
              </w:rPr>
            </w:pPr>
            <w:r>
              <w:rPr>
                <w:rFonts w:ascii="方正书宋_GBK" w:hAnsi="方正书宋_GBK" w:eastAsia="方正书宋_GBK" w:cs="方正书宋_GBK"/>
                <w:b w:val="0"/>
                <w:bCs/>
                <w:sz w:val="21"/>
                <w:szCs w:val="24"/>
                <w:lang w:val="en-US" w:eastAsia="uk-UA" w:bidi="ar-SA"/>
              </w:rPr>
              <w:t>《宁晋县人民政府关于加快推进全县公证机构改革发展的意见》</w:t>
            </w:r>
          </w:p>
        </w:tc>
      </w:tr>
      <w:tr w14:paraId="05234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9" w:type="dxa"/>
            <w:vMerge w:val="continue"/>
            <w:vAlign w:val="center"/>
          </w:tcPr>
          <w:p w14:paraId="0FBBE01C"/>
        </w:tc>
        <w:tc>
          <w:tcPr>
            <w:tcW w:w="1710" w:type="dxa"/>
            <w:vAlign w:val="center"/>
          </w:tcPr>
          <w:p w14:paraId="370DC8B6">
            <w:pPr>
              <w:pStyle w:val="13"/>
            </w:pPr>
            <w:r>
              <w:t>质量指标</w:t>
            </w:r>
          </w:p>
        </w:tc>
        <w:tc>
          <w:tcPr>
            <w:tcW w:w="2805" w:type="dxa"/>
            <w:vAlign w:val="center"/>
          </w:tcPr>
          <w:p w14:paraId="4F476B32">
            <w:pPr>
              <w:pStyle w:val="13"/>
            </w:pPr>
            <w:r>
              <w:t>工资发放计算准确率</w:t>
            </w:r>
          </w:p>
        </w:tc>
        <w:tc>
          <w:tcPr>
            <w:tcW w:w="2340" w:type="dxa"/>
            <w:vAlign w:val="center"/>
          </w:tcPr>
          <w:p w14:paraId="3355645D">
            <w:pPr>
              <w:pStyle w:val="13"/>
            </w:pPr>
            <w:r>
              <w:t>实际发放工资额/应发放工资额*100%</w:t>
            </w:r>
          </w:p>
        </w:tc>
        <w:tc>
          <w:tcPr>
            <w:tcW w:w="1440" w:type="dxa"/>
            <w:vAlign w:val="center"/>
          </w:tcPr>
          <w:p w14:paraId="347EDC9B">
            <w:pPr>
              <w:pStyle w:val="13"/>
              <w:ind w:firstLine="0" w:firstLineChars="0"/>
            </w:pPr>
            <w:r>
              <w:t>100%</w:t>
            </w:r>
          </w:p>
        </w:tc>
        <w:tc>
          <w:tcPr>
            <w:tcW w:w="3163" w:type="dxa"/>
            <w:vAlign w:val="center"/>
          </w:tcPr>
          <w:p w14:paraId="62386115">
            <w:pPr>
              <w:rPr>
                <w:rFonts w:ascii="方正书宋_GBK" w:hAnsi="方正书宋_GBK" w:eastAsia="方正书宋_GBK" w:cs="方正书宋_GBK"/>
                <w:b w:val="0"/>
                <w:bCs/>
                <w:sz w:val="21"/>
                <w:szCs w:val="24"/>
                <w:lang w:val="en-US" w:eastAsia="uk-UA" w:bidi="ar-SA"/>
              </w:rPr>
            </w:pPr>
            <w:r>
              <w:rPr>
                <w:rFonts w:ascii="方正书宋_GBK" w:hAnsi="方正书宋_GBK" w:eastAsia="方正书宋_GBK" w:cs="方正书宋_GBK"/>
                <w:b w:val="0"/>
                <w:bCs/>
                <w:sz w:val="21"/>
                <w:szCs w:val="24"/>
                <w:lang w:val="en-US" w:eastAsia="uk-UA" w:bidi="ar-SA"/>
              </w:rPr>
              <w:t>《宁晋县人民政府关于加快推进全县公证机构改革发展的意见》</w:t>
            </w:r>
          </w:p>
        </w:tc>
      </w:tr>
      <w:tr w14:paraId="6015D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0" w:hRule="atLeast"/>
          <w:jc w:val="center"/>
        </w:trPr>
        <w:tc>
          <w:tcPr>
            <w:tcW w:w="1929" w:type="dxa"/>
            <w:vMerge w:val="continue"/>
            <w:vAlign w:val="center"/>
          </w:tcPr>
          <w:p w14:paraId="75CB5BB9"/>
        </w:tc>
        <w:tc>
          <w:tcPr>
            <w:tcW w:w="1710" w:type="dxa"/>
            <w:vAlign w:val="center"/>
          </w:tcPr>
          <w:p w14:paraId="3BC3DD6E">
            <w:pPr>
              <w:pStyle w:val="13"/>
            </w:pPr>
            <w:r>
              <w:t>时效指标</w:t>
            </w:r>
          </w:p>
        </w:tc>
        <w:tc>
          <w:tcPr>
            <w:tcW w:w="2805" w:type="dxa"/>
            <w:vAlign w:val="center"/>
          </w:tcPr>
          <w:p w14:paraId="6D3FA30A">
            <w:pPr>
              <w:pStyle w:val="13"/>
            </w:pPr>
            <w:r>
              <w:t>按政策按时发放到位率</w:t>
            </w:r>
          </w:p>
        </w:tc>
        <w:tc>
          <w:tcPr>
            <w:tcW w:w="2340" w:type="dxa"/>
            <w:vAlign w:val="center"/>
          </w:tcPr>
          <w:p w14:paraId="50989EF0">
            <w:pPr>
              <w:pStyle w:val="13"/>
            </w:pPr>
            <w:r>
              <w:t>实际按规定发放时间次数/全部发放次数*100%</w:t>
            </w:r>
          </w:p>
        </w:tc>
        <w:tc>
          <w:tcPr>
            <w:tcW w:w="1440" w:type="dxa"/>
            <w:vAlign w:val="center"/>
          </w:tcPr>
          <w:p w14:paraId="7C2D201A">
            <w:pPr>
              <w:pStyle w:val="13"/>
              <w:ind w:firstLine="0" w:firstLineChars="0"/>
            </w:pPr>
            <w:r>
              <w:t>≥90%</w:t>
            </w:r>
          </w:p>
        </w:tc>
        <w:tc>
          <w:tcPr>
            <w:tcW w:w="3163" w:type="dxa"/>
            <w:vAlign w:val="center"/>
          </w:tcPr>
          <w:p w14:paraId="3C32B42D">
            <w:pPr>
              <w:rPr>
                <w:rFonts w:ascii="方正书宋_GBK" w:hAnsi="方正书宋_GBK" w:eastAsia="方正书宋_GBK" w:cs="方正书宋_GBK"/>
                <w:b w:val="0"/>
                <w:bCs/>
                <w:sz w:val="21"/>
                <w:szCs w:val="24"/>
                <w:lang w:val="en-US" w:eastAsia="uk-UA" w:bidi="ar-SA"/>
              </w:rPr>
            </w:pPr>
            <w:r>
              <w:rPr>
                <w:rFonts w:ascii="方正书宋_GBK" w:hAnsi="方正书宋_GBK" w:eastAsia="方正书宋_GBK" w:cs="方正书宋_GBK"/>
                <w:b w:val="0"/>
                <w:bCs/>
                <w:sz w:val="21"/>
                <w:szCs w:val="24"/>
                <w:lang w:val="en-US" w:eastAsia="uk-UA" w:bidi="ar-SA"/>
              </w:rPr>
              <w:t>《宁晋县人民政府关于加快推进全县公证机构改革发展的意见》</w:t>
            </w:r>
          </w:p>
        </w:tc>
      </w:tr>
      <w:tr w14:paraId="478E4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9" w:type="dxa"/>
            <w:vMerge w:val="continue"/>
            <w:vAlign w:val="center"/>
          </w:tcPr>
          <w:p w14:paraId="2B55A8D6"/>
        </w:tc>
        <w:tc>
          <w:tcPr>
            <w:tcW w:w="1710" w:type="dxa"/>
            <w:vAlign w:val="center"/>
          </w:tcPr>
          <w:p w14:paraId="6D8D8FB6">
            <w:pPr>
              <w:pStyle w:val="13"/>
            </w:pPr>
            <w:r>
              <w:t>成本指标</w:t>
            </w:r>
          </w:p>
        </w:tc>
        <w:tc>
          <w:tcPr>
            <w:tcW w:w="2805" w:type="dxa"/>
            <w:vAlign w:val="center"/>
          </w:tcPr>
          <w:p w14:paraId="6F0F4D1B">
            <w:pPr>
              <w:pStyle w:val="13"/>
            </w:pPr>
            <w:r>
              <w:t>工资成本</w:t>
            </w:r>
          </w:p>
        </w:tc>
        <w:tc>
          <w:tcPr>
            <w:tcW w:w="2340" w:type="dxa"/>
            <w:vAlign w:val="center"/>
          </w:tcPr>
          <w:p w14:paraId="23C10BAE">
            <w:pPr>
              <w:pStyle w:val="13"/>
            </w:pPr>
            <w:r>
              <w:t>人均经费达到政策要求</w:t>
            </w:r>
          </w:p>
        </w:tc>
        <w:tc>
          <w:tcPr>
            <w:tcW w:w="1440" w:type="dxa"/>
            <w:vAlign w:val="center"/>
          </w:tcPr>
          <w:p w14:paraId="4006B6F1">
            <w:pPr>
              <w:pStyle w:val="13"/>
              <w:ind w:firstLine="0" w:firstLineChars="0"/>
            </w:pPr>
            <w:r>
              <w:t>≥2000元/月</w:t>
            </w:r>
          </w:p>
        </w:tc>
        <w:tc>
          <w:tcPr>
            <w:tcW w:w="3163" w:type="dxa"/>
            <w:vAlign w:val="center"/>
          </w:tcPr>
          <w:p w14:paraId="438740C7">
            <w:pPr>
              <w:rPr>
                <w:rFonts w:ascii="方正书宋_GBK" w:hAnsi="方正书宋_GBK" w:eastAsia="方正书宋_GBK" w:cs="方正书宋_GBK"/>
                <w:b w:val="0"/>
                <w:bCs/>
                <w:sz w:val="21"/>
                <w:szCs w:val="24"/>
                <w:lang w:val="en-US" w:eastAsia="uk-UA" w:bidi="ar-SA"/>
              </w:rPr>
            </w:pPr>
            <w:r>
              <w:rPr>
                <w:rFonts w:ascii="方正书宋_GBK" w:hAnsi="方正书宋_GBK" w:eastAsia="方正书宋_GBK" w:cs="方正书宋_GBK"/>
                <w:b w:val="0"/>
                <w:bCs/>
                <w:sz w:val="21"/>
                <w:szCs w:val="24"/>
                <w:lang w:val="en-US" w:eastAsia="uk-UA" w:bidi="ar-SA"/>
              </w:rPr>
              <w:t>《宁晋县人民政府关于加快推进全县公证机构改革发展的意见》</w:t>
            </w:r>
          </w:p>
        </w:tc>
      </w:tr>
      <w:tr w14:paraId="6E5E6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9" w:type="dxa"/>
            <w:vMerge w:val="restart"/>
            <w:vAlign w:val="center"/>
          </w:tcPr>
          <w:p w14:paraId="45A9EE34">
            <w:pPr>
              <w:pStyle w:val="12"/>
            </w:pPr>
            <w:r>
              <w:t>效益指标</w:t>
            </w:r>
          </w:p>
        </w:tc>
        <w:tc>
          <w:tcPr>
            <w:tcW w:w="1710" w:type="dxa"/>
            <w:vAlign w:val="center"/>
          </w:tcPr>
          <w:p w14:paraId="7C080D71">
            <w:pPr>
              <w:pStyle w:val="13"/>
            </w:pPr>
            <w:r>
              <w:t>可持续影响指标</w:t>
            </w:r>
          </w:p>
        </w:tc>
        <w:tc>
          <w:tcPr>
            <w:tcW w:w="2805" w:type="dxa"/>
            <w:vAlign w:val="center"/>
          </w:tcPr>
          <w:p w14:paraId="09BA4912">
            <w:pPr>
              <w:pStyle w:val="13"/>
            </w:pPr>
            <w:r>
              <w:t>职工评价</w:t>
            </w:r>
          </w:p>
        </w:tc>
        <w:tc>
          <w:tcPr>
            <w:tcW w:w="2340" w:type="dxa"/>
            <w:vAlign w:val="center"/>
          </w:tcPr>
          <w:p w14:paraId="2BACB65B">
            <w:pPr>
              <w:pStyle w:val="13"/>
            </w:pPr>
            <w:r>
              <w:t>职工对工资发放工作的评价</w:t>
            </w:r>
          </w:p>
        </w:tc>
        <w:tc>
          <w:tcPr>
            <w:tcW w:w="1440" w:type="dxa"/>
            <w:vAlign w:val="center"/>
          </w:tcPr>
          <w:p w14:paraId="74F224D9">
            <w:pPr>
              <w:pStyle w:val="13"/>
              <w:ind w:firstLine="0" w:firstLineChars="0"/>
            </w:pPr>
            <w:r>
              <w:t>≥90%</w:t>
            </w:r>
          </w:p>
        </w:tc>
        <w:tc>
          <w:tcPr>
            <w:tcW w:w="3163" w:type="dxa"/>
            <w:vAlign w:val="center"/>
          </w:tcPr>
          <w:p w14:paraId="743BE899">
            <w:pPr>
              <w:rPr>
                <w:rFonts w:ascii="方正书宋_GBK" w:hAnsi="方正书宋_GBK" w:eastAsia="方正书宋_GBK" w:cs="方正书宋_GBK"/>
                <w:b w:val="0"/>
                <w:bCs/>
                <w:sz w:val="21"/>
                <w:szCs w:val="24"/>
                <w:lang w:val="en-US" w:eastAsia="uk-UA" w:bidi="ar-SA"/>
              </w:rPr>
            </w:pPr>
            <w:r>
              <w:rPr>
                <w:rFonts w:ascii="方正书宋_GBK" w:hAnsi="方正书宋_GBK" w:eastAsia="方正书宋_GBK" w:cs="方正书宋_GBK"/>
                <w:b w:val="0"/>
                <w:bCs/>
                <w:sz w:val="21"/>
                <w:szCs w:val="24"/>
                <w:lang w:val="en-US" w:eastAsia="uk-UA" w:bidi="ar-SA"/>
              </w:rPr>
              <w:t>《宁晋县人民政府关于加快推进全县公证机构改革发展的意见》</w:t>
            </w:r>
          </w:p>
        </w:tc>
      </w:tr>
      <w:tr w14:paraId="2A491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9" w:type="dxa"/>
            <w:vMerge w:val="continue"/>
            <w:vAlign w:val="center"/>
          </w:tcPr>
          <w:p w14:paraId="31AF389B"/>
        </w:tc>
        <w:tc>
          <w:tcPr>
            <w:tcW w:w="1710" w:type="dxa"/>
            <w:vAlign w:val="center"/>
          </w:tcPr>
          <w:p w14:paraId="7EAFA37D">
            <w:pPr>
              <w:pStyle w:val="13"/>
            </w:pPr>
            <w:r>
              <w:t>经济效益指标</w:t>
            </w:r>
          </w:p>
        </w:tc>
        <w:tc>
          <w:tcPr>
            <w:tcW w:w="2805" w:type="dxa"/>
            <w:vAlign w:val="center"/>
          </w:tcPr>
          <w:p w14:paraId="78526EFB">
            <w:pPr>
              <w:pStyle w:val="13"/>
            </w:pPr>
            <w:r>
              <w:t>重点工作完成率</w:t>
            </w:r>
          </w:p>
        </w:tc>
        <w:tc>
          <w:tcPr>
            <w:tcW w:w="2340" w:type="dxa"/>
            <w:vAlign w:val="center"/>
          </w:tcPr>
          <w:p w14:paraId="26B6DAF2">
            <w:pPr>
              <w:pStyle w:val="13"/>
            </w:pPr>
            <w:r>
              <w:t>重点工作完成的占全部重点工作的比重</w:t>
            </w:r>
          </w:p>
        </w:tc>
        <w:tc>
          <w:tcPr>
            <w:tcW w:w="1440" w:type="dxa"/>
            <w:vAlign w:val="center"/>
          </w:tcPr>
          <w:p w14:paraId="611DA849">
            <w:pPr>
              <w:pStyle w:val="13"/>
              <w:ind w:firstLine="0" w:firstLineChars="0"/>
            </w:pPr>
            <w:r>
              <w:t>100%</w:t>
            </w:r>
          </w:p>
        </w:tc>
        <w:tc>
          <w:tcPr>
            <w:tcW w:w="3163" w:type="dxa"/>
            <w:vAlign w:val="center"/>
          </w:tcPr>
          <w:p w14:paraId="244D23E6">
            <w:pPr>
              <w:rPr>
                <w:rFonts w:ascii="方正书宋_GBK" w:hAnsi="方正书宋_GBK" w:eastAsia="方正书宋_GBK" w:cs="方正书宋_GBK"/>
                <w:b w:val="0"/>
                <w:bCs/>
                <w:sz w:val="21"/>
                <w:szCs w:val="24"/>
                <w:lang w:val="en-US" w:eastAsia="uk-UA" w:bidi="ar-SA"/>
              </w:rPr>
            </w:pPr>
            <w:r>
              <w:rPr>
                <w:rFonts w:ascii="方正书宋_GBK" w:hAnsi="方正书宋_GBK" w:eastAsia="方正书宋_GBK" w:cs="方正书宋_GBK"/>
                <w:b w:val="0"/>
                <w:bCs/>
                <w:sz w:val="21"/>
                <w:szCs w:val="24"/>
                <w:lang w:val="en-US" w:eastAsia="uk-UA" w:bidi="ar-SA"/>
              </w:rPr>
              <w:t>《宁晋县人民政府关于加快推进全县公证机构改革发展的意见》</w:t>
            </w:r>
          </w:p>
        </w:tc>
      </w:tr>
      <w:tr w14:paraId="2A051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9" w:type="dxa"/>
            <w:vMerge w:val="continue"/>
            <w:vAlign w:val="center"/>
          </w:tcPr>
          <w:p w14:paraId="2E9C1AF7"/>
        </w:tc>
        <w:tc>
          <w:tcPr>
            <w:tcW w:w="1710" w:type="dxa"/>
            <w:vAlign w:val="center"/>
          </w:tcPr>
          <w:p w14:paraId="54256A5F">
            <w:pPr>
              <w:pStyle w:val="13"/>
            </w:pPr>
            <w:r>
              <w:t>社会效益指标</w:t>
            </w:r>
          </w:p>
        </w:tc>
        <w:tc>
          <w:tcPr>
            <w:tcW w:w="2805" w:type="dxa"/>
            <w:vAlign w:val="center"/>
          </w:tcPr>
          <w:p w14:paraId="2A8AB568">
            <w:pPr>
              <w:pStyle w:val="13"/>
            </w:pPr>
            <w:r>
              <w:t>年终考核成绩</w:t>
            </w:r>
          </w:p>
        </w:tc>
        <w:tc>
          <w:tcPr>
            <w:tcW w:w="2340" w:type="dxa"/>
            <w:vAlign w:val="center"/>
          </w:tcPr>
          <w:p w14:paraId="7A066F3A">
            <w:pPr>
              <w:pStyle w:val="13"/>
            </w:pPr>
            <w:r>
              <w:t>单位人员年终考核成绩</w:t>
            </w:r>
          </w:p>
        </w:tc>
        <w:tc>
          <w:tcPr>
            <w:tcW w:w="1440" w:type="dxa"/>
            <w:vAlign w:val="center"/>
          </w:tcPr>
          <w:p w14:paraId="0EE9B2F4">
            <w:pPr>
              <w:pStyle w:val="13"/>
              <w:ind w:firstLine="0" w:firstLineChars="0"/>
            </w:pPr>
            <w:r>
              <w:t>全部良以上</w:t>
            </w:r>
          </w:p>
        </w:tc>
        <w:tc>
          <w:tcPr>
            <w:tcW w:w="3163" w:type="dxa"/>
            <w:vAlign w:val="center"/>
          </w:tcPr>
          <w:p w14:paraId="68542232">
            <w:pPr>
              <w:rPr>
                <w:rFonts w:ascii="方正书宋_GBK" w:hAnsi="方正书宋_GBK" w:eastAsia="方正书宋_GBK" w:cs="方正书宋_GBK"/>
                <w:b w:val="0"/>
                <w:bCs/>
                <w:sz w:val="21"/>
                <w:szCs w:val="24"/>
                <w:lang w:val="en-US" w:eastAsia="uk-UA" w:bidi="ar-SA"/>
              </w:rPr>
            </w:pPr>
            <w:r>
              <w:rPr>
                <w:rFonts w:ascii="方正书宋_GBK" w:hAnsi="方正书宋_GBK" w:eastAsia="方正书宋_GBK" w:cs="方正书宋_GBK"/>
                <w:b w:val="0"/>
                <w:bCs/>
                <w:sz w:val="21"/>
                <w:szCs w:val="24"/>
                <w:lang w:val="en-US" w:eastAsia="uk-UA" w:bidi="ar-SA"/>
              </w:rPr>
              <w:t>《宁晋县人民政府关于加快推进全县公证机构改革发展的意见》</w:t>
            </w:r>
          </w:p>
        </w:tc>
      </w:tr>
      <w:tr w14:paraId="652C0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0" w:hRule="atLeast"/>
          <w:jc w:val="center"/>
        </w:trPr>
        <w:tc>
          <w:tcPr>
            <w:tcW w:w="1929" w:type="dxa"/>
            <w:vMerge w:val="continue"/>
            <w:vAlign w:val="center"/>
          </w:tcPr>
          <w:p w14:paraId="27706CBF"/>
        </w:tc>
        <w:tc>
          <w:tcPr>
            <w:tcW w:w="1710" w:type="dxa"/>
            <w:vAlign w:val="center"/>
          </w:tcPr>
          <w:p w14:paraId="7C374C26">
            <w:pPr>
              <w:pStyle w:val="13"/>
            </w:pPr>
            <w:r>
              <w:t>生态效益指标</w:t>
            </w:r>
          </w:p>
        </w:tc>
        <w:tc>
          <w:tcPr>
            <w:tcW w:w="2805" w:type="dxa"/>
            <w:vAlign w:val="center"/>
          </w:tcPr>
          <w:p w14:paraId="0DA66DDF">
            <w:pPr>
              <w:pStyle w:val="13"/>
            </w:pPr>
            <w:r>
              <w:t>生态保护影响力</w:t>
            </w:r>
          </w:p>
        </w:tc>
        <w:tc>
          <w:tcPr>
            <w:tcW w:w="2340" w:type="dxa"/>
            <w:vAlign w:val="center"/>
          </w:tcPr>
          <w:p w14:paraId="0F6F9B28">
            <w:pPr>
              <w:pStyle w:val="13"/>
            </w:pPr>
            <w:r>
              <w:t>促进本单位持续、稳定发展</w:t>
            </w:r>
          </w:p>
        </w:tc>
        <w:tc>
          <w:tcPr>
            <w:tcW w:w="1440" w:type="dxa"/>
            <w:vAlign w:val="center"/>
          </w:tcPr>
          <w:p w14:paraId="1C59B672">
            <w:pPr>
              <w:pStyle w:val="13"/>
              <w:ind w:firstLine="0" w:firstLineChars="0"/>
            </w:pPr>
            <w:r>
              <w:t>全部良以上</w:t>
            </w:r>
          </w:p>
        </w:tc>
        <w:tc>
          <w:tcPr>
            <w:tcW w:w="3163" w:type="dxa"/>
            <w:vAlign w:val="center"/>
          </w:tcPr>
          <w:p w14:paraId="06D5EF0D">
            <w:pPr>
              <w:rPr>
                <w:rFonts w:ascii="方正书宋_GBK" w:hAnsi="方正书宋_GBK" w:eastAsia="方正书宋_GBK" w:cs="方正书宋_GBK"/>
                <w:b w:val="0"/>
                <w:bCs/>
                <w:sz w:val="21"/>
                <w:szCs w:val="24"/>
                <w:lang w:val="en-US" w:eastAsia="uk-UA" w:bidi="ar-SA"/>
              </w:rPr>
            </w:pPr>
            <w:r>
              <w:rPr>
                <w:rFonts w:ascii="方正书宋_GBK" w:hAnsi="方正书宋_GBK" w:eastAsia="方正书宋_GBK" w:cs="方正书宋_GBK"/>
                <w:b w:val="0"/>
                <w:bCs/>
                <w:sz w:val="21"/>
                <w:szCs w:val="24"/>
                <w:lang w:val="en-US" w:eastAsia="uk-UA" w:bidi="ar-SA"/>
              </w:rPr>
              <w:t>《宁晋县人民政府关于加快推进全县公证机构改革发展的意见》</w:t>
            </w:r>
          </w:p>
        </w:tc>
      </w:tr>
      <w:tr w14:paraId="228CB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0" w:hRule="atLeast"/>
          <w:jc w:val="center"/>
        </w:trPr>
        <w:tc>
          <w:tcPr>
            <w:tcW w:w="1929" w:type="dxa"/>
            <w:vAlign w:val="center"/>
          </w:tcPr>
          <w:p w14:paraId="7572D3B1">
            <w:pPr>
              <w:pStyle w:val="12"/>
            </w:pPr>
            <w:r>
              <w:t>满意度指标</w:t>
            </w:r>
          </w:p>
        </w:tc>
        <w:tc>
          <w:tcPr>
            <w:tcW w:w="1710" w:type="dxa"/>
            <w:vAlign w:val="center"/>
          </w:tcPr>
          <w:p w14:paraId="61892DE8">
            <w:pPr>
              <w:pStyle w:val="13"/>
            </w:pPr>
            <w:r>
              <w:t>服务对象满意度指标</w:t>
            </w:r>
          </w:p>
        </w:tc>
        <w:tc>
          <w:tcPr>
            <w:tcW w:w="2805" w:type="dxa"/>
            <w:vAlign w:val="center"/>
          </w:tcPr>
          <w:p w14:paraId="65897E7F">
            <w:pPr>
              <w:pStyle w:val="13"/>
            </w:pPr>
            <w:r>
              <w:t>服务对象满意度</w:t>
            </w:r>
          </w:p>
        </w:tc>
        <w:tc>
          <w:tcPr>
            <w:tcW w:w="2340" w:type="dxa"/>
            <w:vAlign w:val="center"/>
          </w:tcPr>
          <w:p w14:paraId="3848B379">
            <w:pPr>
              <w:pStyle w:val="13"/>
            </w:pPr>
            <w:r>
              <w:t>服务对象满意度</w:t>
            </w:r>
          </w:p>
        </w:tc>
        <w:tc>
          <w:tcPr>
            <w:tcW w:w="1440" w:type="dxa"/>
            <w:vAlign w:val="center"/>
          </w:tcPr>
          <w:p w14:paraId="1233304F">
            <w:pPr>
              <w:pStyle w:val="13"/>
              <w:ind w:firstLine="0" w:firstLineChars="0"/>
            </w:pPr>
            <w:r>
              <w:t>≥90%</w:t>
            </w:r>
          </w:p>
        </w:tc>
        <w:tc>
          <w:tcPr>
            <w:tcW w:w="3163" w:type="dxa"/>
            <w:vAlign w:val="center"/>
          </w:tcPr>
          <w:p w14:paraId="3532D762">
            <w:pPr>
              <w:rPr>
                <w:rFonts w:ascii="方正书宋_GBK" w:hAnsi="方正书宋_GBK" w:eastAsia="方正书宋_GBK" w:cs="方正书宋_GBK"/>
                <w:b w:val="0"/>
                <w:bCs/>
                <w:sz w:val="21"/>
                <w:szCs w:val="24"/>
                <w:lang w:val="en-US" w:eastAsia="uk-UA" w:bidi="ar-SA"/>
              </w:rPr>
            </w:pPr>
            <w:r>
              <w:rPr>
                <w:rFonts w:ascii="方正书宋_GBK" w:hAnsi="方正书宋_GBK" w:eastAsia="方正书宋_GBK" w:cs="方正书宋_GBK"/>
                <w:b w:val="0"/>
                <w:bCs/>
                <w:sz w:val="21"/>
                <w:szCs w:val="24"/>
                <w:lang w:val="en-US" w:eastAsia="uk-UA" w:bidi="ar-SA"/>
              </w:rPr>
              <w:t>《宁晋县人民政府关于加快推进全县公证机构改革发展的意见》</w:t>
            </w:r>
          </w:p>
        </w:tc>
      </w:tr>
    </w:tbl>
    <w:p w14:paraId="64EC29AE">
      <w:pPr>
        <w:spacing w:before="0" w:after="0"/>
        <w:ind w:firstLine="560"/>
        <w:jc w:val="left"/>
        <w:outlineLvl w:val="3"/>
      </w:pPr>
      <w:bookmarkStart w:id="2" w:name="_Toc_4_4_0000000006"/>
      <w:r>
        <w:rPr>
          <w:rFonts w:ascii="方正仿宋_GBK" w:hAnsi="方正仿宋_GBK" w:eastAsia="方正仿宋_GBK" w:cs="方正仿宋_GBK"/>
          <w:color w:val="000000"/>
          <w:sz w:val="28"/>
        </w:rPr>
        <w:t>3.2022年涉军安置人员工资及保险绩效目标表</w:t>
      </w:r>
      <w:bookmarkEnd w:id="2"/>
    </w:p>
    <w:tbl>
      <w:tblPr>
        <w:tblStyle w:val="5"/>
        <w:tblW w:w="13501"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81"/>
        <w:gridCol w:w="11620"/>
      </w:tblGrid>
      <w:tr w14:paraId="49819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14:paraId="1F113EB3">
            <w:pPr>
              <w:pStyle w:val="11"/>
            </w:pPr>
            <w:r>
              <w:t>绩效目标</w:t>
            </w:r>
          </w:p>
        </w:tc>
        <w:tc>
          <w:tcPr>
            <w:tcW w:w="11620" w:type="dxa"/>
            <w:vAlign w:val="center"/>
          </w:tcPr>
          <w:p w14:paraId="2EA09F39">
            <w:r>
              <w:rPr>
                <w:rFonts w:ascii="方正书宋_GBK" w:hAnsi="方正书宋_GBK" w:eastAsia="方正书宋_GBK" w:cs="方正书宋_GBK"/>
                <w:sz w:val="21"/>
                <w:szCs w:val="24"/>
                <w:lang w:val="en-US" w:eastAsia="uk-UA" w:bidi="ar-SA"/>
              </w:rPr>
              <w:t>1.落实涉军人员工资福利待遇.维护社会安定。</w:t>
            </w:r>
          </w:p>
        </w:tc>
      </w:tr>
    </w:tbl>
    <w:p w14:paraId="6BDA9E3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1349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2"/>
        <w:gridCol w:w="1860"/>
        <w:gridCol w:w="3285"/>
        <w:gridCol w:w="2921"/>
        <w:gridCol w:w="1064"/>
        <w:gridCol w:w="2495"/>
      </w:tblGrid>
      <w:tr w14:paraId="39DC2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tblHeader/>
          <w:jc w:val="center"/>
        </w:trPr>
        <w:tc>
          <w:tcPr>
            <w:tcW w:w="1872" w:type="dxa"/>
            <w:vAlign w:val="center"/>
          </w:tcPr>
          <w:p w14:paraId="3D082D63">
            <w:pPr>
              <w:pStyle w:val="11"/>
            </w:pPr>
            <w:r>
              <w:t>一级指标</w:t>
            </w:r>
          </w:p>
        </w:tc>
        <w:tc>
          <w:tcPr>
            <w:tcW w:w="1860" w:type="dxa"/>
            <w:vAlign w:val="center"/>
          </w:tcPr>
          <w:p w14:paraId="2799FBB3">
            <w:pPr>
              <w:pStyle w:val="11"/>
            </w:pPr>
            <w:r>
              <w:t>二级指标</w:t>
            </w:r>
          </w:p>
        </w:tc>
        <w:tc>
          <w:tcPr>
            <w:tcW w:w="3285" w:type="dxa"/>
            <w:vAlign w:val="center"/>
          </w:tcPr>
          <w:p w14:paraId="019B8299">
            <w:pPr>
              <w:pStyle w:val="11"/>
            </w:pPr>
            <w:r>
              <w:t>三级指标</w:t>
            </w:r>
          </w:p>
        </w:tc>
        <w:tc>
          <w:tcPr>
            <w:tcW w:w="2921" w:type="dxa"/>
            <w:vAlign w:val="center"/>
          </w:tcPr>
          <w:p w14:paraId="01557CE0">
            <w:pPr>
              <w:pStyle w:val="11"/>
            </w:pPr>
            <w:r>
              <w:t>绩效指标描述</w:t>
            </w:r>
          </w:p>
        </w:tc>
        <w:tc>
          <w:tcPr>
            <w:tcW w:w="1064" w:type="dxa"/>
          </w:tcPr>
          <w:p w14:paraId="107152D0">
            <w:pPr>
              <w:jc w:val="center"/>
              <w:rPr>
                <w:rFonts w:ascii="Times New Roman" w:hAnsi="Times New Roman" w:eastAsia="Times New Roman" w:cstheme="minorBidi"/>
                <w:sz w:val="24"/>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95" w:type="dxa"/>
            <w:vAlign w:val="center"/>
          </w:tcPr>
          <w:p w14:paraId="516422E8">
            <w:pPr>
              <w:pStyle w:val="11"/>
            </w:pPr>
            <w:r>
              <w:t>指标值确定依据</w:t>
            </w:r>
          </w:p>
        </w:tc>
      </w:tr>
      <w:tr w14:paraId="28452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2" w:type="dxa"/>
            <w:vMerge w:val="restart"/>
            <w:vAlign w:val="center"/>
          </w:tcPr>
          <w:p w14:paraId="007BB381">
            <w:pPr>
              <w:pStyle w:val="12"/>
            </w:pPr>
            <w:r>
              <w:t>产出指标</w:t>
            </w:r>
          </w:p>
        </w:tc>
        <w:tc>
          <w:tcPr>
            <w:tcW w:w="1860" w:type="dxa"/>
            <w:vAlign w:val="center"/>
          </w:tcPr>
          <w:p w14:paraId="0E686B65">
            <w:pPr>
              <w:pStyle w:val="13"/>
            </w:pPr>
            <w:r>
              <w:t>数量指标</w:t>
            </w:r>
          </w:p>
        </w:tc>
        <w:tc>
          <w:tcPr>
            <w:tcW w:w="3285" w:type="dxa"/>
            <w:vAlign w:val="center"/>
          </w:tcPr>
          <w:p w14:paraId="4DDB1B5F">
            <w:pPr>
              <w:pStyle w:val="13"/>
            </w:pPr>
            <w:r>
              <w:t>自主择业军转干部退役金落实率</w:t>
            </w:r>
          </w:p>
        </w:tc>
        <w:tc>
          <w:tcPr>
            <w:tcW w:w="2921" w:type="dxa"/>
            <w:vAlign w:val="center"/>
          </w:tcPr>
          <w:p w14:paraId="56913691">
            <w:pPr>
              <w:pStyle w:val="13"/>
            </w:pPr>
            <w:r>
              <w:t>年度内自主择业军转干部退役金落实情况</w:t>
            </w:r>
          </w:p>
        </w:tc>
        <w:tc>
          <w:tcPr>
            <w:tcW w:w="1064" w:type="dxa"/>
            <w:vAlign w:val="center"/>
          </w:tcPr>
          <w:p w14:paraId="0037F3AE">
            <w:pPr>
              <w:pStyle w:val="13"/>
              <w:ind w:firstLine="0" w:firstLineChars="0"/>
            </w:pPr>
            <w:r>
              <w:t>100%</w:t>
            </w:r>
          </w:p>
        </w:tc>
        <w:tc>
          <w:tcPr>
            <w:tcW w:w="2495" w:type="dxa"/>
            <w:vAlign w:val="center"/>
          </w:tcPr>
          <w:p w14:paraId="1BA91BD8">
            <w:pPr>
              <w:pStyle w:val="13"/>
              <w:ind w:firstLine="0" w:firstLineChars="0"/>
            </w:pPr>
            <w:r>
              <w:t>《关于军队退役人员政策落实的岗位安置方案》</w:t>
            </w:r>
          </w:p>
        </w:tc>
      </w:tr>
      <w:tr w14:paraId="41A1C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55" w:hRule="atLeast"/>
          <w:jc w:val="center"/>
        </w:trPr>
        <w:tc>
          <w:tcPr>
            <w:tcW w:w="1872" w:type="dxa"/>
            <w:vMerge w:val="continue"/>
            <w:vAlign w:val="center"/>
          </w:tcPr>
          <w:p w14:paraId="1BC08D7A"/>
        </w:tc>
        <w:tc>
          <w:tcPr>
            <w:tcW w:w="1860" w:type="dxa"/>
            <w:vAlign w:val="center"/>
          </w:tcPr>
          <w:p w14:paraId="088613DB">
            <w:pPr>
              <w:pStyle w:val="13"/>
            </w:pPr>
            <w:r>
              <w:t>质量指标</w:t>
            </w:r>
          </w:p>
        </w:tc>
        <w:tc>
          <w:tcPr>
            <w:tcW w:w="3285" w:type="dxa"/>
            <w:vAlign w:val="center"/>
          </w:tcPr>
          <w:p w14:paraId="2C993C12">
            <w:pPr>
              <w:pStyle w:val="13"/>
            </w:pPr>
            <w:r>
              <w:t>财政拨款保障率</w:t>
            </w:r>
          </w:p>
        </w:tc>
        <w:tc>
          <w:tcPr>
            <w:tcW w:w="2921" w:type="dxa"/>
            <w:vAlign w:val="center"/>
          </w:tcPr>
          <w:p w14:paraId="438CAF41">
            <w:pPr>
              <w:pStyle w:val="13"/>
            </w:pPr>
            <w:r>
              <w:t>军转干部工资及保险费用财政拨款保障率</w:t>
            </w:r>
          </w:p>
        </w:tc>
        <w:tc>
          <w:tcPr>
            <w:tcW w:w="1064" w:type="dxa"/>
            <w:vAlign w:val="center"/>
          </w:tcPr>
          <w:p w14:paraId="67C79401">
            <w:pPr>
              <w:pStyle w:val="13"/>
              <w:ind w:firstLine="0" w:firstLineChars="0"/>
            </w:pPr>
            <w:r>
              <w:t>100%</w:t>
            </w:r>
          </w:p>
        </w:tc>
        <w:tc>
          <w:tcPr>
            <w:tcW w:w="2495" w:type="dxa"/>
            <w:vAlign w:val="center"/>
          </w:tcPr>
          <w:p w14:paraId="6D9B0F53">
            <w:pPr>
              <w:pStyle w:val="13"/>
              <w:ind w:firstLine="0" w:firstLineChars="0"/>
            </w:pPr>
            <w:r>
              <w:t>《关于军队退役人员政策落实的岗位安置方案》</w:t>
            </w:r>
          </w:p>
        </w:tc>
      </w:tr>
      <w:tr w14:paraId="64904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2" w:type="dxa"/>
            <w:vMerge w:val="continue"/>
            <w:vAlign w:val="center"/>
          </w:tcPr>
          <w:p w14:paraId="180C68F9"/>
        </w:tc>
        <w:tc>
          <w:tcPr>
            <w:tcW w:w="1860" w:type="dxa"/>
            <w:vAlign w:val="center"/>
          </w:tcPr>
          <w:p w14:paraId="1FB743CC">
            <w:pPr>
              <w:pStyle w:val="13"/>
            </w:pPr>
            <w:r>
              <w:t>时效指标</w:t>
            </w:r>
          </w:p>
        </w:tc>
        <w:tc>
          <w:tcPr>
            <w:tcW w:w="3285" w:type="dxa"/>
            <w:vAlign w:val="center"/>
          </w:tcPr>
          <w:p w14:paraId="67B9024D">
            <w:pPr>
              <w:pStyle w:val="13"/>
            </w:pPr>
            <w:r>
              <w:t>军转干部工资发放率</w:t>
            </w:r>
          </w:p>
        </w:tc>
        <w:tc>
          <w:tcPr>
            <w:tcW w:w="2921" w:type="dxa"/>
            <w:vAlign w:val="center"/>
          </w:tcPr>
          <w:p w14:paraId="45C65698">
            <w:pPr>
              <w:pStyle w:val="13"/>
            </w:pPr>
            <w:r>
              <w:t>军转干部工资发放率</w:t>
            </w:r>
          </w:p>
        </w:tc>
        <w:tc>
          <w:tcPr>
            <w:tcW w:w="1064" w:type="dxa"/>
            <w:vAlign w:val="center"/>
          </w:tcPr>
          <w:p w14:paraId="30952510">
            <w:pPr>
              <w:pStyle w:val="13"/>
              <w:ind w:firstLine="0" w:firstLineChars="0"/>
            </w:pPr>
            <w:r>
              <w:t>100%</w:t>
            </w:r>
          </w:p>
        </w:tc>
        <w:tc>
          <w:tcPr>
            <w:tcW w:w="2495" w:type="dxa"/>
            <w:vAlign w:val="center"/>
          </w:tcPr>
          <w:p w14:paraId="6EB09FBF">
            <w:pPr>
              <w:pStyle w:val="13"/>
              <w:ind w:firstLine="0" w:firstLineChars="0"/>
            </w:pPr>
            <w:r>
              <w:t>《关于军队退役人员政策落实的岗位安置方案》</w:t>
            </w:r>
          </w:p>
        </w:tc>
      </w:tr>
      <w:tr w14:paraId="78F0D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2" w:type="dxa"/>
            <w:vMerge w:val="continue"/>
            <w:vAlign w:val="center"/>
          </w:tcPr>
          <w:p w14:paraId="675FBD0D"/>
        </w:tc>
        <w:tc>
          <w:tcPr>
            <w:tcW w:w="1860" w:type="dxa"/>
            <w:vAlign w:val="center"/>
          </w:tcPr>
          <w:p w14:paraId="3DB0ABBD">
            <w:pPr>
              <w:pStyle w:val="13"/>
            </w:pPr>
            <w:r>
              <w:t>成本指标</w:t>
            </w:r>
          </w:p>
        </w:tc>
        <w:tc>
          <w:tcPr>
            <w:tcW w:w="3285" w:type="dxa"/>
            <w:vAlign w:val="center"/>
          </w:tcPr>
          <w:p w14:paraId="05BFAD20">
            <w:pPr>
              <w:pStyle w:val="13"/>
            </w:pPr>
            <w:r>
              <w:t>按预算资金完成率</w:t>
            </w:r>
          </w:p>
        </w:tc>
        <w:tc>
          <w:tcPr>
            <w:tcW w:w="2921" w:type="dxa"/>
            <w:vAlign w:val="center"/>
          </w:tcPr>
          <w:p w14:paraId="5214C748">
            <w:pPr>
              <w:pStyle w:val="13"/>
            </w:pPr>
            <w:r>
              <w:t>按预算资金完成率</w:t>
            </w:r>
          </w:p>
        </w:tc>
        <w:tc>
          <w:tcPr>
            <w:tcW w:w="1064" w:type="dxa"/>
            <w:vAlign w:val="center"/>
          </w:tcPr>
          <w:p w14:paraId="5FDDFB0D">
            <w:pPr>
              <w:pStyle w:val="13"/>
              <w:ind w:firstLine="0" w:firstLineChars="0"/>
            </w:pPr>
            <w:r>
              <w:t>≥95%</w:t>
            </w:r>
          </w:p>
        </w:tc>
        <w:tc>
          <w:tcPr>
            <w:tcW w:w="2495" w:type="dxa"/>
            <w:vAlign w:val="center"/>
          </w:tcPr>
          <w:p w14:paraId="39A28293">
            <w:pPr>
              <w:pStyle w:val="13"/>
              <w:ind w:firstLine="0" w:firstLineChars="0"/>
            </w:pPr>
            <w:r>
              <w:t>《关于军队退役人员政策落实的岗位安置方案》</w:t>
            </w:r>
          </w:p>
        </w:tc>
      </w:tr>
      <w:tr w14:paraId="4A4DF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2" w:type="dxa"/>
            <w:vMerge w:val="restart"/>
            <w:vAlign w:val="center"/>
          </w:tcPr>
          <w:p w14:paraId="67288722">
            <w:pPr>
              <w:pStyle w:val="12"/>
            </w:pPr>
            <w:r>
              <w:t>效益指标</w:t>
            </w:r>
          </w:p>
        </w:tc>
        <w:tc>
          <w:tcPr>
            <w:tcW w:w="1860" w:type="dxa"/>
            <w:vAlign w:val="center"/>
          </w:tcPr>
          <w:p w14:paraId="01FEE76A">
            <w:pPr>
              <w:pStyle w:val="13"/>
            </w:pPr>
            <w:r>
              <w:t>经济效益指标</w:t>
            </w:r>
          </w:p>
        </w:tc>
        <w:tc>
          <w:tcPr>
            <w:tcW w:w="3285" w:type="dxa"/>
            <w:vAlign w:val="center"/>
          </w:tcPr>
          <w:p w14:paraId="2A7E4592">
            <w:pPr>
              <w:pStyle w:val="13"/>
            </w:pPr>
            <w:r>
              <w:t>军转干部安置计划落实率</w:t>
            </w:r>
          </w:p>
        </w:tc>
        <w:tc>
          <w:tcPr>
            <w:tcW w:w="2921" w:type="dxa"/>
            <w:vAlign w:val="center"/>
          </w:tcPr>
          <w:p w14:paraId="0544142B">
            <w:pPr>
              <w:pStyle w:val="13"/>
            </w:pPr>
            <w:r>
              <w:t>军转干部实际安置情况占安置计划之间的比率</w:t>
            </w:r>
          </w:p>
        </w:tc>
        <w:tc>
          <w:tcPr>
            <w:tcW w:w="1064" w:type="dxa"/>
            <w:vAlign w:val="center"/>
          </w:tcPr>
          <w:p w14:paraId="3C4B1FA7">
            <w:pPr>
              <w:pStyle w:val="13"/>
              <w:ind w:firstLine="0" w:firstLineChars="0"/>
            </w:pPr>
            <w:r>
              <w:t>≥95%</w:t>
            </w:r>
          </w:p>
        </w:tc>
        <w:tc>
          <w:tcPr>
            <w:tcW w:w="2495" w:type="dxa"/>
            <w:vAlign w:val="center"/>
          </w:tcPr>
          <w:p w14:paraId="54B47001">
            <w:pPr>
              <w:pStyle w:val="13"/>
              <w:ind w:firstLine="0" w:firstLineChars="0"/>
            </w:pPr>
            <w:r>
              <w:t>《关于军队退役人员政策落实的岗位安置方案》</w:t>
            </w:r>
          </w:p>
        </w:tc>
      </w:tr>
      <w:tr w14:paraId="63576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2" w:type="dxa"/>
            <w:vMerge w:val="continue"/>
            <w:vAlign w:val="center"/>
          </w:tcPr>
          <w:p w14:paraId="3A73EB78"/>
        </w:tc>
        <w:tc>
          <w:tcPr>
            <w:tcW w:w="1860" w:type="dxa"/>
            <w:vAlign w:val="center"/>
          </w:tcPr>
          <w:p w14:paraId="46C1F898">
            <w:pPr>
              <w:pStyle w:val="13"/>
            </w:pPr>
            <w:r>
              <w:t>可持续影响指标</w:t>
            </w:r>
          </w:p>
        </w:tc>
        <w:tc>
          <w:tcPr>
            <w:tcW w:w="3285" w:type="dxa"/>
            <w:vAlign w:val="center"/>
          </w:tcPr>
          <w:p w14:paraId="27FE4740">
            <w:pPr>
              <w:pStyle w:val="13"/>
            </w:pPr>
            <w:r>
              <w:t>维护社会稳定</w:t>
            </w:r>
          </w:p>
        </w:tc>
        <w:tc>
          <w:tcPr>
            <w:tcW w:w="2921" w:type="dxa"/>
            <w:vAlign w:val="center"/>
          </w:tcPr>
          <w:p w14:paraId="22774D7A">
            <w:pPr>
              <w:pStyle w:val="13"/>
            </w:pPr>
            <w:r>
              <w:t>维护社会稳定</w:t>
            </w:r>
          </w:p>
        </w:tc>
        <w:tc>
          <w:tcPr>
            <w:tcW w:w="1064" w:type="dxa"/>
            <w:vAlign w:val="center"/>
          </w:tcPr>
          <w:p w14:paraId="42D08141">
            <w:pPr>
              <w:pStyle w:val="13"/>
              <w:ind w:firstLine="0" w:firstLineChars="0"/>
            </w:pPr>
            <w:r>
              <w:t>维护社会稳定</w:t>
            </w:r>
          </w:p>
        </w:tc>
        <w:tc>
          <w:tcPr>
            <w:tcW w:w="2495" w:type="dxa"/>
            <w:vAlign w:val="center"/>
          </w:tcPr>
          <w:p w14:paraId="447917F5">
            <w:pPr>
              <w:pStyle w:val="13"/>
              <w:ind w:firstLine="0" w:firstLineChars="0"/>
            </w:pPr>
            <w:r>
              <w:t>《关于军队退役人员政策落实的岗位安置方案》</w:t>
            </w:r>
          </w:p>
        </w:tc>
      </w:tr>
      <w:tr w14:paraId="33920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2" w:type="dxa"/>
            <w:vMerge w:val="continue"/>
            <w:vAlign w:val="center"/>
          </w:tcPr>
          <w:p w14:paraId="37BE3201"/>
        </w:tc>
        <w:tc>
          <w:tcPr>
            <w:tcW w:w="1860" w:type="dxa"/>
            <w:vAlign w:val="center"/>
          </w:tcPr>
          <w:p w14:paraId="0B20FAA8">
            <w:pPr>
              <w:pStyle w:val="13"/>
            </w:pPr>
            <w:r>
              <w:t>社会效益指标</w:t>
            </w:r>
          </w:p>
        </w:tc>
        <w:tc>
          <w:tcPr>
            <w:tcW w:w="3285" w:type="dxa"/>
            <w:vAlign w:val="center"/>
          </w:tcPr>
          <w:p w14:paraId="27DF9E7B">
            <w:pPr>
              <w:pStyle w:val="13"/>
            </w:pPr>
            <w:r>
              <w:t>按时发放率</w:t>
            </w:r>
          </w:p>
        </w:tc>
        <w:tc>
          <w:tcPr>
            <w:tcW w:w="2921" w:type="dxa"/>
            <w:vAlign w:val="center"/>
          </w:tcPr>
          <w:p w14:paraId="7032D511">
            <w:pPr>
              <w:pStyle w:val="13"/>
            </w:pPr>
            <w:r>
              <w:t>按时发放率</w:t>
            </w:r>
          </w:p>
        </w:tc>
        <w:tc>
          <w:tcPr>
            <w:tcW w:w="1064" w:type="dxa"/>
            <w:vAlign w:val="center"/>
          </w:tcPr>
          <w:p w14:paraId="4A28BE10">
            <w:pPr>
              <w:pStyle w:val="13"/>
              <w:ind w:firstLine="0" w:firstLineChars="0"/>
            </w:pPr>
            <w:r>
              <w:t>≥90%</w:t>
            </w:r>
          </w:p>
        </w:tc>
        <w:tc>
          <w:tcPr>
            <w:tcW w:w="2495" w:type="dxa"/>
            <w:vAlign w:val="center"/>
          </w:tcPr>
          <w:p w14:paraId="7AF1A09E">
            <w:pPr>
              <w:pStyle w:val="13"/>
              <w:ind w:firstLine="0" w:firstLineChars="0"/>
            </w:pPr>
            <w:r>
              <w:t>《关于军队退役人员政策落实的岗位安置方案》</w:t>
            </w:r>
          </w:p>
        </w:tc>
      </w:tr>
      <w:tr w14:paraId="5BA44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2" w:type="dxa"/>
            <w:vMerge w:val="continue"/>
            <w:vAlign w:val="center"/>
          </w:tcPr>
          <w:p w14:paraId="2059A321"/>
        </w:tc>
        <w:tc>
          <w:tcPr>
            <w:tcW w:w="1860" w:type="dxa"/>
            <w:vAlign w:val="center"/>
          </w:tcPr>
          <w:p w14:paraId="36059B7B">
            <w:pPr>
              <w:pStyle w:val="13"/>
            </w:pPr>
            <w:r>
              <w:t>生态效益指标</w:t>
            </w:r>
          </w:p>
        </w:tc>
        <w:tc>
          <w:tcPr>
            <w:tcW w:w="3285" w:type="dxa"/>
            <w:vAlign w:val="center"/>
          </w:tcPr>
          <w:p w14:paraId="5FFD79C3">
            <w:pPr>
              <w:pStyle w:val="13"/>
            </w:pPr>
            <w:r>
              <w:t>生态效益指标</w:t>
            </w:r>
          </w:p>
        </w:tc>
        <w:tc>
          <w:tcPr>
            <w:tcW w:w="2921" w:type="dxa"/>
            <w:vAlign w:val="center"/>
          </w:tcPr>
          <w:p w14:paraId="12A09F11">
            <w:pPr>
              <w:pStyle w:val="13"/>
            </w:pPr>
            <w:r>
              <w:t>生态效益指标</w:t>
            </w:r>
          </w:p>
        </w:tc>
        <w:tc>
          <w:tcPr>
            <w:tcW w:w="1064" w:type="dxa"/>
            <w:vAlign w:val="center"/>
          </w:tcPr>
          <w:p w14:paraId="569BAD97">
            <w:pPr>
              <w:pStyle w:val="13"/>
              <w:ind w:firstLine="0" w:firstLineChars="0"/>
            </w:pPr>
            <w:r>
              <w:t>生态效益指标</w:t>
            </w:r>
          </w:p>
        </w:tc>
        <w:tc>
          <w:tcPr>
            <w:tcW w:w="2495" w:type="dxa"/>
            <w:vAlign w:val="center"/>
          </w:tcPr>
          <w:p w14:paraId="4E118485">
            <w:pPr>
              <w:pStyle w:val="13"/>
              <w:ind w:firstLine="0" w:firstLineChars="0"/>
            </w:pPr>
            <w:r>
              <w:t>《关于军队退役人员政策落实的岗位安置方案》</w:t>
            </w:r>
          </w:p>
        </w:tc>
      </w:tr>
      <w:tr w14:paraId="4150F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2" w:type="dxa"/>
            <w:vAlign w:val="center"/>
          </w:tcPr>
          <w:p w14:paraId="69FC7AA9">
            <w:pPr>
              <w:pStyle w:val="12"/>
            </w:pPr>
            <w:r>
              <w:t>满意度指标</w:t>
            </w:r>
          </w:p>
        </w:tc>
        <w:tc>
          <w:tcPr>
            <w:tcW w:w="1860" w:type="dxa"/>
            <w:vAlign w:val="center"/>
          </w:tcPr>
          <w:p w14:paraId="1530141F">
            <w:pPr>
              <w:pStyle w:val="13"/>
            </w:pPr>
            <w:r>
              <w:t>服务对象满意度指标</w:t>
            </w:r>
          </w:p>
        </w:tc>
        <w:tc>
          <w:tcPr>
            <w:tcW w:w="3285" w:type="dxa"/>
            <w:vAlign w:val="center"/>
          </w:tcPr>
          <w:p w14:paraId="5474D7CA">
            <w:pPr>
              <w:pStyle w:val="13"/>
            </w:pPr>
            <w:r>
              <w:t>群众满意度</w:t>
            </w:r>
          </w:p>
        </w:tc>
        <w:tc>
          <w:tcPr>
            <w:tcW w:w="2921" w:type="dxa"/>
            <w:vAlign w:val="center"/>
          </w:tcPr>
          <w:p w14:paraId="1C89DD5A">
            <w:pPr>
              <w:pStyle w:val="13"/>
            </w:pPr>
            <w:r>
              <w:t>群众满意度</w:t>
            </w:r>
          </w:p>
        </w:tc>
        <w:tc>
          <w:tcPr>
            <w:tcW w:w="1064" w:type="dxa"/>
            <w:vAlign w:val="center"/>
          </w:tcPr>
          <w:p w14:paraId="35D3048D">
            <w:pPr>
              <w:pStyle w:val="13"/>
              <w:ind w:firstLine="0" w:firstLineChars="0"/>
            </w:pPr>
            <w:r>
              <w:t>≥90%</w:t>
            </w:r>
          </w:p>
        </w:tc>
        <w:tc>
          <w:tcPr>
            <w:tcW w:w="2495" w:type="dxa"/>
            <w:vAlign w:val="center"/>
          </w:tcPr>
          <w:p w14:paraId="6164625F">
            <w:pPr>
              <w:pStyle w:val="13"/>
              <w:ind w:firstLine="0" w:firstLineChars="0"/>
            </w:pPr>
            <w:r>
              <w:t>《关于军队退役人员政策落实的岗位安置方案》</w:t>
            </w:r>
          </w:p>
        </w:tc>
      </w:tr>
    </w:tbl>
    <w:p w14:paraId="72B09235">
      <w:pPr>
        <w:sectPr>
          <w:pgSz w:w="16840" w:h="11900" w:orient="landscape"/>
          <w:pgMar w:top="1304" w:right="1984" w:bottom="1304" w:left="1134" w:header="720" w:footer="720" w:gutter="0"/>
          <w:pgNumType w:fmt="numberInDash"/>
          <w:cols w:space="720" w:num="1"/>
        </w:sectPr>
      </w:pPr>
    </w:p>
    <w:p w14:paraId="0266B6F3">
      <w:pPr>
        <w:spacing w:before="0" w:after="0"/>
        <w:ind w:firstLine="560"/>
        <w:jc w:val="left"/>
        <w:outlineLvl w:val="3"/>
      </w:pPr>
      <w:bookmarkStart w:id="3" w:name="_Toc_4_4_0000000007"/>
      <w:r>
        <w:rPr>
          <w:rFonts w:ascii="方正仿宋_GBK" w:hAnsi="方正仿宋_GBK" w:eastAsia="方正仿宋_GBK" w:cs="方正仿宋_GBK"/>
          <w:color w:val="000000"/>
          <w:sz w:val="28"/>
        </w:rPr>
        <w:t>4.2022年社区矫正补助资金（冀财政法[2021]70号）绩效目标表</w:t>
      </w:r>
      <w:bookmarkEnd w:id="3"/>
    </w:p>
    <w:tbl>
      <w:tblPr>
        <w:tblStyle w:val="5"/>
        <w:tblW w:w="12655"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08"/>
        <w:gridCol w:w="10747"/>
      </w:tblGrid>
      <w:tr w14:paraId="55C5A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8" w:type="dxa"/>
            <w:vAlign w:val="center"/>
          </w:tcPr>
          <w:p w14:paraId="224F6CD7">
            <w:pPr>
              <w:pStyle w:val="11"/>
            </w:pPr>
            <w:r>
              <w:t>绩效目标</w:t>
            </w:r>
          </w:p>
        </w:tc>
        <w:tc>
          <w:tcPr>
            <w:tcW w:w="10747" w:type="dxa"/>
            <w:vAlign w:val="center"/>
          </w:tcPr>
          <w:p w14:paraId="33EC302B">
            <w:r>
              <w:rPr>
                <w:rFonts w:ascii="方正书宋_GBK" w:hAnsi="方正书宋_GBK" w:eastAsia="方正书宋_GBK" w:cs="方正书宋_GBK"/>
                <w:sz w:val="21"/>
                <w:szCs w:val="24"/>
                <w:lang w:val="en-US" w:eastAsia="uk-UA" w:bidi="ar-SA"/>
              </w:rPr>
              <w:t>1.做好全县社区矫正和刑满释放人员帮教安置工作。</w:t>
            </w:r>
          </w:p>
        </w:tc>
      </w:tr>
    </w:tbl>
    <w:p w14:paraId="561E317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1264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18"/>
        <w:gridCol w:w="1800"/>
        <w:gridCol w:w="2940"/>
        <w:gridCol w:w="2350"/>
        <w:gridCol w:w="1275"/>
        <w:gridCol w:w="2362"/>
      </w:tblGrid>
      <w:tr w14:paraId="7A809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918" w:type="dxa"/>
            <w:vAlign w:val="center"/>
          </w:tcPr>
          <w:p w14:paraId="47E5846F">
            <w:pPr>
              <w:pStyle w:val="11"/>
            </w:pPr>
            <w:r>
              <w:t>一级指标</w:t>
            </w:r>
          </w:p>
        </w:tc>
        <w:tc>
          <w:tcPr>
            <w:tcW w:w="1800" w:type="dxa"/>
            <w:vAlign w:val="center"/>
          </w:tcPr>
          <w:p w14:paraId="69397F18">
            <w:pPr>
              <w:pStyle w:val="11"/>
            </w:pPr>
            <w:r>
              <w:t>二级指标</w:t>
            </w:r>
          </w:p>
        </w:tc>
        <w:tc>
          <w:tcPr>
            <w:tcW w:w="2940" w:type="dxa"/>
            <w:vAlign w:val="center"/>
          </w:tcPr>
          <w:p w14:paraId="43275C36">
            <w:pPr>
              <w:pStyle w:val="11"/>
            </w:pPr>
            <w:r>
              <w:t>三级指标</w:t>
            </w:r>
          </w:p>
        </w:tc>
        <w:tc>
          <w:tcPr>
            <w:tcW w:w="2350" w:type="dxa"/>
            <w:vAlign w:val="center"/>
          </w:tcPr>
          <w:p w14:paraId="61D4A4DA">
            <w:pPr>
              <w:pStyle w:val="11"/>
            </w:pPr>
            <w:r>
              <w:t>绩效指标描述</w:t>
            </w:r>
          </w:p>
        </w:tc>
        <w:tc>
          <w:tcPr>
            <w:tcW w:w="1275" w:type="dxa"/>
          </w:tcPr>
          <w:p w14:paraId="32BD86EC">
            <w:pPr>
              <w:jc w:val="left"/>
              <w:rPr>
                <w:rFonts w:ascii="Times New Roman" w:hAnsi="Times New Roman" w:eastAsia="Times New Roman" w:cstheme="minorBidi"/>
                <w:sz w:val="24"/>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362" w:type="dxa"/>
            <w:vAlign w:val="center"/>
          </w:tcPr>
          <w:p w14:paraId="6559ED95">
            <w:pPr>
              <w:pStyle w:val="11"/>
            </w:pPr>
            <w:r>
              <w:t>指标值确定依据</w:t>
            </w:r>
          </w:p>
        </w:tc>
      </w:tr>
      <w:tr w14:paraId="2225E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8" w:type="dxa"/>
            <w:vMerge w:val="restart"/>
            <w:vAlign w:val="center"/>
          </w:tcPr>
          <w:p w14:paraId="266CE31A">
            <w:pPr>
              <w:pStyle w:val="12"/>
            </w:pPr>
            <w:r>
              <w:t>产出指标</w:t>
            </w:r>
          </w:p>
        </w:tc>
        <w:tc>
          <w:tcPr>
            <w:tcW w:w="1800" w:type="dxa"/>
            <w:vAlign w:val="center"/>
          </w:tcPr>
          <w:p w14:paraId="2ED1DC80">
            <w:pPr>
              <w:pStyle w:val="13"/>
            </w:pPr>
            <w:r>
              <w:t>数量指标</w:t>
            </w:r>
          </w:p>
        </w:tc>
        <w:tc>
          <w:tcPr>
            <w:tcW w:w="2940" w:type="dxa"/>
            <w:vAlign w:val="center"/>
          </w:tcPr>
          <w:p w14:paraId="3AB0CFBE">
            <w:pPr>
              <w:pStyle w:val="13"/>
            </w:pPr>
            <w:r>
              <w:t>月度学习时间低于8小时人数</w:t>
            </w:r>
          </w:p>
        </w:tc>
        <w:tc>
          <w:tcPr>
            <w:tcW w:w="2350" w:type="dxa"/>
            <w:vAlign w:val="center"/>
          </w:tcPr>
          <w:p w14:paraId="46DC76F6">
            <w:pPr>
              <w:pStyle w:val="13"/>
            </w:pPr>
            <w:r>
              <w:t>社区矫正人员月度教育学习时间低于8小时的人数</w:t>
            </w:r>
          </w:p>
        </w:tc>
        <w:tc>
          <w:tcPr>
            <w:tcW w:w="1275" w:type="dxa"/>
            <w:vAlign w:val="center"/>
          </w:tcPr>
          <w:p w14:paraId="5A07B010">
            <w:pPr>
              <w:pStyle w:val="13"/>
              <w:ind w:firstLine="0" w:firstLineChars="0"/>
            </w:pPr>
            <w:r>
              <w:t>≤6人次</w:t>
            </w:r>
          </w:p>
        </w:tc>
        <w:tc>
          <w:tcPr>
            <w:tcW w:w="2362" w:type="dxa"/>
            <w:vAlign w:val="center"/>
          </w:tcPr>
          <w:p w14:paraId="5BE1699A">
            <w:pPr>
              <w:pStyle w:val="13"/>
              <w:ind w:firstLine="0" w:firstLineChars="0"/>
            </w:pPr>
            <w:r>
              <w:t>《社区矫正实施办法》</w:t>
            </w:r>
          </w:p>
        </w:tc>
      </w:tr>
      <w:tr w14:paraId="0E9C3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8" w:type="dxa"/>
            <w:vMerge w:val="continue"/>
            <w:vAlign w:val="center"/>
          </w:tcPr>
          <w:p w14:paraId="3C27DCD6"/>
        </w:tc>
        <w:tc>
          <w:tcPr>
            <w:tcW w:w="1800" w:type="dxa"/>
            <w:vAlign w:val="center"/>
          </w:tcPr>
          <w:p w14:paraId="124BACAD">
            <w:pPr>
              <w:pStyle w:val="13"/>
            </w:pPr>
            <w:r>
              <w:t>质量指标</w:t>
            </w:r>
          </w:p>
        </w:tc>
        <w:tc>
          <w:tcPr>
            <w:tcW w:w="2940" w:type="dxa"/>
            <w:vAlign w:val="center"/>
          </w:tcPr>
          <w:p w14:paraId="7415C4D1">
            <w:pPr>
              <w:pStyle w:val="13"/>
            </w:pPr>
            <w:r>
              <w:t>社区矫正执法人员学习时间达标率</w:t>
            </w:r>
          </w:p>
        </w:tc>
        <w:tc>
          <w:tcPr>
            <w:tcW w:w="2350" w:type="dxa"/>
            <w:vAlign w:val="center"/>
          </w:tcPr>
          <w:p w14:paraId="4529DAE4">
            <w:pPr>
              <w:pStyle w:val="13"/>
            </w:pPr>
            <w:r>
              <w:t>社区矫正执法人员学习时间达标率</w:t>
            </w:r>
          </w:p>
        </w:tc>
        <w:tc>
          <w:tcPr>
            <w:tcW w:w="1275" w:type="dxa"/>
            <w:vAlign w:val="center"/>
          </w:tcPr>
          <w:p w14:paraId="0C38DA84">
            <w:pPr>
              <w:pStyle w:val="13"/>
              <w:ind w:firstLine="0" w:firstLineChars="0"/>
            </w:pPr>
            <w:r>
              <w:t>≥90百分之</w:t>
            </w:r>
          </w:p>
        </w:tc>
        <w:tc>
          <w:tcPr>
            <w:tcW w:w="2362" w:type="dxa"/>
            <w:vAlign w:val="center"/>
          </w:tcPr>
          <w:p w14:paraId="262BDD92">
            <w:pPr>
              <w:pStyle w:val="13"/>
              <w:ind w:firstLine="0" w:firstLineChars="0"/>
            </w:pPr>
            <w:r>
              <w:t>《社区矫正实施办法》</w:t>
            </w:r>
          </w:p>
        </w:tc>
      </w:tr>
      <w:tr w14:paraId="5106C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8" w:type="dxa"/>
            <w:vMerge w:val="continue"/>
            <w:vAlign w:val="center"/>
          </w:tcPr>
          <w:p w14:paraId="0383F0E3"/>
        </w:tc>
        <w:tc>
          <w:tcPr>
            <w:tcW w:w="1800" w:type="dxa"/>
            <w:vAlign w:val="center"/>
          </w:tcPr>
          <w:p w14:paraId="4B44C7B2">
            <w:pPr>
              <w:pStyle w:val="13"/>
            </w:pPr>
            <w:r>
              <w:t>时效指标</w:t>
            </w:r>
          </w:p>
        </w:tc>
        <w:tc>
          <w:tcPr>
            <w:tcW w:w="2940" w:type="dxa"/>
            <w:vAlign w:val="center"/>
          </w:tcPr>
          <w:p w14:paraId="0871608D">
            <w:pPr>
              <w:pStyle w:val="13"/>
            </w:pPr>
            <w:r>
              <w:t>资金拨付及时率</w:t>
            </w:r>
          </w:p>
        </w:tc>
        <w:tc>
          <w:tcPr>
            <w:tcW w:w="2350" w:type="dxa"/>
            <w:vAlign w:val="center"/>
          </w:tcPr>
          <w:p w14:paraId="2C08000F">
            <w:pPr>
              <w:pStyle w:val="13"/>
            </w:pPr>
            <w:r>
              <w:t>资金拨付及时率</w:t>
            </w:r>
          </w:p>
        </w:tc>
        <w:tc>
          <w:tcPr>
            <w:tcW w:w="1275" w:type="dxa"/>
            <w:vAlign w:val="center"/>
          </w:tcPr>
          <w:p w14:paraId="2CCC351F">
            <w:pPr>
              <w:pStyle w:val="13"/>
              <w:ind w:firstLine="0" w:firstLineChars="0"/>
            </w:pPr>
            <w:r>
              <w:t>≥95百分之</w:t>
            </w:r>
          </w:p>
        </w:tc>
        <w:tc>
          <w:tcPr>
            <w:tcW w:w="2362" w:type="dxa"/>
            <w:vAlign w:val="center"/>
          </w:tcPr>
          <w:p w14:paraId="4F9D2E4F">
            <w:pPr>
              <w:pStyle w:val="13"/>
              <w:ind w:firstLine="0" w:firstLineChars="0"/>
            </w:pPr>
            <w:r>
              <w:t>《社区矫正实施办法》</w:t>
            </w:r>
          </w:p>
        </w:tc>
      </w:tr>
      <w:tr w14:paraId="14A03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8" w:type="dxa"/>
            <w:vMerge w:val="continue"/>
            <w:vAlign w:val="center"/>
          </w:tcPr>
          <w:p w14:paraId="5F5459E5"/>
        </w:tc>
        <w:tc>
          <w:tcPr>
            <w:tcW w:w="1800" w:type="dxa"/>
            <w:vAlign w:val="center"/>
          </w:tcPr>
          <w:p w14:paraId="23D3A5BA">
            <w:pPr>
              <w:pStyle w:val="13"/>
            </w:pPr>
            <w:r>
              <w:t>成本指标</w:t>
            </w:r>
          </w:p>
        </w:tc>
        <w:tc>
          <w:tcPr>
            <w:tcW w:w="2940" w:type="dxa"/>
            <w:vAlign w:val="center"/>
          </w:tcPr>
          <w:p w14:paraId="126F150A">
            <w:pPr>
              <w:pStyle w:val="13"/>
            </w:pPr>
            <w:r>
              <w:t>按预算资金完成率</w:t>
            </w:r>
          </w:p>
        </w:tc>
        <w:tc>
          <w:tcPr>
            <w:tcW w:w="2350" w:type="dxa"/>
            <w:vAlign w:val="center"/>
          </w:tcPr>
          <w:p w14:paraId="2325FC1C">
            <w:pPr>
              <w:pStyle w:val="13"/>
            </w:pPr>
            <w:r>
              <w:t>按预算资金完成率</w:t>
            </w:r>
          </w:p>
        </w:tc>
        <w:tc>
          <w:tcPr>
            <w:tcW w:w="1275" w:type="dxa"/>
            <w:vAlign w:val="center"/>
          </w:tcPr>
          <w:p w14:paraId="022923FE">
            <w:pPr>
              <w:pStyle w:val="13"/>
              <w:ind w:firstLine="0" w:firstLineChars="0"/>
            </w:pPr>
            <w:r>
              <w:t>≥95百分之</w:t>
            </w:r>
          </w:p>
        </w:tc>
        <w:tc>
          <w:tcPr>
            <w:tcW w:w="2362" w:type="dxa"/>
            <w:vAlign w:val="center"/>
          </w:tcPr>
          <w:p w14:paraId="5B9D568E">
            <w:pPr>
              <w:pStyle w:val="13"/>
              <w:ind w:firstLine="0" w:firstLineChars="0"/>
            </w:pPr>
            <w:r>
              <w:t>《社区矫正实施办法》</w:t>
            </w:r>
          </w:p>
        </w:tc>
      </w:tr>
      <w:tr w14:paraId="0FF75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8" w:type="dxa"/>
            <w:vMerge w:val="restart"/>
            <w:vAlign w:val="center"/>
          </w:tcPr>
          <w:p w14:paraId="11F2F069">
            <w:pPr>
              <w:pStyle w:val="12"/>
            </w:pPr>
            <w:r>
              <w:t>效益指标</w:t>
            </w:r>
          </w:p>
        </w:tc>
        <w:tc>
          <w:tcPr>
            <w:tcW w:w="1800" w:type="dxa"/>
            <w:vAlign w:val="center"/>
          </w:tcPr>
          <w:p w14:paraId="70E4657E">
            <w:pPr>
              <w:pStyle w:val="13"/>
            </w:pPr>
            <w:r>
              <w:t>经济效益指标</w:t>
            </w:r>
          </w:p>
        </w:tc>
        <w:tc>
          <w:tcPr>
            <w:tcW w:w="2940" w:type="dxa"/>
            <w:vAlign w:val="center"/>
          </w:tcPr>
          <w:p w14:paraId="03BA3618">
            <w:pPr>
              <w:pStyle w:val="13"/>
            </w:pPr>
            <w:r>
              <w:t>社区矫正工作人员执法培训次数</w:t>
            </w:r>
          </w:p>
        </w:tc>
        <w:tc>
          <w:tcPr>
            <w:tcW w:w="2350" w:type="dxa"/>
            <w:vAlign w:val="center"/>
          </w:tcPr>
          <w:p w14:paraId="22C0E9BD">
            <w:pPr>
              <w:pStyle w:val="13"/>
            </w:pPr>
            <w:r>
              <w:t>社区矫正工作人员执法培训次数</w:t>
            </w:r>
          </w:p>
        </w:tc>
        <w:tc>
          <w:tcPr>
            <w:tcW w:w="1275" w:type="dxa"/>
            <w:vAlign w:val="center"/>
          </w:tcPr>
          <w:p w14:paraId="64D9FB50">
            <w:pPr>
              <w:pStyle w:val="13"/>
              <w:ind w:firstLine="0" w:firstLineChars="0"/>
            </w:pPr>
            <w:r>
              <w:t>≥2次</w:t>
            </w:r>
          </w:p>
        </w:tc>
        <w:tc>
          <w:tcPr>
            <w:tcW w:w="2362" w:type="dxa"/>
            <w:vAlign w:val="center"/>
          </w:tcPr>
          <w:p w14:paraId="7EE6C377">
            <w:pPr>
              <w:pStyle w:val="13"/>
              <w:ind w:firstLine="0" w:firstLineChars="0"/>
            </w:pPr>
            <w:r>
              <w:t>《社区矫正实施办法》</w:t>
            </w:r>
          </w:p>
        </w:tc>
      </w:tr>
      <w:tr w14:paraId="095D0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8" w:type="dxa"/>
            <w:vMerge w:val="continue"/>
            <w:vAlign w:val="center"/>
          </w:tcPr>
          <w:p w14:paraId="1663A421"/>
        </w:tc>
        <w:tc>
          <w:tcPr>
            <w:tcW w:w="1800" w:type="dxa"/>
            <w:vAlign w:val="center"/>
          </w:tcPr>
          <w:p w14:paraId="10BE51D5">
            <w:pPr>
              <w:pStyle w:val="13"/>
            </w:pPr>
            <w:r>
              <w:t>社会效益指标</w:t>
            </w:r>
          </w:p>
        </w:tc>
        <w:tc>
          <w:tcPr>
            <w:tcW w:w="2940" w:type="dxa"/>
            <w:vAlign w:val="center"/>
          </w:tcPr>
          <w:p w14:paraId="7C1345EE">
            <w:pPr>
              <w:pStyle w:val="13"/>
            </w:pPr>
            <w:r>
              <w:t>资金的使用效率</w:t>
            </w:r>
          </w:p>
        </w:tc>
        <w:tc>
          <w:tcPr>
            <w:tcW w:w="2350" w:type="dxa"/>
            <w:vAlign w:val="center"/>
          </w:tcPr>
          <w:p w14:paraId="0628EB6E">
            <w:pPr>
              <w:pStyle w:val="13"/>
            </w:pPr>
            <w:r>
              <w:t>资金的使用效率</w:t>
            </w:r>
          </w:p>
        </w:tc>
        <w:tc>
          <w:tcPr>
            <w:tcW w:w="1275" w:type="dxa"/>
            <w:vAlign w:val="center"/>
          </w:tcPr>
          <w:p w14:paraId="3D09F828">
            <w:pPr>
              <w:pStyle w:val="13"/>
              <w:ind w:firstLine="0" w:firstLineChars="0"/>
            </w:pPr>
            <w:r>
              <w:t>≥90百分之</w:t>
            </w:r>
          </w:p>
        </w:tc>
        <w:tc>
          <w:tcPr>
            <w:tcW w:w="2362" w:type="dxa"/>
            <w:vAlign w:val="center"/>
          </w:tcPr>
          <w:p w14:paraId="17100A3B">
            <w:pPr>
              <w:pStyle w:val="13"/>
              <w:ind w:firstLine="0" w:firstLineChars="0"/>
            </w:pPr>
            <w:r>
              <w:t>《社区矫正实施办法》</w:t>
            </w:r>
          </w:p>
        </w:tc>
      </w:tr>
      <w:tr w14:paraId="73628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8" w:type="dxa"/>
            <w:vMerge w:val="continue"/>
            <w:vAlign w:val="center"/>
          </w:tcPr>
          <w:p w14:paraId="7111897E"/>
        </w:tc>
        <w:tc>
          <w:tcPr>
            <w:tcW w:w="1800" w:type="dxa"/>
            <w:vAlign w:val="center"/>
          </w:tcPr>
          <w:p w14:paraId="37906C66">
            <w:pPr>
              <w:pStyle w:val="13"/>
            </w:pPr>
            <w:r>
              <w:t>生态效益指标</w:t>
            </w:r>
          </w:p>
        </w:tc>
        <w:tc>
          <w:tcPr>
            <w:tcW w:w="2940" w:type="dxa"/>
            <w:vAlign w:val="center"/>
          </w:tcPr>
          <w:p w14:paraId="4D043115">
            <w:pPr>
              <w:pStyle w:val="13"/>
            </w:pPr>
            <w:r>
              <w:t>社区矫正人员重新犯罪率（%）</w:t>
            </w:r>
          </w:p>
        </w:tc>
        <w:tc>
          <w:tcPr>
            <w:tcW w:w="2350" w:type="dxa"/>
            <w:vAlign w:val="center"/>
          </w:tcPr>
          <w:p w14:paraId="07DEA00A">
            <w:pPr>
              <w:pStyle w:val="13"/>
            </w:pPr>
            <w:r>
              <w:t>社区矫正人员重新犯罪率（%）</w:t>
            </w:r>
          </w:p>
        </w:tc>
        <w:tc>
          <w:tcPr>
            <w:tcW w:w="1275" w:type="dxa"/>
            <w:vAlign w:val="center"/>
          </w:tcPr>
          <w:p w14:paraId="52FAD9EF">
            <w:pPr>
              <w:pStyle w:val="13"/>
              <w:ind w:firstLine="0" w:firstLineChars="0"/>
            </w:pPr>
            <w:r>
              <w:t>≤0.15百分之</w:t>
            </w:r>
          </w:p>
        </w:tc>
        <w:tc>
          <w:tcPr>
            <w:tcW w:w="2362" w:type="dxa"/>
            <w:vAlign w:val="center"/>
          </w:tcPr>
          <w:p w14:paraId="7B3F7AF6">
            <w:pPr>
              <w:pStyle w:val="13"/>
              <w:ind w:firstLine="0" w:firstLineChars="0"/>
            </w:pPr>
            <w:r>
              <w:t>《社区矫正实施办法》</w:t>
            </w:r>
          </w:p>
        </w:tc>
      </w:tr>
      <w:tr w14:paraId="16952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8" w:type="dxa"/>
            <w:vMerge w:val="continue"/>
            <w:vAlign w:val="center"/>
          </w:tcPr>
          <w:p w14:paraId="219E96C1"/>
        </w:tc>
        <w:tc>
          <w:tcPr>
            <w:tcW w:w="1800" w:type="dxa"/>
            <w:vAlign w:val="center"/>
          </w:tcPr>
          <w:p w14:paraId="4E1C1710">
            <w:pPr>
              <w:pStyle w:val="13"/>
            </w:pPr>
            <w:r>
              <w:t>可持续影响指标</w:t>
            </w:r>
          </w:p>
        </w:tc>
        <w:tc>
          <w:tcPr>
            <w:tcW w:w="2940" w:type="dxa"/>
            <w:vAlign w:val="center"/>
          </w:tcPr>
          <w:p w14:paraId="5910A8F4">
            <w:pPr>
              <w:pStyle w:val="13"/>
            </w:pPr>
            <w:r>
              <w:t>生态效益指标</w:t>
            </w:r>
          </w:p>
        </w:tc>
        <w:tc>
          <w:tcPr>
            <w:tcW w:w="2350" w:type="dxa"/>
            <w:vAlign w:val="center"/>
          </w:tcPr>
          <w:p w14:paraId="7D143A1A">
            <w:pPr>
              <w:pStyle w:val="13"/>
            </w:pPr>
            <w:r>
              <w:t>生态效益指标</w:t>
            </w:r>
          </w:p>
        </w:tc>
        <w:tc>
          <w:tcPr>
            <w:tcW w:w="1275" w:type="dxa"/>
            <w:vAlign w:val="center"/>
          </w:tcPr>
          <w:p w14:paraId="18EAD34C">
            <w:pPr>
              <w:pStyle w:val="13"/>
              <w:ind w:firstLine="0" w:firstLineChars="0"/>
            </w:pPr>
            <w:r>
              <w:t>生态效益指标</w:t>
            </w:r>
          </w:p>
        </w:tc>
        <w:tc>
          <w:tcPr>
            <w:tcW w:w="2362" w:type="dxa"/>
            <w:vAlign w:val="center"/>
          </w:tcPr>
          <w:p w14:paraId="2030DB37">
            <w:pPr>
              <w:pStyle w:val="13"/>
              <w:ind w:firstLine="0" w:firstLineChars="0"/>
            </w:pPr>
            <w:r>
              <w:t>《社区矫正实施办法》</w:t>
            </w:r>
          </w:p>
        </w:tc>
      </w:tr>
      <w:tr w14:paraId="15DD4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8" w:type="dxa"/>
            <w:vAlign w:val="center"/>
          </w:tcPr>
          <w:p w14:paraId="43D976CC">
            <w:pPr>
              <w:pStyle w:val="12"/>
            </w:pPr>
            <w:r>
              <w:t>满意度指标</w:t>
            </w:r>
          </w:p>
        </w:tc>
        <w:tc>
          <w:tcPr>
            <w:tcW w:w="1800" w:type="dxa"/>
            <w:vAlign w:val="center"/>
          </w:tcPr>
          <w:p w14:paraId="0C99F89A">
            <w:pPr>
              <w:pStyle w:val="13"/>
            </w:pPr>
            <w:r>
              <w:t>服务对象满意度指标</w:t>
            </w:r>
          </w:p>
        </w:tc>
        <w:tc>
          <w:tcPr>
            <w:tcW w:w="2940" w:type="dxa"/>
            <w:vAlign w:val="center"/>
          </w:tcPr>
          <w:p w14:paraId="29A3D3DD">
            <w:pPr>
              <w:pStyle w:val="13"/>
            </w:pPr>
            <w:r>
              <w:t>群众满意度</w:t>
            </w:r>
          </w:p>
        </w:tc>
        <w:tc>
          <w:tcPr>
            <w:tcW w:w="2350" w:type="dxa"/>
            <w:vAlign w:val="center"/>
          </w:tcPr>
          <w:p w14:paraId="1E08E281">
            <w:pPr>
              <w:pStyle w:val="13"/>
            </w:pPr>
            <w:r>
              <w:t>群众满意度</w:t>
            </w:r>
          </w:p>
        </w:tc>
        <w:tc>
          <w:tcPr>
            <w:tcW w:w="1275" w:type="dxa"/>
            <w:vAlign w:val="center"/>
          </w:tcPr>
          <w:p w14:paraId="7ED4EC73">
            <w:pPr>
              <w:pStyle w:val="13"/>
              <w:ind w:firstLine="0" w:firstLineChars="0"/>
            </w:pPr>
            <w:r>
              <w:t>≥90百分之</w:t>
            </w:r>
          </w:p>
        </w:tc>
        <w:tc>
          <w:tcPr>
            <w:tcW w:w="2362" w:type="dxa"/>
            <w:vAlign w:val="center"/>
          </w:tcPr>
          <w:p w14:paraId="052F2BF8">
            <w:pPr>
              <w:pStyle w:val="13"/>
              <w:ind w:firstLine="0" w:firstLineChars="0"/>
            </w:pPr>
            <w:r>
              <w:t>《社区矫正实施办法》</w:t>
            </w:r>
          </w:p>
        </w:tc>
      </w:tr>
    </w:tbl>
    <w:p w14:paraId="491E44D4">
      <w:pPr>
        <w:sectPr>
          <w:pgSz w:w="16840" w:h="11900" w:orient="landscape"/>
          <w:pgMar w:top="1304" w:right="1984" w:bottom="1304" w:left="1134" w:header="720" w:footer="720" w:gutter="0"/>
          <w:pgNumType w:fmt="numberInDash"/>
          <w:cols w:space="720" w:num="1"/>
        </w:sectPr>
      </w:pPr>
    </w:p>
    <w:p w14:paraId="24E9E729">
      <w:pPr>
        <w:spacing w:before="0" w:after="0"/>
        <w:ind w:firstLine="560"/>
        <w:jc w:val="left"/>
        <w:outlineLvl w:val="3"/>
      </w:pPr>
      <w:bookmarkStart w:id="4" w:name="_Toc_4_4_0000000008"/>
      <w:r>
        <w:rPr>
          <w:rFonts w:ascii="方正仿宋_GBK" w:hAnsi="方正仿宋_GBK" w:eastAsia="方正仿宋_GBK" w:cs="方正仿宋_GBK"/>
          <w:color w:val="000000"/>
          <w:sz w:val="28"/>
        </w:rPr>
        <w:t>5.2022年省级基层公检法司转移支付资金业务费（冀财政法[2021]63号）绩效目标表</w:t>
      </w:r>
      <w:bookmarkEnd w:id="4"/>
    </w:p>
    <w:tbl>
      <w:tblPr>
        <w:tblStyle w:val="5"/>
        <w:tblW w:w="14797"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9"/>
        <w:gridCol w:w="12918"/>
      </w:tblGrid>
      <w:tr w14:paraId="66F16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jc w:val="center"/>
        </w:trPr>
        <w:tc>
          <w:tcPr>
            <w:tcW w:w="1879" w:type="dxa"/>
            <w:vAlign w:val="center"/>
          </w:tcPr>
          <w:p w14:paraId="4AC5EC01">
            <w:pPr>
              <w:pStyle w:val="11"/>
            </w:pPr>
            <w:r>
              <w:t>绩效目标</w:t>
            </w:r>
          </w:p>
        </w:tc>
        <w:tc>
          <w:tcPr>
            <w:tcW w:w="12918" w:type="dxa"/>
            <w:vAlign w:val="center"/>
          </w:tcPr>
          <w:p w14:paraId="5D77D71D">
            <w:r>
              <w:rPr>
                <w:rFonts w:ascii="方正书宋_GBK" w:hAnsi="方正书宋_GBK" w:eastAsia="方正书宋_GBK" w:cs="方正书宋_GBK"/>
                <w:sz w:val="21"/>
                <w:szCs w:val="24"/>
                <w:lang w:val="en-US" w:eastAsia="uk-UA" w:bidi="ar-SA"/>
              </w:rPr>
              <w:t>1.落实法治宣传教育规划，组织实施普法宣传，推进实施法治社会建设工作。</w:t>
            </w:r>
          </w:p>
        </w:tc>
      </w:tr>
    </w:tbl>
    <w:p w14:paraId="2B9B5DF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148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05"/>
        <w:gridCol w:w="1710"/>
        <w:gridCol w:w="2325"/>
        <w:gridCol w:w="2604"/>
        <w:gridCol w:w="1740"/>
        <w:gridCol w:w="4536"/>
      </w:tblGrid>
      <w:tr w14:paraId="3DE66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905" w:type="dxa"/>
            <w:vAlign w:val="center"/>
          </w:tcPr>
          <w:p w14:paraId="6D14269B">
            <w:pPr>
              <w:pStyle w:val="11"/>
            </w:pPr>
            <w:r>
              <w:t>一级指标</w:t>
            </w:r>
          </w:p>
        </w:tc>
        <w:tc>
          <w:tcPr>
            <w:tcW w:w="1710" w:type="dxa"/>
            <w:vAlign w:val="center"/>
          </w:tcPr>
          <w:p w14:paraId="0D1CDF34">
            <w:pPr>
              <w:pStyle w:val="11"/>
            </w:pPr>
            <w:r>
              <w:t>二级指标</w:t>
            </w:r>
          </w:p>
        </w:tc>
        <w:tc>
          <w:tcPr>
            <w:tcW w:w="2325" w:type="dxa"/>
            <w:vAlign w:val="center"/>
          </w:tcPr>
          <w:p w14:paraId="029DCD99">
            <w:pPr>
              <w:pStyle w:val="11"/>
            </w:pPr>
            <w:r>
              <w:t>三级指标</w:t>
            </w:r>
          </w:p>
        </w:tc>
        <w:tc>
          <w:tcPr>
            <w:tcW w:w="2604" w:type="dxa"/>
            <w:vAlign w:val="center"/>
          </w:tcPr>
          <w:p w14:paraId="56BD902E">
            <w:pPr>
              <w:pStyle w:val="11"/>
            </w:pPr>
            <w:r>
              <w:t>绩效指标描述</w:t>
            </w:r>
          </w:p>
        </w:tc>
        <w:tc>
          <w:tcPr>
            <w:tcW w:w="1740" w:type="dxa"/>
            <w:vAlign w:val="center"/>
          </w:tcPr>
          <w:p w14:paraId="354A4F38">
            <w:pPr>
              <w:pStyle w:val="11"/>
              <w:ind w:firstLine="0" w:firstLineChars="0"/>
            </w:pPr>
            <w:r>
              <w:t>指标值</w:t>
            </w:r>
          </w:p>
        </w:tc>
        <w:tc>
          <w:tcPr>
            <w:tcW w:w="4536" w:type="dxa"/>
            <w:vAlign w:val="center"/>
          </w:tcPr>
          <w:p w14:paraId="16B3365E">
            <w:pPr>
              <w:pStyle w:val="11"/>
              <w:ind w:firstLine="0" w:firstLineChars="0"/>
            </w:pPr>
            <w:r>
              <w:t>指标值确定依据</w:t>
            </w:r>
          </w:p>
        </w:tc>
      </w:tr>
      <w:tr w14:paraId="70BCA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5" w:type="dxa"/>
            <w:vMerge w:val="restart"/>
            <w:vAlign w:val="center"/>
          </w:tcPr>
          <w:p w14:paraId="17D2A74B">
            <w:pPr>
              <w:pStyle w:val="12"/>
            </w:pPr>
            <w:r>
              <w:t>产出指标</w:t>
            </w:r>
          </w:p>
        </w:tc>
        <w:tc>
          <w:tcPr>
            <w:tcW w:w="1710" w:type="dxa"/>
            <w:vAlign w:val="center"/>
          </w:tcPr>
          <w:p w14:paraId="7F36D96E">
            <w:pPr>
              <w:pStyle w:val="13"/>
            </w:pPr>
            <w:r>
              <w:t>数量指标</w:t>
            </w:r>
          </w:p>
        </w:tc>
        <w:tc>
          <w:tcPr>
            <w:tcW w:w="2325" w:type="dxa"/>
            <w:vAlign w:val="center"/>
          </w:tcPr>
          <w:p w14:paraId="3FF58F9F">
            <w:pPr>
              <w:pStyle w:val="13"/>
            </w:pPr>
            <w:r>
              <w:t>发放普法宣传品份数</w:t>
            </w:r>
          </w:p>
        </w:tc>
        <w:tc>
          <w:tcPr>
            <w:tcW w:w="2604" w:type="dxa"/>
            <w:vAlign w:val="center"/>
          </w:tcPr>
          <w:p w14:paraId="2C6739F1">
            <w:pPr>
              <w:pStyle w:val="13"/>
            </w:pPr>
            <w:r>
              <w:t>发放普法宣传品份数</w:t>
            </w:r>
          </w:p>
        </w:tc>
        <w:tc>
          <w:tcPr>
            <w:tcW w:w="1740" w:type="dxa"/>
            <w:vAlign w:val="center"/>
          </w:tcPr>
          <w:p w14:paraId="48FF8DB4">
            <w:pPr>
              <w:pStyle w:val="13"/>
              <w:ind w:firstLine="0" w:firstLineChars="0"/>
            </w:pPr>
            <w:r>
              <w:t>≥3000册</w:t>
            </w:r>
          </w:p>
        </w:tc>
        <w:tc>
          <w:tcPr>
            <w:tcW w:w="4536" w:type="dxa"/>
            <w:vAlign w:val="center"/>
          </w:tcPr>
          <w:p w14:paraId="53660982">
            <w:pPr>
              <w:pStyle w:val="13"/>
              <w:ind w:firstLine="0" w:firstLineChars="0"/>
            </w:pPr>
            <w:r>
              <w:t>《宁晋县法治宣传教育领导小组关于在全县开展法治宣传教育的第八个五年规划（2021-2025年）》的通知（宁发[2021]18号）</w:t>
            </w:r>
          </w:p>
        </w:tc>
      </w:tr>
      <w:tr w14:paraId="13FB3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5" w:type="dxa"/>
            <w:vMerge w:val="continue"/>
            <w:vAlign w:val="center"/>
          </w:tcPr>
          <w:p w14:paraId="75CE57DC"/>
        </w:tc>
        <w:tc>
          <w:tcPr>
            <w:tcW w:w="1710" w:type="dxa"/>
            <w:vAlign w:val="center"/>
          </w:tcPr>
          <w:p w14:paraId="7CF2BFE9">
            <w:pPr>
              <w:pStyle w:val="13"/>
            </w:pPr>
            <w:r>
              <w:t>质量指标</w:t>
            </w:r>
          </w:p>
        </w:tc>
        <w:tc>
          <w:tcPr>
            <w:tcW w:w="2325" w:type="dxa"/>
            <w:vAlign w:val="center"/>
          </w:tcPr>
          <w:p w14:paraId="20578549">
            <w:pPr>
              <w:pStyle w:val="13"/>
            </w:pPr>
            <w:r>
              <w:t>活动圆满完成率</w:t>
            </w:r>
          </w:p>
        </w:tc>
        <w:tc>
          <w:tcPr>
            <w:tcW w:w="2604" w:type="dxa"/>
            <w:vAlign w:val="center"/>
          </w:tcPr>
          <w:p w14:paraId="70A48285">
            <w:pPr>
              <w:pStyle w:val="13"/>
            </w:pPr>
            <w:r>
              <w:t>活动圆满完成率</w:t>
            </w:r>
          </w:p>
        </w:tc>
        <w:tc>
          <w:tcPr>
            <w:tcW w:w="1740" w:type="dxa"/>
            <w:vAlign w:val="center"/>
          </w:tcPr>
          <w:p w14:paraId="101F444D">
            <w:pPr>
              <w:pStyle w:val="13"/>
              <w:ind w:firstLine="0" w:firstLineChars="0"/>
            </w:pPr>
            <w:r>
              <w:t>≥90百分之</w:t>
            </w:r>
          </w:p>
        </w:tc>
        <w:tc>
          <w:tcPr>
            <w:tcW w:w="4536" w:type="dxa"/>
            <w:vAlign w:val="center"/>
          </w:tcPr>
          <w:p w14:paraId="5F15E76A">
            <w:pPr>
              <w:pStyle w:val="13"/>
              <w:ind w:firstLine="0" w:firstLineChars="0"/>
            </w:pPr>
            <w:r>
              <w:t>《宁晋县法治宣传教育领导小组关于在全县开展法治宣传教育的第八个五年规划（2021-2025年）》的通知（宁发[2021]18号）</w:t>
            </w:r>
          </w:p>
        </w:tc>
      </w:tr>
      <w:tr w14:paraId="0F0A1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5" w:type="dxa"/>
            <w:vMerge w:val="continue"/>
            <w:vAlign w:val="center"/>
          </w:tcPr>
          <w:p w14:paraId="5D46883E"/>
        </w:tc>
        <w:tc>
          <w:tcPr>
            <w:tcW w:w="1710" w:type="dxa"/>
            <w:vAlign w:val="center"/>
          </w:tcPr>
          <w:p w14:paraId="292EB269">
            <w:pPr>
              <w:pStyle w:val="13"/>
            </w:pPr>
            <w:r>
              <w:t>时效指标</w:t>
            </w:r>
          </w:p>
        </w:tc>
        <w:tc>
          <w:tcPr>
            <w:tcW w:w="2325" w:type="dxa"/>
            <w:vAlign w:val="center"/>
          </w:tcPr>
          <w:p w14:paraId="30D264D9">
            <w:pPr>
              <w:pStyle w:val="13"/>
            </w:pPr>
            <w:r>
              <w:t>普法活动按期完成率</w:t>
            </w:r>
          </w:p>
        </w:tc>
        <w:tc>
          <w:tcPr>
            <w:tcW w:w="2604" w:type="dxa"/>
            <w:vAlign w:val="center"/>
          </w:tcPr>
          <w:p w14:paraId="5D67F6A5">
            <w:pPr>
              <w:pStyle w:val="13"/>
            </w:pPr>
            <w:r>
              <w:t>普法活动按期完成率</w:t>
            </w:r>
          </w:p>
        </w:tc>
        <w:tc>
          <w:tcPr>
            <w:tcW w:w="1740" w:type="dxa"/>
            <w:vAlign w:val="center"/>
          </w:tcPr>
          <w:p w14:paraId="021C65CF">
            <w:pPr>
              <w:pStyle w:val="13"/>
              <w:ind w:firstLine="0" w:firstLineChars="0"/>
            </w:pPr>
            <w:r>
              <w:t>≥95百分之</w:t>
            </w:r>
          </w:p>
        </w:tc>
        <w:tc>
          <w:tcPr>
            <w:tcW w:w="4536" w:type="dxa"/>
            <w:vAlign w:val="center"/>
          </w:tcPr>
          <w:p w14:paraId="3F2ABB31">
            <w:pPr>
              <w:pStyle w:val="13"/>
              <w:ind w:firstLine="0" w:firstLineChars="0"/>
            </w:pPr>
            <w:r>
              <w:t>《宁晋县法治宣传教育领导小组关于在全县开展法治宣传教育的第八个五年规划（2021-2025年）》的通知（宁发[2021]18号）</w:t>
            </w:r>
          </w:p>
        </w:tc>
      </w:tr>
      <w:tr w14:paraId="79766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5" w:type="dxa"/>
            <w:vMerge w:val="continue"/>
            <w:vAlign w:val="center"/>
          </w:tcPr>
          <w:p w14:paraId="29596ADD"/>
        </w:tc>
        <w:tc>
          <w:tcPr>
            <w:tcW w:w="1710" w:type="dxa"/>
            <w:vAlign w:val="center"/>
          </w:tcPr>
          <w:p w14:paraId="6B337F7D">
            <w:pPr>
              <w:pStyle w:val="13"/>
            </w:pPr>
            <w:r>
              <w:t>成本指标</w:t>
            </w:r>
          </w:p>
        </w:tc>
        <w:tc>
          <w:tcPr>
            <w:tcW w:w="2325" w:type="dxa"/>
            <w:vAlign w:val="center"/>
          </w:tcPr>
          <w:p w14:paraId="2F82CE01">
            <w:pPr>
              <w:pStyle w:val="13"/>
            </w:pPr>
            <w:r>
              <w:t>按预算资金完成率</w:t>
            </w:r>
          </w:p>
        </w:tc>
        <w:tc>
          <w:tcPr>
            <w:tcW w:w="2604" w:type="dxa"/>
            <w:vAlign w:val="center"/>
          </w:tcPr>
          <w:p w14:paraId="530925CA">
            <w:pPr>
              <w:pStyle w:val="13"/>
            </w:pPr>
            <w:r>
              <w:t>按预算资金完成率</w:t>
            </w:r>
          </w:p>
        </w:tc>
        <w:tc>
          <w:tcPr>
            <w:tcW w:w="1740" w:type="dxa"/>
            <w:vAlign w:val="center"/>
          </w:tcPr>
          <w:p w14:paraId="09CB4689">
            <w:pPr>
              <w:pStyle w:val="13"/>
              <w:ind w:firstLine="0" w:firstLineChars="0"/>
            </w:pPr>
            <w:r>
              <w:t>≥90百分之</w:t>
            </w:r>
          </w:p>
        </w:tc>
        <w:tc>
          <w:tcPr>
            <w:tcW w:w="4536" w:type="dxa"/>
            <w:vAlign w:val="center"/>
          </w:tcPr>
          <w:p w14:paraId="11D60B09">
            <w:pPr>
              <w:pStyle w:val="13"/>
              <w:ind w:firstLine="0" w:firstLineChars="0"/>
            </w:pPr>
            <w:r>
              <w:t>《宁晋县法治宣传教育领导小组关于在全县开展法治宣传教育的第八个五年规划（2021-2025年）》的通知（宁发[2021]18号）</w:t>
            </w:r>
          </w:p>
        </w:tc>
      </w:tr>
      <w:tr w14:paraId="120D4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5" w:type="dxa"/>
            <w:vMerge w:val="restart"/>
            <w:vAlign w:val="center"/>
          </w:tcPr>
          <w:p w14:paraId="451BBEDD">
            <w:pPr>
              <w:pStyle w:val="12"/>
            </w:pPr>
            <w:r>
              <w:t>效益指标</w:t>
            </w:r>
          </w:p>
        </w:tc>
        <w:tc>
          <w:tcPr>
            <w:tcW w:w="1710" w:type="dxa"/>
            <w:vAlign w:val="center"/>
          </w:tcPr>
          <w:p w14:paraId="501E1F16">
            <w:pPr>
              <w:pStyle w:val="13"/>
            </w:pPr>
            <w:r>
              <w:t>经济效益指标</w:t>
            </w:r>
          </w:p>
        </w:tc>
        <w:tc>
          <w:tcPr>
            <w:tcW w:w="2325" w:type="dxa"/>
            <w:vAlign w:val="center"/>
          </w:tcPr>
          <w:p w14:paraId="0486AC46">
            <w:pPr>
              <w:pStyle w:val="13"/>
            </w:pPr>
            <w:r>
              <w:t>资金的使用效率</w:t>
            </w:r>
          </w:p>
        </w:tc>
        <w:tc>
          <w:tcPr>
            <w:tcW w:w="2604" w:type="dxa"/>
            <w:vAlign w:val="center"/>
          </w:tcPr>
          <w:p w14:paraId="3006ADB2">
            <w:pPr>
              <w:pStyle w:val="13"/>
            </w:pPr>
            <w:r>
              <w:t>资金的使用效率</w:t>
            </w:r>
          </w:p>
        </w:tc>
        <w:tc>
          <w:tcPr>
            <w:tcW w:w="1740" w:type="dxa"/>
            <w:vAlign w:val="center"/>
          </w:tcPr>
          <w:p w14:paraId="20E50E9A">
            <w:pPr>
              <w:pStyle w:val="13"/>
              <w:ind w:firstLine="0" w:firstLineChars="0"/>
            </w:pPr>
            <w:r>
              <w:t>≥90百分之</w:t>
            </w:r>
          </w:p>
        </w:tc>
        <w:tc>
          <w:tcPr>
            <w:tcW w:w="4536" w:type="dxa"/>
            <w:vAlign w:val="center"/>
          </w:tcPr>
          <w:p w14:paraId="59FEBB58">
            <w:pPr>
              <w:pStyle w:val="13"/>
              <w:ind w:firstLine="0" w:firstLineChars="0"/>
            </w:pPr>
            <w:r>
              <w:t>《宁晋县法治宣传教育领导小组关于在全县开展法治宣传教育的第八个五年规划（2021-2025年）》的通知（宁发[2021]18号）</w:t>
            </w:r>
          </w:p>
        </w:tc>
      </w:tr>
      <w:tr w14:paraId="1F611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5" w:type="dxa"/>
            <w:vMerge w:val="continue"/>
            <w:vAlign w:val="center"/>
          </w:tcPr>
          <w:p w14:paraId="5EABCE3E"/>
        </w:tc>
        <w:tc>
          <w:tcPr>
            <w:tcW w:w="1710" w:type="dxa"/>
            <w:vAlign w:val="center"/>
          </w:tcPr>
          <w:p w14:paraId="7063AA38">
            <w:pPr>
              <w:pStyle w:val="13"/>
            </w:pPr>
            <w:r>
              <w:t>社会效益指标</w:t>
            </w:r>
          </w:p>
        </w:tc>
        <w:tc>
          <w:tcPr>
            <w:tcW w:w="2325" w:type="dxa"/>
            <w:vAlign w:val="center"/>
          </w:tcPr>
          <w:p w14:paraId="0BAAD0AB">
            <w:pPr>
              <w:pStyle w:val="13"/>
            </w:pPr>
            <w:r>
              <w:t>普法宣传培训考试合格率</w:t>
            </w:r>
          </w:p>
        </w:tc>
        <w:tc>
          <w:tcPr>
            <w:tcW w:w="2604" w:type="dxa"/>
            <w:vAlign w:val="center"/>
          </w:tcPr>
          <w:p w14:paraId="0DA2A27B">
            <w:pPr>
              <w:pStyle w:val="13"/>
            </w:pPr>
            <w:r>
              <w:t>参加普法宣传培训人员通过考试的人数所占全部培训人员的比率</w:t>
            </w:r>
          </w:p>
        </w:tc>
        <w:tc>
          <w:tcPr>
            <w:tcW w:w="1740" w:type="dxa"/>
            <w:vAlign w:val="center"/>
          </w:tcPr>
          <w:p w14:paraId="7F5A8B1C">
            <w:pPr>
              <w:pStyle w:val="13"/>
              <w:ind w:firstLine="0" w:firstLineChars="0"/>
            </w:pPr>
            <w:r>
              <w:t>≥90百分之</w:t>
            </w:r>
          </w:p>
        </w:tc>
        <w:tc>
          <w:tcPr>
            <w:tcW w:w="4536" w:type="dxa"/>
            <w:vAlign w:val="center"/>
          </w:tcPr>
          <w:p w14:paraId="14C1DD98">
            <w:pPr>
              <w:pStyle w:val="13"/>
              <w:ind w:firstLine="0" w:firstLineChars="0"/>
            </w:pPr>
            <w:r>
              <w:t>《宁晋县法治宣传教育领导小组关于在全县开展法治宣传教育的第八个五年规划（2021-2025年）》的通知（宁发[2021]18号）</w:t>
            </w:r>
          </w:p>
        </w:tc>
      </w:tr>
      <w:tr w14:paraId="77797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0" w:hRule="atLeast"/>
          <w:jc w:val="center"/>
        </w:trPr>
        <w:tc>
          <w:tcPr>
            <w:tcW w:w="1905" w:type="dxa"/>
            <w:vMerge w:val="continue"/>
            <w:vAlign w:val="center"/>
          </w:tcPr>
          <w:p w14:paraId="21257B29"/>
        </w:tc>
        <w:tc>
          <w:tcPr>
            <w:tcW w:w="1710" w:type="dxa"/>
            <w:vAlign w:val="center"/>
          </w:tcPr>
          <w:p w14:paraId="6A488C2D">
            <w:pPr>
              <w:pStyle w:val="13"/>
            </w:pPr>
            <w:r>
              <w:t>生态效益指标</w:t>
            </w:r>
          </w:p>
        </w:tc>
        <w:tc>
          <w:tcPr>
            <w:tcW w:w="2325" w:type="dxa"/>
            <w:vAlign w:val="center"/>
          </w:tcPr>
          <w:p w14:paraId="5E25B66C">
            <w:pPr>
              <w:pStyle w:val="13"/>
            </w:pPr>
            <w:r>
              <w:t>生态效益指标</w:t>
            </w:r>
          </w:p>
        </w:tc>
        <w:tc>
          <w:tcPr>
            <w:tcW w:w="2604" w:type="dxa"/>
            <w:vAlign w:val="center"/>
          </w:tcPr>
          <w:p w14:paraId="1A03C313">
            <w:pPr>
              <w:pStyle w:val="13"/>
            </w:pPr>
            <w:r>
              <w:t>生态效益指标</w:t>
            </w:r>
          </w:p>
        </w:tc>
        <w:tc>
          <w:tcPr>
            <w:tcW w:w="1740" w:type="dxa"/>
            <w:vAlign w:val="center"/>
          </w:tcPr>
          <w:p w14:paraId="5028CB31">
            <w:pPr>
              <w:pStyle w:val="13"/>
              <w:ind w:firstLine="0" w:firstLineChars="0"/>
            </w:pPr>
            <w:r>
              <w:t>生态效益指标</w:t>
            </w:r>
          </w:p>
        </w:tc>
        <w:tc>
          <w:tcPr>
            <w:tcW w:w="4536" w:type="dxa"/>
            <w:vAlign w:val="center"/>
          </w:tcPr>
          <w:p w14:paraId="0B4A1E36">
            <w:pPr>
              <w:pStyle w:val="13"/>
              <w:ind w:firstLine="0" w:firstLineChars="0"/>
            </w:pPr>
            <w:r>
              <w:t>《宁晋县法治宣传教育领导小组关于在全县开展法治宣传教育的第八个五年规划（2021-2025年）》的通知（宁发[2021]18号）</w:t>
            </w:r>
          </w:p>
        </w:tc>
      </w:tr>
      <w:tr w14:paraId="753DC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5" w:type="dxa"/>
            <w:vMerge w:val="continue"/>
            <w:vAlign w:val="center"/>
          </w:tcPr>
          <w:p w14:paraId="28E66930"/>
        </w:tc>
        <w:tc>
          <w:tcPr>
            <w:tcW w:w="1710" w:type="dxa"/>
            <w:vAlign w:val="center"/>
          </w:tcPr>
          <w:p w14:paraId="0A4115C4">
            <w:pPr>
              <w:pStyle w:val="13"/>
            </w:pPr>
            <w:r>
              <w:t>可持续影响指标</w:t>
            </w:r>
          </w:p>
        </w:tc>
        <w:tc>
          <w:tcPr>
            <w:tcW w:w="2325" w:type="dxa"/>
            <w:vAlign w:val="center"/>
          </w:tcPr>
          <w:p w14:paraId="2BAF2F17">
            <w:pPr>
              <w:pStyle w:val="13"/>
            </w:pPr>
            <w:r>
              <w:t>实际组织主题宣传活动场次</w:t>
            </w:r>
          </w:p>
        </w:tc>
        <w:tc>
          <w:tcPr>
            <w:tcW w:w="2604" w:type="dxa"/>
            <w:vAlign w:val="center"/>
          </w:tcPr>
          <w:p w14:paraId="2C657048">
            <w:pPr>
              <w:pStyle w:val="13"/>
            </w:pPr>
            <w:r>
              <w:t>实际组织主题宣传活动场次</w:t>
            </w:r>
          </w:p>
        </w:tc>
        <w:tc>
          <w:tcPr>
            <w:tcW w:w="1740" w:type="dxa"/>
            <w:vAlign w:val="center"/>
          </w:tcPr>
          <w:p w14:paraId="3FBAE950">
            <w:pPr>
              <w:pStyle w:val="13"/>
              <w:ind w:firstLine="0" w:firstLineChars="0"/>
            </w:pPr>
            <w:r>
              <w:t>≥3次</w:t>
            </w:r>
          </w:p>
        </w:tc>
        <w:tc>
          <w:tcPr>
            <w:tcW w:w="4536" w:type="dxa"/>
            <w:vAlign w:val="center"/>
          </w:tcPr>
          <w:p w14:paraId="7E8F7F29">
            <w:pPr>
              <w:pStyle w:val="13"/>
              <w:ind w:firstLine="0" w:firstLineChars="0"/>
            </w:pPr>
            <w:r>
              <w:t>《宁晋县法治宣传教育领导小组关于在全县开展法治宣传教育的第八个五年规划（2021-2025年）》的通知（宁发[2021]18号）</w:t>
            </w:r>
          </w:p>
        </w:tc>
      </w:tr>
      <w:tr w14:paraId="133A4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5" w:type="dxa"/>
            <w:vAlign w:val="center"/>
          </w:tcPr>
          <w:p w14:paraId="71287FA6">
            <w:pPr>
              <w:pStyle w:val="12"/>
            </w:pPr>
            <w:r>
              <w:t>满意度指标</w:t>
            </w:r>
          </w:p>
        </w:tc>
        <w:tc>
          <w:tcPr>
            <w:tcW w:w="1710" w:type="dxa"/>
            <w:vAlign w:val="center"/>
          </w:tcPr>
          <w:p w14:paraId="1B45487B">
            <w:pPr>
              <w:pStyle w:val="13"/>
            </w:pPr>
            <w:r>
              <w:t>服务对象满意度指标</w:t>
            </w:r>
          </w:p>
        </w:tc>
        <w:tc>
          <w:tcPr>
            <w:tcW w:w="2325" w:type="dxa"/>
            <w:vAlign w:val="center"/>
          </w:tcPr>
          <w:p w14:paraId="410E7E15">
            <w:pPr>
              <w:pStyle w:val="13"/>
            </w:pPr>
            <w:r>
              <w:t>群众满意度</w:t>
            </w:r>
          </w:p>
        </w:tc>
        <w:tc>
          <w:tcPr>
            <w:tcW w:w="2604" w:type="dxa"/>
            <w:vAlign w:val="center"/>
          </w:tcPr>
          <w:p w14:paraId="4D7C3D79">
            <w:pPr>
              <w:pStyle w:val="13"/>
            </w:pPr>
            <w:r>
              <w:t>群众满意度</w:t>
            </w:r>
          </w:p>
        </w:tc>
        <w:tc>
          <w:tcPr>
            <w:tcW w:w="1740" w:type="dxa"/>
            <w:vAlign w:val="center"/>
          </w:tcPr>
          <w:p w14:paraId="3019D453">
            <w:pPr>
              <w:pStyle w:val="13"/>
              <w:ind w:firstLine="0" w:firstLineChars="0"/>
            </w:pPr>
            <w:r>
              <w:t>≥90百分之</w:t>
            </w:r>
          </w:p>
        </w:tc>
        <w:tc>
          <w:tcPr>
            <w:tcW w:w="4536" w:type="dxa"/>
            <w:vAlign w:val="center"/>
          </w:tcPr>
          <w:p w14:paraId="7EA54F97">
            <w:pPr>
              <w:pStyle w:val="13"/>
              <w:ind w:firstLine="0" w:firstLineChars="0"/>
            </w:pPr>
            <w:r>
              <w:t>《宁晋县法治宣传教育领导小组关于在全县开展法治宣传教育的第八个五年规划（2021-2025年）》的通知（宁发[2021]18号）</w:t>
            </w:r>
          </w:p>
        </w:tc>
      </w:tr>
    </w:tbl>
    <w:p w14:paraId="69348F3E">
      <w:pPr>
        <w:sectPr>
          <w:pgSz w:w="16840" w:h="11900" w:orient="landscape"/>
          <w:pgMar w:top="1587" w:right="1134" w:bottom="1361" w:left="1134" w:header="720" w:footer="720" w:gutter="0"/>
          <w:pgNumType w:fmt="numberInDash"/>
          <w:cols w:space="720" w:num="1"/>
        </w:sectPr>
      </w:pPr>
    </w:p>
    <w:p w14:paraId="7BE88686">
      <w:pPr>
        <w:spacing w:before="0" w:after="0"/>
        <w:ind w:firstLine="560"/>
        <w:jc w:val="left"/>
        <w:outlineLvl w:val="3"/>
      </w:pPr>
      <w:bookmarkStart w:id="5" w:name="_Toc_4_4_0000000009"/>
      <w:r>
        <w:rPr>
          <w:rFonts w:ascii="方正仿宋_GBK" w:hAnsi="方正仿宋_GBK" w:eastAsia="方正仿宋_GBK" w:cs="方正仿宋_GBK"/>
          <w:color w:val="000000"/>
          <w:sz w:val="28"/>
        </w:rPr>
        <w:t>6.2022年省级基层公检法司转移支付资金装备费（冀财政法[2021]63号）绩效目标表</w:t>
      </w:r>
      <w:bookmarkEnd w:id="5"/>
    </w:p>
    <w:tbl>
      <w:tblPr>
        <w:tblStyle w:val="5"/>
        <w:tblW w:w="13287"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09"/>
        <w:gridCol w:w="11378"/>
      </w:tblGrid>
      <w:tr w14:paraId="0A75F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9" w:type="dxa"/>
            <w:vAlign w:val="center"/>
          </w:tcPr>
          <w:p w14:paraId="01A5DD01">
            <w:pPr>
              <w:pStyle w:val="11"/>
            </w:pPr>
            <w:r>
              <w:t>绩效目标</w:t>
            </w:r>
          </w:p>
        </w:tc>
        <w:tc>
          <w:tcPr>
            <w:tcW w:w="11378" w:type="dxa"/>
            <w:vAlign w:val="center"/>
          </w:tcPr>
          <w:p w14:paraId="5F81BCB7">
            <w:r>
              <w:rPr>
                <w:rFonts w:ascii="方正书宋_GBK" w:hAnsi="方正书宋_GBK" w:eastAsia="方正书宋_GBK" w:cs="方正书宋_GBK"/>
                <w:sz w:val="21"/>
                <w:szCs w:val="24"/>
                <w:lang w:val="en-US" w:eastAsia="uk-UA" w:bidi="ar-SA"/>
              </w:rPr>
              <w:t>1.保障必要办公条件，提高工作效率，确保司法局各项工作正常运转，促进司法事业更快更好发展。</w:t>
            </w:r>
          </w:p>
        </w:tc>
      </w:tr>
    </w:tbl>
    <w:p w14:paraId="692A6B0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133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45"/>
        <w:gridCol w:w="2295"/>
        <w:gridCol w:w="2295"/>
        <w:gridCol w:w="3085"/>
        <w:gridCol w:w="1305"/>
        <w:gridCol w:w="2404"/>
      </w:tblGrid>
      <w:tr w14:paraId="24F78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945" w:type="dxa"/>
            <w:vAlign w:val="center"/>
          </w:tcPr>
          <w:p w14:paraId="544858F1">
            <w:pPr>
              <w:pStyle w:val="11"/>
            </w:pPr>
            <w:r>
              <w:t>一级指标</w:t>
            </w:r>
          </w:p>
        </w:tc>
        <w:tc>
          <w:tcPr>
            <w:tcW w:w="2295" w:type="dxa"/>
            <w:vAlign w:val="center"/>
          </w:tcPr>
          <w:p w14:paraId="757C74D5">
            <w:pPr>
              <w:pStyle w:val="11"/>
            </w:pPr>
            <w:r>
              <w:t>二级指标</w:t>
            </w:r>
          </w:p>
        </w:tc>
        <w:tc>
          <w:tcPr>
            <w:tcW w:w="2295" w:type="dxa"/>
            <w:vAlign w:val="center"/>
          </w:tcPr>
          <w:p w14:paraId="2B34F245">
            <w:pPr>
              <w:pStyle w:val="11"/>
            </w:pPr>
            <w:r>
              <w:t>三级指标</w:t>
            </w:r>
          </w:p>
        </w:tc>
        <w:tc>
          <w:tcPr>
            <w:tcW w:w="3085" w:type="dxa"/>
            <w:vAlign w:val="center"/>
          </w:tcPr>
          <w:p w14:paraId="00166C85">
            <w:pPr>
              <w:pStyle w:val="11"/>
            </w:pPr>
            <w:r>
              <w:t>绩效指标描述</w:t>
            </w:r>
          </w:p>
        </w:tc>
        <w:tc>
          <w:tcPr>
            <w:tcW w:w="1305" w:type="dxa"/>
            <w:vAlign w:val="center"/>
          </w:tcPr>
          <w:p w14:paraId="04E80B25">
            <w:pPr>
              <w:pStyle w:val="11"/>
              <w:ind w:firstLine="0" w:firstLineChars="0"/>
            </w:pPr>
            <w:r>
              <w:t>指标值</w:t>
            </w:r>
          </w:p>
        </w:tc>
        <w:tc>
          <w:tcPr>
            <w:tcW w:w="2404" w:type="dxa"/>
            <w:vAlign w:val="center"/>
          </w:tcPr>
          <w:p w14:paraId="661BD3C1">
            <w:pPr>
              <w:pStyle w:val="11"/>
              <w:ind w:firstLine="0" w:firstLineChars="0"/>
            </w:pPr>
            <w:r>
              <w:t>指标值确定依据</w:t>
            </w:r>
          </w:p>
        </w:tc>
      </w:tr>
      <w:tr w14:paraId="1C914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5" w:type="dxa"/>
            <w:vMerge w:val="restart"/>
            <w:vAlign w:val="center"/>
          </w:tcPr>
          <w:p w14:paraId="12C2B3B0">
            <w:pPr>
              <w:pStyle w:val="12"/>
            </w:pPr>
            <w:r>
              <w:t>产出指标</w:t>
            </w:r>
          </w:p>
        </w:tc>
        <w:tc>
          <w:tcPr>
            <w:tcW w:w="2295" w:type="dxa"/>
            <w:vAlign w:val="center"/>
          </w:tcPr>
          <w:p w14:paraId="3375470F">
            <w:pPr>
              <w:pStyle w:val="13"/>
            </w:pPr>
            <w:r>
              <w:t>数量指标</w:t>
            </w:r>
          </w:p>
        </w:tc>
        <w:tc>
          <w:tcPr>
            <w:tcW w:w="2295" w:type="dxa"/>
            <w:vAlign w:val="center"/>
          </w:tcPr>
          <w:p w14:paraId="7DFDD768">
            <w:pPr>
              <w:pStyle w:val="13"/>
            </w:pPr>
            <w:r>
              <w:t>资金保障率</w:t>
            </w:r>
          </w:p>
        </w:tc>
        <w:tc>
          <w:tcPr>
            <w:tcW w:w="3085" w:type="dxa"/>
            <w:vAlign w:val="center"/>
          </w:tcPr>
          <w:p w14:paraId="4A5FD08F">
            <w:pPr>
              <w:pStyle w:val="13"/>
            </w:pPr>
            <w:r>
              <w:t>资金保障率</w:t>
            </w:r>
          </w:p>
        </w:tc>
        <w:tc>
          <w:tcPr>
            <w:tcW w:w="1305" w:type="dxa"/>
            <w:vAlign w:val="center"/>
          </w:tcPr>
          <w:p w14:paraId="04A3AAB7">
            <w:pPr>
              <w:pStyle w:val="13"/>
              <w:ind w:firstLine="0" w:firstLineChars="0"/>
            </w:pPr>
            <w:r>
              <w:t>≥95百分之</w:t>
            </w:r>
          </w:p>
        </w:tc>
        <w:tc>
          <w:tcPr>
            <w:tcW w:w="2404" w:type="dxa"/>
            <w:vAlign w:val="center"/>
          </w:tcPr>
          <w:p w14:paraId="43119D2D">
            <w:pPr>
              <w:pStyle w:val="13"/>
              <w:ind w:firstLine="0" w:firstLineChars="0"/>
            </w:pPr>
            <w:r>
              <w:t>县文件</w:t>
            </w:r>
          </w:p>
        </w:tc>
      </w:tr>
      <w:tr w14:paraId="5631C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5" w:type="dxa"/>
            <w:vMerge w:val="continue"/>
            <w:vAlign w:val="center"/>
          </w:tcPr>
          <w:p w14:paraId="7C3FF3FE"/>
        </w:tc>
        <w:tc>
          <w:tcPr>
            <w:tcW w:w="2295" w:type="dxa"/>
            <w:vAlign w:val="center"/>
          </w:tcPr>
          <w:p w14:paraId="37347D3B">
            <w:pPr>
              <w:pStyle w:val="13"/>
            </w:pPr>
            <w:r>
              <w:t>质量指标</w:t>
            </w:r>
          </w:p>
        </w:tc>
        <w:tc>
          <w:tcPr>
            <w:tcW w:w="2295" w:type="dxa"/>
            <w:vAlign w:val="center"/>
          </w:tcPr>
          <w:p w14:paraId="11851959">
            <w:pPr>
              <w:pStyle w:val="13"/>
            </w:pPr>
            <w:r>
              <w:t>资金落实到位率</w:t>
            </w:r>
          </w:p>
        </w:tc>
        <w:tc>
          <w:tcPr>
            <w:tcW w:w="3085" w:type="dxa"/>
            <w:vAlign w:val="center"/>
          </w:tcPr>
          <w:p w14:paraId="47C18076">
            <w:pPr>
              <w:pStyle w:val="13"/>
            </w:pPr>
            <w:r>
              <w:t>资金落实到位占应拨付资金总额的比例</w:t>
            </w:r>
          </w:p>
        </w:tc>
        <w:tc>
          <w:tcPr>
            <w:tcW w:w="1305" w:type="dxa"/>
            <w:vAlign w:val="center"/>
          </w:tcPr>
          <w:p w14:paraId="23802742">
            <w:pPr>
              <w:pStyle w:val="13"/>
              <w:ind w:firstLine="0" w:firstLineChars="0"/>
            </w:pPr>
            <w:r>
              <w:t>100百分之</w:t>
            </w:r>
          </w:p>
        </w:tc>
        <w:tc>
          <w:tcPr>
            <w:tcW w:w="2404" w:type="dxa"/>
            <w:vAlign w:val="center"/>
          </w:tcPr>
          <w:p w14:paraId="0CAC2363">
            <w:pPr>
              <w:pStyle w:val="13"/>
              <w:ind w:firstLine="0" w:firstLineChars="0"/>
            </w:pPr>
            <w:r>
              <w:t>县文件</w:t>
            </w:r>
          </w:p>
        </w:tc>
      </w:tr>
      <w:tr w14:paraId="6A6CF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5" w:type="dxa"/>
            <w:vMerge w:val="continue"/>
            <w:vAlign w:val="center"/>
          </w:tcPr>
          <w:p w14:paraId="09D05F20"/>
        </w:tc>
        <w:tc>
          <w:tcPr>
            <w:tcW w:w="2295" w:type="dxa"/>
            <w:vAlign w:val="center"/>
          </w:tcPr>
          <w:p w14:paraId="1E8A7178">
            <w:pPr>
              <w:pStyle w:val="13"/>
            </w:pPr>
            <w:r>
              <w:t>时效指标</w:t>
            </w:r>
          </w:p>
        </w:tc>
        <w:tc>
          <w:tcPr>
            <w:tcW w:w="2295" w:type="dxa"/>
            <w:vAlign w:val="center"/>
          </w:tcPr>
          <w:p w14:paraId="3DBEABD2">
            <w:pPr>
              <w:pStyle w:val="13"/>
            </w:pPr>
            <w:r>
              <w:t>资金及时拨付率</w:t>
            </w:r>
          </w:p>
        </w:tc>
        <w:tc>
          <w:tcPr>
            <w:tcW w:w="3085" w:type="dxa"/>
            <w:vAlign w:val="center"/>
          </w:tcPr>
          <w:p w14:paraId="2FAB6011">
            <w:pPr>
              <w:pStyle w:val="13"/>
            </w:pPr>
            <w:r>
              <w:t>资金及时拨付率</w:t>
            </w:r>
          </w:p>
        </w:tc>
        <w:tc>
          <w:tcPr>
            <w:tcW w:w="1305" w:type="dxa"/>
            <w:vAlign w:val="center"/>
          </w:tcPr>
          <w:p w14:paraId="2727ECA7">
            <w:pPr>
              <w:pStyle w:val="13"/>
              <w:ind w:firstLine="0" w:firstLineChars="0"/>
            </w:pPr>
            <w:r>
              <w:t>≥90百分之</w:t>
            </w:r>
          </w:p>
        </w:tc>
        <w:tc>
          <w:tcPr>
            <w:tcW w:w="2404" w:type="dxa"/>
            <w:vAlign w:val="center"/>
          </w:tcPr>
          <w:p w14:paraId="71634B00">
            <w:pPr>
              <w:pStyle w:val="13"/>
              <w:ind w:firstLine="0" w:firstLineChars="0"/>
            </w:pPr>
            <w:r>
              <w:t>县文件</w:t>
            </w:r>
          </w:p>
        </w:tc>
      </w:tr>
      <w:tr w14:paraId="07D2F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5" w:type="dxa"/>
            <w:vMerge w:val="continue"/>
            <w:vAlign w:val="center"/>
          </w:tcPr>
          <w:p w14:paraId="2D28D61F"/>
        </w:tc>
        <w:tc>
          <w:tcPr>
            <w:tcW w:w="2295" w:type="dxa"/>
            <w:vAlign w:val="center"/>
          </w:tcPr>
          <w:p w14:paraId="70E4DD0A">
            <w:pPr>
              <w:pStyle w:val="13"/>
            </w:pPr>
            <w:r>
              <w:t>成本指标</w:t>
            </w:r>
          </w:p>
        </w:tc>
        <w:tc>
          <w:tcPr>
            <w:tcW w:w="2295" w:type="dxa"/>
            <w:vAlign w:val="center"/>
          </w:tcPr>
          <w:p w14:paraId="2CAA0989">
            <w:pPr>
              <w:pStyle w:val="13"/>
            </w:pPr>
            <w:r>
              <w:t>项目支出的执行率</w:t>
            </w:r>
          </w:p>
        </w:tc>
        <w:tc>
          <w:tcPr>
            <w:tcW w:w="3085" w:type="dxa"/>
            <w:vAlign w:val="center"/>
          </w:tcPr>
          <w:p w14:paraId="2285CE53">
            <w:pPr>
              <w:pStyle w:val="13"/>
            </w:pPr>
            <w:r>
              <w:t>项目经费的支出数占预算数的百分比</w:t>
            </w:r>
          </w:p>
        </w:tc>
        <w:tc>
          <w:tcPr>
            <w:tcW w:w="1305" w:type="dxa"/>
            <w:vAlign w:val="center"/>
          </w:tcPr>
          <w:p w14:paraId="32813EEF">
            <w:pPr>
              <w:pStyle w:val="13"/>
              <w:ind w:firstLine="0" w:firstLineChars="0"/>
            </w:pPr>
            <w:r>
              <w:t>≥90百分之</w:t>
            </w:r>
          </w:p>
        </w:tc>
        <w:tc>
          <w:tcPr>
            <w:tcW w:w="2404" w:type="dxa"/>
            <w:vAlign w:val="center"/>
          </w:tcPr>
          <w:p w14:paraId="25B3943D">
            <w:pPr>
              <w:pStyle w:val="13"/>
              <w:ind w:firstLine="0" w:firstLineChars="0"/>
            </w:pPr>
            <w:r>
              <w:t>县文件</w:t>
            </w:r>
          </w:p>
        </w:tc>
      </w:tr>
      <w:tr w14:paraId="623FC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5" w:type="dxa"/>
            <w:vMerge w:val="restart"/>
            <w:vAlign w:val="center"/>
          </w:tcPr>
          <w:p w14:paraId="24A5570E">
            <w:pPr>
              <w:pStyle w:val="12"/>
            </w:pPr>
            <w:r>
              <w:t>效益指标</w:t>
            </w:r>
          </w:p>
        </w:tc>
        <w:tc>
          <w:tcPr>
            <w:tcW w:w="2295" w:type="dxa"/>
            <w:vAlign w:val="center"/>
          </w:tcPr>
          <w:p w14:paraId="2B5126ED">
            <w:pPr>
              <w:pStyle w:val="13"/>
            </w:pPr>
            <w:r>
              <w:t>经济效益指标</w:t>
            </w:r>
          </w:p>
        </w:tc>
        <w:tc>
          <w:tcPr>
            <w:tcW w:w="2295" w:type="dxa"/>
            <w:vAlign w:val="center"/>
          </w:tcPr>
          <w:p w14:paraId="483A041B">
            <w:pPr>
              <w:pStyle w:val="13"/>
            </w:pPr>
            <w:r>
              <w:t>单位整体工作</w:t>
            </w:r>
          </w:p>
        </w:tc>
        <w:tc>
          <w:tcPr>
            <w:tcW w:w="3085" w:type="dxa"/>
            <w:vAlign w:val="center"/>
          </w:tcPr>
          <w:p w14:paraId="63CF9436">
            <w:pPr>
              <w:pStyle w:val="13"/>
            </w:pPr>
            <w:r>
              <w:t>单位整体工作完成率</w:t>
            </w:r>
          </w:p>
        </w:tc>
        <w:tc>
          <w:tcPr>
            <w:tcW w:w="1305" w:type="dxa"/>
            <w:vAlign w:val="center"/>
          </w:tcPr>
          <w:p w14:paraId="2F33ECBE">
            <w:pPr>
              <w:pStyle w:val="13"/>
              <w:ind w:firstLine="0" w:firstLineChars="0"/>
            </w:pPr>
            <w:r>
              <w:t>≥95百分之</w:t>
            </w:r>
          </w:p>
        </w:tc>
        <w:tc>
          <w:tcPr>
            <w:tcW w:w="2404" w:type="dxa"/>
            <w:vAlign w:val="center"/>
          </w:tcPr>
          <w:p w14:paraId="7189E614">
            <w:pPr>
              <w:pStyle w:val="13"/>
              <w:ind w:firstLine="0" w:firstLineChars="0"/>
            </w:pPr>
            <w:r>
              <w:t>县文件</w:t>
            </w:r>
          </w:p>
        </w:tc>
      </w:tr>
      <w:tr w14:paraId="5F4D7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5" w:type="dxa"/>
            <w:vMerge w:val="continue"/>
            <w:vAlign w:val="center"/>
          </w:tcPr>
          <w:p w14:paraId="3282313B"/>
        </w:tc>
        <w:tc>
          <w:tcPr>
            <w:tcW w:w="2295" w:type="dxa"/>
            <w:vAlign w:val="center"/>
          </w:tcPr>
          <w:p w14:paraId="27E72E32">
            <w:pPr>
              <w:pStyle w:val="13"/>
            </w:pPr>
            <w:r>
              <w:t>社会效益指标</w:t>
            </w:r>
          </w:p>
        </w:tc>
        <w:tc>
          <w:tcPr>
            <w:tcW w:w="2295" w:type="dxa"/>
            <w:vAlign w:val="center"/>
          </w:tcPr>
          <w:p w14:paraId="57F683FD">
            <w:pPr>
              <w:pStyle w:val="13"/>
            </w:pPr>
            <w:r>
              <w:t>宪法知识考试及格率</w:t>
            </w:r>
          </w:p>
        </w:tc>
        <w:tc>
          <w:tcPr>
            <w:tcW w:w="3085" w:type="dxa"/>
            <w:vAlign w:val="center"/>
          </w:tcPr>
          <w:p w14:paraId="1642533A">
            <w:pPr>
              <w:pStyle w:val="13"/>
            </w:pPr>
            <w:r>
              <w:t>宪法知识考试及格率</w:t>
            </w:r>
          </w:p>
        </w:tc>
        <w:tc>
          <w:tcPr>
            <w:tcW w:w="1305" w:type="dxa"/>
            <w:vAlign w:val="center"/>
          </w:tcPr>
          <w:p w14:paraId="5F984A96">
            <w:pPr>
              <w:pStyle w:val="13"/>
              <w:ind w:firstLine="0" w:firstLineChars="0"/>
            </w:pPr>
            <w:r>
              <w:t>≥95百分之</w:t>
            </w:r>
          </w:p>
        </w:tc>
        <w:tc>
          <w:tcPr>
            <w:tcW w:w="2404" w:type="dxa"/>
            <w:vAlign w:val="center"/>
          </w:tcPr>
          <w:p w14:paraId="2E844DAF">
            <w:pPr>
              <w:pStyle w:val="13"/>
              <w:ind w:firstLine="0" w:firstLineChars="0"/>
            </w:pPr>
            <w:r>
              <w:t>《宁晋县法治宣传教育领导小组关于在全县开展法治宣传教育的第八个五年规划（2021-2025年）》的通知（宁发[2021]18号）</w:t>
            </w:r>
          </w:p>
        </w:tc>
      </w:tr>
      <w:tr w14:paraId="5CFF0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5" w:type="dxa"/>
            <w:vMerge w:val="continue"/>
            <w:vAlign w:val="center"/>
          </w:tcPr>
          <w:p w14:paraId="6CCBDC12"/>
        </w:tc>
        <w:tc>
          <w:tcPr>
            <w:tcW w:w="2295" w:type="dxa"/>
            <w:vAlign w:val="center"/>
          </w:tcPr>
          <w:p w14:paraId="496AB586">
            <w:pPr>
              <w:pStyle w:val="13"/>
            </w:pPr>
            <w:r>
              <w:t>生态效益指标</w:t>
            </w:r>
          </w:p>
        </w:tc>
        <w:tc>
          <w:tcPr>
            <w:tcW w:w="2295" w:type="dxa"/>
            <w:vAlign w:val="center"/>
          </w:tcPr>
          <w:p w14:paraId="0D642FDD">
            <w:pPr>
              <w:pStyle w:val="13"/>
            </w:pPr>
            <w:r>
              <w:t>任务计划完成率</w:t>
            </w:r>
          </w:p>
        </w:tc>
        <w:tc>
          <w:tcPr>
            <w:tcW w:w="3085" w:type="dxa"/>
            <w:vAlign w:val="center"/>
          </w:tcPr>
          <w:p w14:paraId="3C80969E">
            <w:pPr>
              <w:pStyle w:val="13"/>
            </w:pPr>
            <w:r>
              <w:t>任务计划完成率</w:t>
            </w:r>
          </w:p>
        </w:tc>
        <w:tc>
          <w:tcPr>
            <w:tcW w:w="1305" w:type="dxa"/>
            <w:vAlign w:val="center"/>
          </w:tcPr>
          <w:p w14:paraId="36CDF5F7">
            <w:pPr>
              <w:pStyle w:val="13"/>
              <w:ind w:firstLine="0" w:firstLineChars="0"/>
            </w:pPr>
            <w:r>
              <w:t>≥95百分之</w:t>
            </w:r>
          </w:p>
        </w:tc>
        <w:tc>
          <w:tcPr>
            <w:tcW w:w="2404" w:type="dxa"/>
            <w:vAlign w:val="center"/>
          </w:tcPr>
          <w:p w14:paraId="2E7E2ED4">
            <w:pPr>
              <w:pStyle w:val="13"/>
              <w:ind w:firstLine="0" w:firstLineChars="0"/>
            </w:pPr>
            <w:r>
              <w:t>县文件</w:t>
            </w:r>
          </w:p>
        </w:tc>
      </w:tr>
      <w:tr w14:paraId="7D779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5" w:type="dxa"/>
            <w:vMerge w:val="continue"/>
            <w:vAlign w:val="center"/>
          </w:tcPr>
          <w:p w14:paraId="64F3FC1D"/>
        </w:tc>
        <w:tc>
          <w:tcPr>
            <w:tcW w:w="2295" w:type="dxa"/>
            <w:vAlign w:val="center"/>
          </w:tcPr>
          <w:p w14:paraId="652FFD55">
            <w:pPr>
              <w:pStyle w:val="13"/>
            </w:pPr>
            <w:r>
              <w:t>可持续影响指标</w:t>
            </w:r>
          </w:p>
        </w:tc>
        <w:tc>
          <w:tcPr>
            <w:tcW w:w="2295" w:type="dxa"/>
            <w:vAlign w:val="center"/>
          </w:tcPr>
          <w:p w14:paraId="1BB9C9B2">
            <w:pPr>
              <w:pStyle w:val="13"/>
            </w:pPr>
            <w:r>
              <w:t>保障工作效率</w:t>
            </w:r>
          </w:p>
        </w:tc>
        <w:tc>
          <w:tcPr>
            <w:tcW w:w="3085" w:type="dxa"/>
            <w:vAlign w:val="center"/>
          </w:tcPr>
          <w:p w14:paraId="1E5D172F">
            <w:pPr>
              <w:pStyle w:val="13"/>
            </w:pPr>
            <w:r>
              <w:t>工作效率明显提高</w:t>
            </w:r>
          </w:p>
        </w:tc>
        <w:tc>
          <w:tcPr>
            <w:tcW w:w="1305" w:type="dxa"/>
            <w:vAlign w:val="center"/>
          </w:tcPr>
          <w:p w14:paraId="3100143A">
            <w:pPr>
              <w:pStyle w:val="13"/>
              <w:ind w:firstLine="0" w:firstLineChars="0"/>
            </w:pPr>
            <w:r>
              <w:t>≥95百分之</w:t>
            </w:r>
          </w:p>
        </w:tc>
        <w:tc>
          <w:tcPr>
            <w:tcW w:w="2404" w:type="dxa"/>
            <w:vAlign w:val="center"/>
          </w:tcPr>
          <w:p w14:paraId="5E0DB5C7">
            <w:pPr>
              <w:pStyle w:val="13"/>
              <w:ind w:firstLine="0" w:firstLineChars="0"/>
            </w:pPr>
            <w:r>
              <w:t>县文件</w:t>
            </w:r>
          </w:p>
        </w:tc>
      </w:tr>
      <w:tr w14:paraId="42B2F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5" w:type="dxa"/>
            <w:vAlign w:val="center"/>
          </w:tcPr>
          <w:p w14:paraId="108569E1">
            <w:pPr>
              <w:pStyle w:val="12"/>
            </w:pPr>
            <w:r>
              <w:t>满意度指标</w:t>
            </w:r>
          </w:p>
        </w:tc>
        <w:tc>
          <w:tcPr>
            <w:tcW w:w="2295" w:type="dxa"/>
            <w:vAlign w:val="center"/>
          </w:tcPr>
          <w:p w14:paraId="5A5005E8">
            <w:pPr>
              <w:pStyle w:val="13"/>
            </w:pPr>
            <w:r>
              <w:t>服务对象满意度指标</w:t>
            </w:r>
          </w:p>
        </w:tc>
        <w:tc>
          <w:tcPr>
            <w:tcW w:w="2295" w:type="dxa"/>
            <w:vAlign w:val="center"/>
          </w:tcPr>
          <w:p w14:paraId="114E97AF">
            <w:pPr>
              <w:pStyle w:val="13"/>
            </w:pPr>
            <w:r>
              <w:t>群众满意度</w:t>
            </w:r>
          </w:p>
        </w:tc>
        <w:tc>
          <w:tcPr>
            <w:tcW w:w="3085" w:type="dxa"/>
            <w:vAlign w:val="center"/>
          </w:tcPr>
          <w:p w14:paraId="35B40E0B">
            <w:pPr>
              <w:pStyle w:val="13"/>
            </w:pPr>
            <w:r>
              <w:t>群众满意度</w:t>
            </w:r>
          </w:p>
        </w:tc>
        <w:tc>
          <w:tcPr>
            <w:tcW w:w="1305" w:type="dxa"/>
            <w:vAlign w:val="center"/>
          </w:tcPr>
          <w:p w14:paraId="0D08697C">
            <w:pPr>
              <w:pStyle w:val="13"/>
              <w:ind w:firstLine="0" w:firstLineChars="0"/>
            </w:pPr>
            <w:r>
              <w:t>≥90百分之</w:t>
            </w:r>
          </w:p>
        </w:tc>
        <w:tc>
          <w:tcPr>
            <w:tcW w:w="2404" w:type="dxa"/>
            <w:vAlign w:val="center"/>
          </w:tcPr>
          <w:p w14:paraId="208DA668">
            <w:pPr>
              <w:pStyle w:val="13"/>
              <w:ind w:firstLine="0" w:firstLineChars="0"/>
            </w:pPr>
            <w:r>
              <w:t>县文件</w:t>
            </w:r>
          </w:p>
        </w:tc>
      </w:tr>
    </w:tbl>
    <w:p w14:paraId="2275460D">
      <w:pPr>
        <w:sectPr>
          <w:pgSz w:w="16840" w:h="11900" w:orient="landscape"/>
          <w:pgMar w:top="1304" w:right="1984" w:bottom="1304" w:left="1134" w:header="720" w:footer="720" w:gutter="0"/>
          <w:pgNumType w:fmt="numberInDash"/>
          <w:cols w:space="720" w:num="1"/>
        </w:sectPr>
      </w:pPr>
    </w:p>
    <w:p w14:paraId="563F2461">
      <w:pPr>
        <w:spacing w:before="0" w:after="0"/>
        <w:ind w:firstLine="560"/>
        <w:jc w:val="left"/>
        <w:outlineLvl w:val="3"/>
      </w:pPr>
      <w:bookmarkStart w:id="6" w:name="_Toc_4_4_0000000010"/>
      <w:r>
        <w:rPr>
          <w:rFonts w:ascii="方正仿宋_GBK" w:hAnsi="方正仿宋_GBK" w:eastAsia="方正仿宋_GBK" w:cs="方正仿宋_GBK"/>
          <w:color w:val="000000"/>
          <w:sz w:val="28"/>
        </w:rPr>
        <w:t>7.法治宣传经费绩效目标表</w:t>
      </w:r>
      <w:bookmarkEnd w:id="6"/>
    </w:p>
    <w:tbl>
      <w:tblPr>
        <w:tblStyle w:val="5"/>
        <w:tblW w:w="13875"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23"/>
        <w:gridCol w:w="12152"/>
      </w:tblGrid>
      <w:tr w14:paraId="1873F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9" w:hRule="atLeast"/>
          <w:jc w:val="center"/>
        </w:trPr>
        <w:tc>
          <w:tcPr>
            <w:tcW w:w="1723" w:type="dxa"/>
            <w:vAlign w:val="center"/>
          </w:tcPr>
          <w:p w14:paraId="0B714122">
            <w:pPr>
              <w:pStyle w:val="11"/>
            </w:pPr>
            <w:r>
              <w:t>绩效目标</w:t>
            </w:r>
          </w:p>
        </w:tc>
        <w:tc>
          <w:tcPr>
            <w:tcW w:w="12152" w:type="dxa"/>
            <w:vAlign w:val="center"/>
          </w:tcPr>
          <w:p w14:paraId="5CE86ECF">
            <w:r>
              <w:rPr>
                <w:rFonts w:ascii="方正书宋_GBK" w:hAnsi="方正书宋_GBK" w:eastAsia="方正书宋_GBK" w:cs="方正书宋_GBK"/>
                <w:sz w:val="21"/>
                <w:szCs w:val="24"/>
                <w:lang w:val="en-US" w:eastAsia="uk-UA" w:bidi="ar-SA"/>
              </w:rPr>
              <w:t>1.落实法治宣传教育规划，组织实施普法宣传。</w:t>
            </w:r>
          </w:p>
        </w:tc>
      </w:tr>
    </w:tbl>
    <w:p w14:paraId="7A3024D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1385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16"/>
        <w:gridCol w:w="1540"/>
        <w:gridCol w:w="2115"/>
        <w:gridCol w:w="2450"/>
        <w:gridCol w:w="1305"/>
        <w:gridCol w:w="4725"/>
      </w:tblGrid>
      <w:tr w14:paraId="0E127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2" w:hRule="atLeast"/>
          <w:tblHeader/>
          <w:jc w:val="center"/>
        </w:trPr>
        <w:tc>
          <w:tcPr>
            <w:tcW w:w="1716" w:type="dxa"/>
            <w:vAlign w:val="center"/>
          </w:tcPr>
          <w:p w14:paraId="5F8FDACA">
            <w:pPr>
              <w:pStyle w:val="11"/>
            </w:pPr>
            <w:r>
              <w:t>一级指标</w:t>
            </w:r>
          </w:p>
        </w:tc>
        <w:tc>
          <w:tcPr>
            <w:tcW w:w="1540" w:type="dxa"/>
            <w:vAlign w:val="center"/>
          </w:tcPr>
          <w:p w14:paraId="5314AAEA">
            <w:pPr>
              <w:pStyle w:val="11"/>
            </w:pPr>
            <w:r>
              <w:t>二级指标</w:t>
            </w:r>
          </w:p>
        </w:tc>
        <w:tc>
          <w:tcPr>
            <w:tcW w:w="2115" w:type="dxa"/>
            <w:vAlign w:val="center"/>
          </w:tcPr>
          <w:p w14:paraId="1F56DC19">
            <w:pPr>
              <w:pStyle w:val="11"/>
            </w:pPr>
            <w:r>
              <w:t>三级指标</w:t>
            </w:r>
          </w:p>
        </w:tc>
        <w:tc>
          <w:tcPr>
            <w:tcW w:w="2450" w:type="dxa"/>
            <w:vAlign w:val="center"/>
          </w:tcPr>
          <w:p w14:paraId="47F1E470">
            <w:pPr>
              <w:pStyle w:val="11"/>
            </w:pPr>
            <w:r>
              <w:t>绩效指标描述</w:t>
            </w:r>
          </w:p>
        </w:tc>
        <w:tc>
          <w:tcPr>
            <w:tcW w:w="1305" w:type="dxa"/>
            <w:vAlign w:val="center"/>
          </w:tcPr>
          <w:p w14:paraId="03FF4C39">
            <w:pPr>
              <w:pStyle w:val="11"/>
              <w:ind w:firstLine="0" w:firstLineChars="0"/>
            </w:pPr>
            <w:r>
              <w:t>指标值</w:t>
            </w:r>
          </w:p>
        </w:tc>
        <w:tc>
          <w:tcPr>
            <w:tcW w:w="4725" w:type="dxa"/>
            <w:vAlign w:val="center"/>
          </w:tcPr>
          <w:p w14:paraId="6666C6F5">
            <w:pPr>
              <w:pStyle w:val="11"/>
              <w:ind w:firstLine="0" w:firstLineChars="0"/>
            </w:pPr>
            <w:r>
              <w:t>指标值确定依据</w:t>
            </w:r>
          </w:p>
        </w:tc>
      </w:tr>
      <w:tr w14:paraId="36472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1" w:hRule="atLeast"/>
          <w:jc w:val="center"/>
        </w:trPr>
        <w:tc>
          <w:tcPr>
            <w:tcW w:w="1716" w:type="dxa"/>
            <w:vMerge w:val="restart"/>
            <w:vAlign w:val="center"/>
          </w:tcPr>
          <w:p w14:paraId="3D9A734A">
            <w:pPr>
              <w:pStyle w:val="12"/>
            </w:pPr>
            <w:r>
              <w:t>产出指标</w:t>
            </w:r>
          </w:p>
        </w:tc>
        <w:tc>
          <w:tcPr>
            <w:tcW w:w="1540" w:type="dxa"/>
            <w:vAlign w:val="center"/>
          </w:tcPr>
          <w:p w14:paraId="00FFA4FC">
            <w:pPr>
              <w:pStyle w:val="13"/>
            </w:pPr>
            <w:r>
              <w:t>数量指标</w:t>
            </w:r>
          </w:p>
        </w:tc>
        <w:tc>
          <w:tcPr>
            <w:tcW w:w="2115" w:type="dxa"/>
            <w:vAlign w:val="center"/>
          </w:tcPr>
          <w:p w14:paraId="1435442E">
            <w:pPr>
              <w:pStyle w:val="13"/>
            </w:pPr>
            <w:r>
              <w:t>发放普法宣传品份数</w:t>
            </w:r>
          </w:p>
        </w:tc>
        <w:tc>
          <w:tcPr>
            <w:tcW w:w="2450" w:type="dxa"/>
            <w:vAlign w:val="center"/>
          </w:tcPr>
          <w:p w14:paraId="66571C4B">
            <w:pPr>
              <w:pStyle w:val="13"/>
            </w:pPr>
            <w:r>
              <w:t>发放普法宣传品份数</w:t>
            </w:r>
          </w:p>
        </w:tc>
        <w:tc>
          <w:tcPr>
            <w:tcW w:w="1305" w:type="dxa"/>
            <w:vAlign w:val="center"/>
          </w:tcPr>
          <w:p w14:paraId="7DEA0C30">
            <w:pPr>
              <w:pStyle w:val="13"/>
              <w:ind w:firstLine="0" w:firstLineChars="0"/>
            </w:pPr>
            <w:r>
              <w:t>≥3000册</w:t>
            </w:r>
          </w:p>
        </w:tc>
        <w:tc>
          <w:tcPr>
            <w:tcW w:w="4725" w:type="dxa"/>
            <w:vAlign w:val="center"/>
          </w:tcPr>
          <w:p w14:paraId="6A40A0FF">
            <w:pPr>
              <w:pStyle w:val="13"/>
              <w:ind w:firstLine="0" w:firstLineChars="0"/>
            </w:pPr>
            <w:r>
              <w:t>《宁晋县法治宣传教育领导小组关于在全县开展法治宣传教育的第八个五年规划（2021-2025年）》的通知（宁发[2021]18号）</w:t>
            </w:r>
          </w:p>
        </w:tc>
      </w:tr>
      <w:tr w14:paraId="1E7F3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6" w:hRule="atLeast"/>
          <w:jc w:val="center"/>
        </w:trPr>
        <w:tc>
          <w:tcPr>
            <w:tcW w:w="1716" w:type="dxa"/>
            <w:vMerge w:val="continue"/>
            <w:vAlign w:val="center"/>
          </w:tcPr>
          <w:p w14:paraId="7C8653E7"/>
        </w:tc>
        <w:tc>
          <w:tcPr>
            <w:tcW w:w="1540" w:type="dxa"/>
            <w:vAlign w:val="center"/>
          </w:tcPr>
          <w:p w14:paraId="442ABD26">
            <w:pPr>
              <w:pStyle w:val="13"/>
            </w:pPr>
            <w:r>
              <w:t>质量指标</w:t>
            </w:r>
          </w:p>
        </w:tc>
        <w:tc>
          <w:tcPr>
            <w:tcW w:w="2115" w:type="dxa"/>
            <w:vAlign w:val="center"/>
          </w:tcPr>
          <w:p w14:paraId="232E7F5B">
            <w:pPr>
              <w:pStyle w:val="13"/>
            </w:pPr>
            <w:r>
              <w:t>活动圆满完成率</w:t>
            </w:r>
          </w:p>
        </w:tc>
        <w:tc>
          <w:tcPr>
            <w:tcW w:w="2450" w:type="dxa"/>
            <w:vAlign w:val="center"/>
          </w:tcPr>
          <w:p w14:paraId="67706EAB">
            <w:pPr>
              <w:pStyle w:val="13"/>
            </w:pPr>
            <w:r>
              <w:t>活动圆满完成率</w:t>
            </w:r>
          </w:p>
        </w:tc>
        <w:tc>
          <w:tcPr>
            <w:tcW w:w="1305" w:type="dxa"/>
            <w:vAlign w:val="center"/>
          </w:tcPr>
          <w:p w14:paraId="10ADF2EF">
            <w:pPr>
              <w:pStyle w:val="13"/>
              <w:ind w:firstLine="0" w:firstLineChars="0"/>
            </w:pPr>
            <w:r>
              <w:t>≥90百分之</w:t>
            </w:r>
          </w:p>
        </w:tc>
        <w:tc>
          <w:tcPr>
            <w:tcW w:w="4725" w:type="dxa"/>
            <w:vAlign w:val="center"/>
          </w:tcPr>
          <w:p w14:paraId="37615CE2">
            <w:pPr>
              <w:pStyle w:val="13"/>
              <w:ind w:firstLine="0" w:firstLineChars="0"/>
            </w:pPr>
            <w:r>
              <w:t>《宁晋县法治宣传教育领导小组关于在全县开展法治宣传教育的第八个五年规划（2021-2025年）》的通知（宁发[2021]18号）</w:t>
            </w:r>
          </w:p>
        </w:tc>
      </w:tr>
      <w:tr w14:paraId="1B731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6" w:hRule="atLeast"/>
          <w:jc w:val="center"/>
        </w:trPr>
        <w:tc>
          <w:tcPr>
            <w:tcW w:w="1716" w:type="dxa"/>
            <w:vMerge w:val="continue"/>
            <w:vAlign w:val="center"/>
          </w:tcPr>
          <w:p w14:paraId="571DA4EF"/>
        </w:tc>
        <w:tc>
          <w:tcPr>
            <w:tcW w:w="1540" w:type="dxa"/>
            <w:vAlign w:val="center"/>
          </w:tcPr>
          <w:p w14:paraId="15A98CE6">
            <w:pPr>
              <w:pStyle w:val="13"/>
            </w:pPr>
            <w:r>
              <w:t>时效指标</w:t>
            </w:r>
          </w:p>
        </w:tc>
        <w:tc>
          <w:tcPr>
            <w:tcW w:w="2115" w:type="dxa"/>
            <w:vAlign w:val="center"/>
          </w:tcPr>
          <w:p w14:paraId="70ACB8CD">
            <w:pPr>
              <w:pStyle w:val="13"/>
            </w:pPr>
            <w:r>
              <w:t>普法活动按期完成率</w:t>
            </w:r>
          </w:p>
        </w:tc>
        <w:tc>
          <w:tcPr>
            <w:tcW w:w="2450" w:type="dxa"/>
            <w:vAlign w:val="center"/>
          </w:tcPr>
          <w:p w14:paraId="2739054D">
            <w:pPr>
              <w:pStyle w:val="13"/>
            </w:pPr>
            <w:r>
              <w:t>普法活动按期完成率</w:t>
            </w:r>
          </w:p>
        </w:tc>
        <w:tc>
          <w:tcPr>
            <w:tcW w:w="1305" w:type="dxa"/>
            <w:vAlign w:val="center"/>
          </w:tcPr>
          <w:p w14:paraId="11967455">
            <w:pPr>
              <w:pStyle w:val="13"/>
              <w:ind w:firstLine="0" w:firstLineChars="0"/>
            </w:pPr>
            <w:r>
              <w:t>≥95百分之</w:t>
            </w:r>
          </w:p>
        </w:tc>
        <w:tc>
          <w:tcPr>
            <w:tcW w:w="4725" w:type="dxa"/>
            <w:vAlign w:val="center"/>
          </w:tcPr>
          <w:p w14:paraId="27C55DD7">
            <w:pPr>
              <w:pStyle w:val="13"/>
              <w:ind w:firstLine="0" w:firstLineChars="0"/>
            </w:pPr>
            <w:r>
              <w:t>《宁晋县法治宣传教育领导小组关于在全县开展法治宣传教育的第八个五年规划（2021-2025年）》的通知（宁发[2021]18号）</w:t>
            </w:r>
          </w:p>
        </w:tc>
      </w:tr>
      <w:tr w14:paraId="11A19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6" w:hRule="atLeast"/>
          <w:jc w:val="center"/>
        </w:trPr>
        <w:tc>
          <w:tcPr>
            <w:tcW w:w="1716" w:type="dxa"/>
            <w:vMerge w:val="continue"/>
            <w:vAlign w:val="center"/>
          </w:tcPr>
          <w:p w14:paraId="4E06390F"/>
        </w:tc>
        <w:tc>
          <w:tcPr>
            <w:tcW w:w="1540" w:type="dxa"/>
            <w:vAlign w:val="center"/>
          </w:tcPr>
          <w:p w14:paraId="2D69E634">
            <w:pPr>
              <w:pStyle w:val="13"/>
            </w:pPr>
            <w:r>
              <w:t>成本指标</w:t>
            </w:r>
          </w:p>
        </w:tc>
        <w:tc>
          <w:tcPr>
            <w:tcW w:w="2115" w:type="dxa"/>
            <w:vAlign w:val="center"/>
          </w:tcPr>
          <w:p w14:paraId="42A8FCAA">
            <w:pPr>
              <w:pStyle w:val="13"/>
            </w:pPr>
            <w:r>
              <w:t>按预算资金完成率</w:t>
            </w:r>
          </w:p>
        </w:tc>
        <w:tc>
          <w:tcPr>
            <w:tcW w:w="2450" w:type="dxa"/>
            <w:vAlign w:val="center"/>
          </w:tcPr>
          <w:p w14:paraId="2BBE4335">
            <w:pPr>
              <w:pStyle w:val="13"/>
            </w:pPr>
            <w:r>
              <w:t>按预算资金完成率</w:t>
            </w:r>
          </w:p>
        </w:tc>
        <w:tc>
          <w:tcPr>
            <w:tcW w:w="1305" w:type="dxa"/>
            <w:vAlign w:val="center"/>
          </w:tcPr>
          <w:p w14:paraId="76CB1527">
            <w:pPr>
              <w:pStyle w:val="13"/>
              <w:ind w:firstLine="0" w:firstLineChars="0"/>
            </w:pPr>
            <w:r>
              <w:t>≥90百分之</w:t>
            </w:r>
          </w:p>
        </w:tc>
        <w:tc>
          <w:tcPr>
            <w:tcW w:w="4725" w:type="dxa"/>
            <w:vAlign w:val="center"/>
          </w:tcPr>
          <w:p w14:paraId="33B350FD">
            <w:pPr>
              <w:pStyle w:val="13"/>
              <w:ind w:firstLine="0" w:firstLineChars="0"/>
            </w:pPr>
            <w:r>
              <w:t>《宁晋县法治宣传教育领导小组关于在全县开展法治宣传教育的第八个五年规划（2021-2025年）》的通知（宁发[2021]18号）</w:t>
            </w:r>
          </w:p>
        </w:tc>
      </w:tr>
      <w:tr w14:paraId="44953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6" w:hRule="atLeast"/>
          <w:jc w:val="center"/>
        </w:trPr>
        <w:tc>
          <w:tcPr>
            <w:tcW w:w="1716" w:type="dxa"/>
            <w:vMerge w:val="restart"/>
            <w:vAlign w:val="center"/>
          </w:tcPr>
          <w:p w14:paraId="1313E170">
            <w:pPr>
              <w:jc w:val="center"/>
            </w:pPr>
            <w:r>
              <w:rPr>
                <w:rFonts w:ascii="方正书宋_GBK" w:hAnsi="方正书宋_GBK" w:eastAsia="方正书宋_GBK" w:cs="方正书宋_GBK"/>
                <w:kern w:val="2"/>
                <w:sz w:val="21"/>
                <w:szCs w:val="22"/>
                <w:lang w:val="en-US" w:eastAsia="zh-CN" w:bidi="ar-SA"/>
              </w:rPr>
              <w:t>效益指标</w:t>
            </w:r>
          </w:p>
        </w:tc>
        <w:tc>
          <w:tcPr>
            <w:tcW w:w="1540" w:type="dxa"/>
            <w:vAlign w:val="center"/>
          </w:tcPr>
          <w:p w14:paraId="0548C908">
            <w:pPr>
              <w:pStyle w:val="13"/>
            </w:pPr>
          </w:p>
          <w:p w14:paraId="5ABB2023">
            <w:pPr>
              <w:pStyle w:val="13"/>
              <w:ind w:firstLine="0" w:firstLineChars="0"/>
              <w:rPr>
                <w:rFonts w:ascii="方正书宋_GBK" w:hAnsi="方正书宋_GBK" w:eastAsia="方正书宋_GBK" w:cs="方正书宋_GBK"/>
                <w:kern w:val="2"/>
                <w:sz w:val="21"/>
                <w:szCs w:val="22"/>
                <w:lang w:val="en-US" w:eastAsia="zh-CN" w:bidi="ar-SA"/>
              </w:rPr>
            </w:pPr>
            <w:r>
              <w:t>经济效益指标</w:t>
            </w:r>
          </w:p>
        </w:tc>
        <w:tc>
          <w:tcPr>
            <w:tcW w:w="2115" w:type="dxa"/>
            <w:vAlign w:val="center"/>
          </w:tcPr>
          <w:p w14:paraId="30BB6379">
            <w:pPr>
              <w:pStyle w:val="13"/>
            </w:pPr>
          </w:p>
          <w:p w14:paraId="7A488394">
            <w:pPr>
              <w:pStyle w:val="13"/>
              <w:ind w:firstLine="0" w:firstLineChars="0"/>
              <w:rPr>
                <w:rFonts w:ascii="方正书宋_GBK" w:hAnsi="方正书宋_GBK" w:eastAsia="方正书宋_GBK" w:cs="方正书宋_GBK"/>
                <w:kern w:val="2"/>
                <w:sz w:val="21"/>
                <w:szCs w:val="22"/>
                <w:lang w:val="en-US" w:eastAsia="zh-CN" w:bidi="ar-SA"/>
              </w:rPr>
            </w:pPr>
            <w:r>
              <w:t>资金的使用效率</w:t>
            </w:r>
          </w:p>
        </w:tc>
        <w:tc>
          <w:tcPr>
            <w:tcW w:w="2450" w:type="dxa"/>
            <w:vAlign w:val="center"/>
          </w:tcPr>
          <w:p w14:paraId="57D6DE0C">
            <w:pPr>
              <w:pStyle w:val="13"/>
            </w:pPr>
          </w:p>
          <w:p w14:paraId="5431F772">
            <w:pPr>
              <w:pStyle w:val="13"/>
              <w:ind w:firstLine="0" w:firstLineChars="0"/>
              <w:rPr>
                <w:rFonts w:ascii="方正书宋_GBK" w:hAnsi="方正书宋_GBK" w:eastAsia="方正书宋_GBK" w:cs="方正书宋_GBK"/>
                <w:kern w:val="2"/>
                <w:sz w:val="21"/>
                <w:szCs w:val="22"/>
                <w:lang w:val="en-US" w:eastAsia="zh-CN" w:bidi="ar-SA"/>
              </w:rPr>
            </w:pPr>
            <w:r>
              <w:t>资金的使用效率</w:t>
            </w:r>
          </w:p>
        </w:tc>
        <w:tc>
          <w:tcPr>
            <w:tcW w:w="1305" w:type="dxa"/>
            <w:vAlign w:val="center"/>
          </w:tcPr>
          <w:p w14:paraId="1BB5974A">
            <w:pPr>
              <w:pStyle w:val="13"/>
              <w:ind w:firstLine="0" w:firstLineChars="0"/>
            </w:pPr>
          </w:p>
          <w:p w14:paraId="5ADD117C">
            <w:pPr>
              <w:pStyle w:val="13"/>
              <w:ind w:firstLine="0" w:firstLineChars="0"/>
              <w:rPr>
                <w:rFonts w:ascii="方正书宋_GBK" w:hAnsi="方正书宋_GBK" w:eastAsia="方正书宋_GBK" w:cs="方正书宋_GBK"/>
                <w:kern w:val="2"/>
                <w:sz w:val="21"/>
                <w:szCs w:val="22"/>
                <w:lang w:val="en-US" w:eastAsia="zh-CN" w:bidi="ar-SA"/>
              </w:rPr>
            </w:pPr>
            <w:r>
              <w:t>≥90百分之</w:t>
            </w:r>
          </w:p>
        </w:tc>
        <w:tc>
          <w:tcPr>
            <w:tcW w:w="4725" w:type="dxa"/>
            <w:vAlign w:val="center"/>
          </w:tcPr>
          <w:p w14:paraId="3C9CA141">
            <w:pPr>
              <w:pStyle w:val="13"/>
              <w:ind w:firstLine="0" w:firstLineChars="0"/>
              <w:rPr>
                <w:rFonts w:ascii="方正书宋_GBK" w:hAnsi="方正书宋_GBK" w:eastAsia="方正书宋_GBK" w:cs="方正书宋_GBK"/>
                <w:kern w:val="2"/>
                <w:sz w:val="21"/>
                <w:szCs w:val="22"/>
                <w:lang w:val="en-US" w:eastAsia="zh-CN" w:bidi="ar-SA"/>
              </w:rPr>
            </w:pPr>
            <w:r>
              <w:t>《宁晋县法治宣传教育领导小组关于在全县开展法治宣传教育的第八个五年规划（2021-2025年）》的通知（宁发[2021]18号）</w:t>
            </w:r>
          </w:p>
        </w:tc>
      </w:tr>
      <w:tr w14:paraId="28372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6" w:hRule="atLeast"/>
          <w:jc w:val="center"/>
        </w:trPr>
        <w:tc>
          <w:tcPr>
            <w:tcW w:w="1716" w:type="dxa"/>
            <w:vMerge w:val="continue"/>
            <w:vAlign w:val="center"/>
          </w:tcPr>
          <w:p w14:paraId="7B64BAA0"/>
        </w:tc>
        <w:tc>
          <w:tcPr>
            <w:tcW w:w="1540" w:type="dxa"/>
            <w:vAlign w:val="center"/>
          </w:tcPr>
          <w:p w14:paraId="0D5638BE">
            <w:pPr>
              <w:pStyle w:val="13"/>
              <w:ind w:firstLine="0" w:firstLineChars="0"/>
              <w:rPr>
                <w:rFonts w:ascii="方正书宋_GBK" w:hAnsi="方正书宋_GBK" w:eastAsia="方正书宋_GBK" w:cs="方正书宋_GBK"/>
                <w:kern w:val="2"/>
                <w:sz w:val="21"/>
                <w:szCs w:val="22"/>
                <w:lang w:val="en-US" w:eastAsia="zh-CN" w:bidi="ar-SA"/>
              </w:rPr>
            </w:pPr>
            <w:r>
              <w:t>社会效益指标</w:t>
            </w:r>
          </w:p>
        </w:tc>
        <w:tc>
          <w:tcPr>
            <w:tcW w:w="2115" w:type="dxa"/>
            <w:vAlign w:val="center"/>
          </w:tcPr>
          <w:p w14:paraId="7E2183A7">
            <w:pPr>
              <w:pStyle w:val="13"/>
              <w:ind w:firstLine="0" w:firstLineChars="0"/>
              <w:rPr>
                <w:rFonts w:ascii="方正书宋_GBK" w:hAnsi="方正书宋_GBK" w:eastAsia="方正书宋_GBK" w:cs="方正书宋_GBK"/>
                <w:kern w:val="2"/>
                <w:sz w:val="21"/>
                <w:szCs w:val="22"/>
                <w:lang w:val="en-US" w:eastAsia="zh-CN" w:bidi="ar-SA"/>
              </w:rPr>
            </w:pPr>
            <w:r>
              <w:t>普法宣传培训考试合格率</w:t>
            </w:r>
          </w:p>
        </w:tc>
        <w:tc>
          <w:tcPr>
            <w:tcW w:w="2450" w:type="dxa"/>
            <w:vAlign w:val="center"/>
          </w:tcPr>
          <w:p w14:paraId="1DFC3816">
            <w:pPr>
              <w:pStyle w:val="13"/>
              <w:ind w:firstLine="0" w:firstLineChars="0"/>
              <w:rPr>
                <w:rFonts w:ascii="方正书宋_GBK" w:hAnsi="方正书宋_GBK" w:eastAsia="方正书宋_GBK" w:cs="方正书宋_GBK"/>
                <w:kern w:val="2"/>
                <w:sz w:val="21"/>
                <w:szCs w:val="22"/>
                <w:lang w:val="en-US" w:eastAsia="zh-CN" w:bidi="ar-SA"/>
              </w:rPr>
            </w:pPr>
            <w:r>
              <w:t>参加普法宣传培训人员通过考试的人数所占全部培训人员的比率</w:t>
            </w:r>
          </w:p>
        </w:tc>
        <w:tc>
          <w:tcPr>
            <w:tcW w:w="1305" w:type="dxa"/>
            <w:vAlign w:val="center"/>
          </w:tcPr>
          <w:p w14:paraId="5C2AE1B9">
            <w:pPr>
              <w:pStyle w:val="13"/>
              <w:ind w:firstLine="0" w:firstLineChars="0"/>
              <w:rPr>
                <w:rFonts w:ascii="方正书宋_GBK" w:hAnsi="方正书宋_GBK" w:eastAsia="方正书宋_GBK" w:cs="方正书宋_GBK"/>
                <w:kern w:val="2"/>
                <w:sz w:val="21"/>
                <w:szCs w:val="22"/>
                <w:lang w:val="en-US" w:eastAsia="zh-CN" w:bidi="ar-SA"/>
              </w:rPr>
            </w:pPr>
            <w:r>
              <w:t>≥90百分之</w:t>
            </w:r>
          </w:p>
        </w:tc>
        <w:tc>
          <w:tcPr>
            <w:tcW w:w="4725" w:type="dxa"/>
            <w:vAlign w:val="center"/>
          </w:tcPr>
          <w:p w14:paraId="0D6868C5">
            <w:pPr>
              <w:pStyle w:val="13"/>
              <w:ind w:firstLine="0" w:firstLineChars="0"/>
              <w:rPr>
                <w:rFonts w:ascii="方正书宋_GBK" w:hAnsi="方正书宋_GBK" w:eastAsia="方正书宋_GBK" w:cs="方正书宋_GBK"/>
                <w:kern w:val="2"/>
                <w:sz w:val="21"/>
                <w:szCs w:val="22"/>
                <w:lang w:val="en-US" w:eastAsia="zh-CN" w:bidi="ar-SA"/>
              </w:rPr>
            </w:pPr>
            <w:r>
              <w:t>《宁晋县法治宣传教育领导小组关于在全县开展法治宣传教育的第八个五年规划（2021-2025年）》的通知（宁发[2021]18号）</w:t>
            </w:r>
          </w:p>
        </w:tc>
      </w:tr>
      <w:tr w14:paraId="48F18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6" w:hRule="atLeast"/>
          <w:jc w:val="center"/>
        </w:trPr>
        <w:tc>
          <w:tcPr>
            <w:tcW w:w="1716" w:type="dxa"/>
            <w:vMerge w:val="continue"/>
            <w:vAlign w:val="center"/>
          </w:tcPr>
          <w:p w14:paraId="331B5683"/>
        </w:tc>
        <w:tc>
          <w:tcPr>
            <w:tcW w:w="1540" w:type="dxa"/>
            <w:vAlign w:val="center"/>
          </w:tcPr>
          <w:p w14:paraId="7D9B4E7A">
            <w:pPr>
              <w:pStyle w:val="13"/>
              <w:ind w:firstLine="0" w:firstLineChars="0"/>
              <w:rPr>
                <w:rFonts w:ascii="方正书宋_GBK" w:hAnsi="方正书宋_GBK" w:eastAsia="方正书宋_GBK" w:cs="方正书宋_GBK"/>
                <w:kern w:val="2"/>
                <w:sz w:val="21"/>
                <w:szCs w:val="22"/>
                <w:lang w:val="en-US" w:eastAsia="zh-CN" w:bidi="ar-SA"/>
              </w:rPr>
            </w:pPr>
            <w:r>
              <w:t>生态效益指标</w:t>
            </w:r>
          </w:p>
        </w:tc>
        <w:tc>
          <w:tcPr>
            <w:tcW w:w="2115" w:type="dxa"/>
            <w:vAlign w:val="center"/>
          </w:tcPr>
          <w:p w14:paraId="40D69C34">
            <w:pPr>
              <w:pStyle w:val="13"/>
              <w:ind w:firstLine="0" w:firstLineChars="0"/>
              <w:rPr>
                <w:rFonts w:ascii="方正书宋_GBK" w:hAnsi="方正书宋_GBK" w:eastAsia="方正书宋_GBK" w:cs="方正书宋_GBK"/>
                <w:kern w:val="2"/>
                <w:sz w:val="21"/>
                <w:szCs w:val="22"/>
                <w:lang w:val="en-US" w:eastAsia="zh-CN" w:bidi="ar-SA"/>
              </w:rPr>
            </w:pPr>
            <w:r>
              <w:t>生态效益指标</w:t>
            </w:r>
          </w:p>
        </w:tc>
        <w:tc>
          <w:tcPr>
            <w:tcW w:w="2450" w:type="dxa"/>
            <w:vAlign w:val="center"/>
          </w:tcPr>
          <w:p w14:paraId="43678392">
            <w:pPr>
              <w:pStyle w:val="13"/>
              <w:ind w:firstLine="0" w:firstLineChars="0"/>
              <w:rPr>
                <w:rFonts w:ascii="方正书宋_GBK" w:hAnsi="方正书宋_GBK" w:eastAsia="方正书宋_GBK" w:cs="方正书宋_GBK"/>
                <w:kern w:val="2"/>
                <w:sz w:val="21"/>
                <w:szCs w:val="22"/>
                <w:lang w:val="en-US" w:eastAsia="zh-CN" w:bidi="ar-SA"/>
              </w:rPr>
            </w:pPr>
            <w:r>
              <w:t>生态效益指标</w:t>
            </w:r>
          </w:p>
        </w:tc>
        <w:tc>
          <w:tcPr>
            <w:tcW w:w="1305" w:type="dxa"/>
            <w:vAlign w:val="center"/>
          </w:tcPr>
          <w:p w14:paraId="5EBB0DA5">
            <w:pPr>
              <w:pStyle w:val="13"/>
              <w:ind w:firstLine="0" w:firstLineChars="0"/>
              <w:rPr>
                <w:rFonts w:ascii="方正书宋_GBK" w:hAnsi="方正书宋_GBK" w:eastAsia="方正书宋_GBK" w:cs="方正书宋_GBK"/>
                <w:kern w:val="2"/>
                <w:sz w:val="21"/>
                <w:szCs w:val="22"/>
                <w:lang w:val="en-US" w:eastAsia="zh-CN" w:bidi="ar-SA"/>
              </w:rPr>
            </w:pPr>
            <w:r>
              <w:t>生态效益指标</w:t>
            </w:r>
          </w:p>
        </w:tc>
        <w:tc>
          <w:tcPr>
            <w:tcW w:w="4725" w:type="dxa"/>
            <w:vAlign w:val="center"/>
          </w:tcPr>
          <w:p w14:paraId="488CE78F">
            <w:pPr>
              <w:pStyle w:val="13"/>
              <w:ind w:firstLine="0" w:firstLineChars="0"/>
              <w:rPr>
                <w:rFonts w:ascii="方正书宋_GBK" w:hAnsi="方正书宋_GBK" w:eastAsia="方正书宋_GBK" w:cs="方正书宋_GBK"/>
                <w:kern w:val="2"/>
                <w:sz w:val="21"/>
                <w:szCs w:val="22"/>
                <w:lang w:val="en-US" w:eastAsia="zh-CN" w:bidi="ar-SA"/>
              </w:rPr>
            </w:pPr>
            <w:r>
              <w:t>《宁晋县法治宣传教育领导小组关于在全县开展法治宣传教育的第八个五年规划（2021-2025年）》的通知（宁发[2021]18号）</w:t>
            </w:r>
          </w:p>
        </w:tc>
      </w:tr>
    </w:tbl>
    <w:p w14:paraId="0B379C70">
      <w:pPr>
        <w:pStyle w:val="12"/>
        <w:sectPr>
          <w:footerReference r:id="rId5" w:type="default"/>
          <w:footerReference r:id="rId6" w:type="even"/>
          <w:pgSz w:w="16840" w:h="11900" w:orient="landscape"/>
          <w:pgMar w:top="1304" w:right="1984" w:bottom="1304" w:left="1134" w:header="720" w:footer="720" w:gutter="0"/>
          <w:pgNumType w:fmt="numberInDash"/>
          <w:cols w:space="720" w:num="1"/>
        </w:sectPr>
      </w:pPr>
    </w:p>
    <w:tbl>
      <w:tblPr>
        <w:tblStyle w:val="5"/>
        <w:tblW w:w="1380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73"/>
        <w:gridCol w:w="1425"/>
        <w:gridCol w:w="2505"/>
        <w:gridCol w:w="2190"/>
        <w:gridCol w:w="1290"/>
        <w:gridCol w:w="4723"/>
      </w:tblGrid>
      <w:tr w14:paraId="378D3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3" w:type="dxa"/>
            <w:vAlign w:val="center"/>
          </w:tcPr>
          <w:p w14:paraId="39F25D13"/>
        </w:tc>
        <w:tc>
          <w:tcPr>
            <w:tcW w:w="1425" w:type="dxa"/>
            <w:vAlign w:val="center"/>
          </w:tcPr>
          <w:p w14:paraId="55856EC0">
            <w:pPr>
              <w:pStyle w:val="13"/>
            </w:pPr>
            <w:r>
              <w:t>可持续影响指标</w:t>
            </w:r>
          </w:p>
        </w:tc>
        <w:tc>
          <w:tcPr>
            <w:tcW w:w="2505" w:type="dxa"/>
            <w:vAlign w:val="center"/>
          </w:tcPr>
          <w:p w14:paraId="3341C7F5">
            <w:pPr>
              <w:pStyle w:val="13"/>
            </w:pPr>
            <w:r>
              <w:t>实际组织主题宣传活动场次</w:t>
            </w:r>
          </w:p>
        </w:tc>
        <w:tc>
          <w:tcPr>
            <w:tcW w:w="2190" w:type="dxa"/>
            <w:vAlign w:val="center"/>
          </w:tcPr>
          <w:p w14:paraId="0F94BF2B">
            <w:pPr>
              <w:pStyle w:val="13"/>
            </w:pPr>
            <w:r>
              <w:t>实际组织主题宣传活动场次</w:t>
            </w:r>
          </w:p>
        </w:tc>
        <w:tc>
          <w:tcPr>
            <w:tcW w:w="1290" w:type="dxa"/>
            <w:vAlign w:val="center"/>
          </w:tcPr>
          <w:p w14:paraId="011472F7">
            <w:pPr>
              <w:pStyle w:val="13"/>
              <w:ind w:firstLine="0" w:firstLineChars="0"/>
            </w:pPr>
            <w:r>
              <w:t>≥3次</w:t>
            </w:r>
          </w:p>
        </w:tc>
        <w:tc>
          <w:tcPr>
            <w:tcW w:w="4723" w:type="dxa"/>
            <w:vAlign w:val="center"/>
          </w:tcPr>
          <w:p w14:paraId="02E59E29">
            <w:pPr>
              <w:pStyle w:val="13"/>
              <w:ind w:firstLine="0" w:firstLineChars="0"/>
            </w:pPr>
            <w:r>
              <w:t>《宁晋县法治宣传教育领导小组关于在全县开展法治宣传教育的第八个五年规划（2021-2025年）》的通知（宁发[2021]18号）</w:t>
            </w:r>
          </w:p>
        </w:tc>
      </w:tr>
      <w:tr w14:paraId="685BA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3" w:type="dxa"/>
            <w:vAlign w:val="center"/>
          </w:tcPr>
          <w:p w14:paraId="201F5DA0">
            <w:pPr>
              <w:pStyle w:val="12"/>
            </w:pPr>
            <w:r>
              <w:t>满意度指标</w:t>
            </w:r>
          </w:p>
        </w:tc>
        <w:tc>
          <w:tcPr>
            <w:tcW w:w="1425" w:type="dxa"/>
            <w:vAlign w:val="center"/>
          </w:tcPr>
          <w:p w14:paraId="6DB0EC76">
            <w:pPr>
              <w:pStyle w:val="13"/>
            </w:pPr>
            <w:r>
              <w:t>服务对象满意度指标</w:t>
            </w:r>
          </w:p>
        </w:tc>
        <w:tc>
          <w:tcPr>
            <w:tcW w:w="2505" w:type="dxa"/>
            <w:vAlign w:val="center"/>
          </w:tcPr>
          <w:p w14:paraId="714D8EFD">
            <w:pPr>
              <w:pStyle w:val="13"/>
            </w:pPr>
            <w:r>
              <w:t>群众满意度</w:t>
            </w:r>
          </w:p>
        </w:tc>
        <w:tc>
          <w:tcPr>
            <w:tcW w:w="2190" w:type="dxa"/>
            <w:vAlign w:val="center"/>
          </w:tcPr>
          <w:p w14:paraId="1FEC77D0">
            <w:pPr>
              <w:pStyle w:val="13"/>
            </w:pPr>
            <w:r>
              <w:t>群众满意度</w:t>
            </w:r>
          </w:p>
        </w:tc>
        <w:tc>
          <w:tcPr>
            <w:tcW w:w="1290" w:type="dxa"/>
            <w:vAlign w:val="center"/>
          </w:tcPr>
          <w:p w14:paraId="6797E51D">
            <w:pPr>
              <w:pStyle w:val="13"/>
              <w:ind w:firstLine="0" w:firstLineChars="0"/>
            </w:pPr>
            <w:r>
              <w:t>≥90百分之</w:t>
            </w:r>
          </w:p>
        </w:tc>
        <w:tc>
          <w:tcPr>
            <w:tcW w:w="4723" w:type="dxa"/>
            <w:vAlign w:val="center"/>
          </w:tcPr>
          <w:p w14:paraId="46E5AE63">
            <w:pPr>
              <w:pStyle w:val="13"/>
              <w:ind w:firstLine="0" w:firstLineChars="0"/>
            </w:pPr>
            <w:r>
              <w:t>《宁晋县法治宣传教育领导小组关于在全县开展法治宣传教育的第八个五年规划（2021-2025年）》的通知（宁发[2021]18号）</w:t>
            </w:r>
          </w:p>
        </w:tc>
      </w:tr>
    </w:tbl>
    <w:p w14:paraId="48D4FC38">
      <w:pPr>
        <w:sectPr>
          <w:footerReference r:id="rId7" w:type="default"/>
          <w:footerReference r:id="rId8" w:type="even"/>
          <w:pgSz w:w="16840" w:h="11900" w:orient="landscape"/>
          <w:pgMar w:top="1304" w:right="1984" w:bottom="1304" w:left="1134" w:header="720" w:footer="720" w:gutter="0"/>
          <w:pgNumType w:fmt="numberInDash"/>
          <w:cols w:space="720" w:num="1"/>
        </w:sectPr>
      </w:pPr>
    </w:p>
    <w:p w14:paraId="680B9E9C">
      <w:pPr>
        <w:spacing w:before="0" w:after="0"/>
        <w:ind w:firstLine="560"/>
        <w:jc w:val="left"/>
        <w:outlineLvl w:val="3"/>
      </w:pPr>
      <w:bookmarkStart w:id="7" w:name="_Toc_4_4_0000000011"/>
      <w:r>
        <w:rPr>
          <w:rFonts w:ascii="方正仿宋_GBK" w:hAnsi="方正仿宋_GBK" w:eastAsia="方正仿宋_GBK" w:cs="方正仿宋_GBK"/>
          <w:color w:val="000000"/>
          <w:sz w:val="28"/>
        </w:rPr>
        <w:t>8.基层人民调解工作经费绩效目标表</w:t>
      </w:r>
      <w:bookmarkEnd w:id="7"/>
    </w:p>
    <w:tbl>
      <w:tblPr>
        <w:tblStyle w:val="5"/>
        <w:tblW w:w="13651"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06"/>
        <w:gridCol w:w="12145"/>
      </w:tblGrid>
      <w:tr w14:paraId="41ADC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6" w:type="dxa"/>
            <w:vAlign w:val="center"/>
          </w:tcPr>
          <w:p w14:paraId="0846679D">
            <w:pPr>
              <w:pStyle w:val="11"/>
            </w:pPr>
            <w:r>
              <w:t>绩效目标</w:t>
            </w:r>
          </w:p>
        </w:tc>
        <w:tc>
          <w:tcPr>
            <w:tcW w:w="12145" w:type="dxa"/>
            <w:vAlign w:val="center"/>
          </w:tcPr>
          <w:p w14:paraId="532F0DD3">
            <w:r>
              <w:rPr>
                <w:rFonts w:ascii="方正书宋_GBK" w:hAnsi="方正书宋_GBK" w:eastAsia="方正书宋_GBK" w:cs="方正书宋_GBK"/>
                <w:sz w:val="21"/>
                <w:szCs w:val="24"/>
                <w:lang w:val="en-US" w:eastAsia="uk-UA" w:bidi="ar-SA"/>
              </w:rPr>
              <w:t>1.最大限度降低重新犯罪和社会不稳定因素发生率。</w:t>
            </w:r>
          </w:p>
        </w:tc>
      </w:tr>
    </w:tbl>
    <w:p w14:paraId="2D489A6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136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7"/>
        <w:gridCol w:w="1515"/>
        <w:gridCol w:w="2220"/>
        <w:gridCol w:w="2970"/>
        <w:gridCol w:w="1500"/>
        <w:gridCol w:w="3942"/>
      </w:tblGrid>
      <w:tr w14:paraId="1B72D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tblHeader/>
          <w:jc w:val="center"/>
        </w:trPr>
        <w:tc>
          <w:tcPr>
            <w:tcW w:w="1477" w:type="dxa"/>
            <w:vAlign w:val="center"/>
          </w:tcPr>
          <w:p w14:paraId="710F59C1">
            <w:pPr>
              <w:pStyle w:val="11"/>
            </w:pPr>
            <w:r>
              <w:t>一级指标</w:t>
            </w:r>
          </w:p>
        </w:tc>
        <w:tc>
          <w:tcPr>
            <w:tcW w:w="1515" w:type="dxa"/>
            <w:vAlign w:val="center"/>
          </w:tcPr>
          <w:p w14:paraId="48AC7956">
            <w:pPr>
              <w:pStyle w:val="11"/>
            </w:pPr>
            <w:r>
              <w:t>二级指标</w:t>
            </w:r>
          </w:p>
        </w:tc>
        <w:tc>
          <w:tcPr>
            <w:tcW w:w="2220" w:type="dxa"/>
            <w:vAlign w:val="center"/>
          </w:tcPr>
          <w:p w14:paraId="2F62233D">
            <w:pPr>
              <w:pStyle w:val="11"/>
            </w:pPr>
            <w:r>
              <w:t>三级指标</w:t>
            </w:r>
          </w:p>
        </w:tc>
        <w:tc>
          <w:tcPr>
            <w:tcW w:w="2970" w:type="dxa"/>
            <w:vAlign w:val="center"/>
          </w:tcPr>
          <w:p w14:paraId="56D03294">
            <w:pPr>
              <w:pStyle w:val="11"/>
            </w:pPr>
            <w:r>
              <w:t>绩效指标描述</w:t>
            </w:r>
          </w:p>
        </w:tc>
        <w:tc>
          <w:tcPr>
            <w:tcW w:w="1500" w:type="dxa"/>
            <w:vAlign w:val="center"/>
          </w:tcPr>
          <w:p w14:paraId="22E13763">
            <w:pPr>
              <w:pStyle w:val="11"/>
              <w:ind w:firstLine="0" w:firstLineChars="0"/>
            </w:pPr>
            <w:r>
              <w:t>指标值</w:t>
            </w:r>
          </w:p>
        </w:tc>
        <w:tc>
          <w:tcPr>
            <w:tcW w:w="3942" w:type="dxa"/>
            <w:vAlign w:val="center"/>
          </w:tcPr>
          <w:p w14:paraId="595C083E">
            <w:pPr>
              <w:pStyle w:val="11"/>
              <w:ind w:firstLine="0" w:firstLineChars="0"/>
            </w:pPr>
            <w:r>
              <w:t>指标值确定依据</w:t>
            </w:r>
          </w:p>
        </w:tc>
      </w:tr>
      <w:tr w14:paraId="22710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5" w:hRule="atLeast"/>
          <w:jc w:val="center"/>
        </w:trPr>
        <w:tc>
          <w:tcPr>
            <w:tcW w:w="1477" w:type="dxa"/>
            <w:vMerge w:val="restart"/>
            <w:vAlign w:val="center"/>
          </w:tcPr>
          <w:p w14:paraId="5F544DA3">
            <w:pPr>
              <w:pStyle w:val="12"/>
            </w:pPr>
            <w:r>
              <w:t>产出指标</w:t>
            </w:r>
          </w:p>
        </w:tc>
        <w:tc>
          <w:tcPr>
            <w:tcW w:w="1515" w:type="dxa"/>
            <w:vAlign w:val="center"/>
          </w:tcPr>
          <w:p w14:paraId="543541B9">
            <w:pPr>
              <w:pStyle w:val="13"/>
            </w:pPr>
            <w:r>
              <w:t>数量指标</w:t>
            </w:r>
          </w:p>
        </w:tc>
        <w:tc>
          <w:tcPr>
            <w:tcW w:w="2220" w:type="dxa"/>
            <w:vAlign w:val="center"/>
          </w:tcPr>
          <w:p w14:paraId="6552F144">
            <w:pPr>
              <w:pStyle w:val="13"/>
            </w:pPr>
            <w:r>
              <w:t>人民调解员培训次数</w:t>
            </w:r>
          </w:p>
        </w:tc>
        <w:tc>
          <w:tcPr>
            <w:tcW w:w="2970" w:type="dxa"/>
            <w:vAlign w:val="center"/>
          </w:tcPr>
          <w:p w14:paraId="73E49322">
            <w:pPr>
              <w:pStyle w:val="13"/>
            </w:pPr>
            <w:r>
              <w:t>组织人民调解员进行集中学习与培训</w:t>
            </w:r>
          </w:p>
        </w:tc>
        <w:tc>
          <w:tcPr>
            <w:tcW w:w="1500" w:type="dxa"/>
            <w:vAlign w:val="center"/>
          </w:tcPr>
          <w:p w14:paraId="1010661A">
            <w:pPr>
              <w:pStyle w:val="13"/>
              <w:ind w:firstLine="0" w:firstLineChars="0"/>
            </w:pPr>
            <w:r>
              <w:t>≥2次</w:t>
            </w:r>
          </w:p>
        </w:tc>
        <w:tc>
          <w:tcPr>
            <w:tcW w:w="3942" w:type="dxa"/>
            <w:vAlign w:val="center"/>
          </w:tcPr>
          <w:p w14:paraId="337E411E">
            <w:pPr>
              <w:pStyle w:val="13"/>
              <w:ind w:firstLine="0" w:firstLineChars="0"/>
            </w:pPr>
            <w:r>
              <w:t>《关于进一步完善矛盾纠纷预防和多元化解机制的意见》</w:t>
            </w:r>
          </w:p>
        </w:tc>
      </w:tr>
      <w:tr w14:paraId="1A8E2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0" w:hRule="atLeast"/>
          <w:jc w:val="center"/>
        </w:trPr>
        <w:tc>
          <w:tcPr>
            <w:tcW w:w="1477" w:type="dxa"/>
            <w:vMerge w:val="continue"/>
            <w:vAlign w:val="center"/>
          </w:tcPr>
          <w:p w14:paraId="6186DDE4"/>
        </w:tc>
        <w:tc>
          <w:tcPr>
            <w:tcW w:w="1515" w:type="dxa"/>
            <w:vAlign w:val="center"/>
          </w:tcPr>
          <w:p w14:paraId="50E4F1D4">
            <w:pPr>
              <w:pStyle w:val="13"/>
            </w:pPr>
            <w:r>
              <w:t>质量指标</w:t>
            </w:r>
          </w:p>
        </w:tc>
        <w:tc>
          <w:tcPr>
            <w:tcW w:w="2220" w:type="dxa"/>
            <w:vAlign w:val="center"/>
          </w:tcPr>
          <w:p w14:paraId="35CED0DF">
            <w:pPr>
              <w:pStyle w:val="13"/>
            </w:pPr>
            <w:r>
              <w:t>调解成功率</w:t>
            </w:r>
          </w:p>
        </w:tc>
        <w:tc>
          <w:tcPr>
            <w:tcW w:w="2970" w:type="dxa"/>
            <w:vAlign w:val="center"/>
          </w:tcPr>
          <w:p w14:paraId="2B1F3B34">
            <w:pPr>
              <w:pStyle w:val="13"/>
            </w:pPr>
            <w:r>
              <w:t>调解成功率</w:t>
            </w:r>
          </w:p>
        </w:tc>
        <w:tc>
          <w:tcPr>
            <w:tcW w:w="1500" w:type="dxa"/>
            <w:vAlign w:val="center"/>
          </w:tcPr>
          <w:p w14:paraId="478819A1">
            <w:pPr>
              <w:pStyle w:val="13"/>
              <w:ind w:firstLine="0" w:firstLineChars="0"/>
            </w:pPr>
            <w:r>
              <w:t>≥90百分之</w:t>
            </w:r>
          </w:p>
        </w:tc>
        <w:tc>
          <w:tcPr>
            <w:tcW w:w="3942" w:type="dxa"/>
            <w:vAlign w:val="center"/>
          </w:tcPr>
          <w:p w14:paraId="16BA02BA">
            <w:pPr>
              <w:pStyle w:val="13"/>
              <w:ind w:firstLine="0" w:firstLineChars="0"/>
            </w:pPr>
            <w:r>
              <w:t>《关于进一步完善矛盾纠纷预防和多元化解机制的意见》</w:t>
            </w:r>
          </w:p>
        </w:tc>
      </w:tr>
      <w:tr w14:paraId="41EC1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0" w:hRule="atLeast"/>
          <w:jc w:val="center"/>
        </w:trPr>
        <w:tc>
          <w:tcPr>
            <w:tcW w:w="1477" w:type="dxa"/>
            <w:vMerge w:val="continue"/>
            <w:vAlign w:val="center"/>
          </w:tcPr>
          <w:p w14:paraId="2EA222FB"/>
        </w:tc>
        <w:tc>
          <w:tcPr>
            <w:tcW w:w="1515" w:type="dxa"/>
            <w:vAlign w:val="center"/>
          </w:tcPr>
          <w:p w14:paraId="193E8F27">
            <w:pPr>
              <w:pStyle w:val="13"/>
            </w:pPr>
            <w:r>
              <w:t>时效指标</w:t>
            </w:r>
          </w:p>
        </w:tc>
        <w:tc>
          <w:tcPr>
            <w:tcW w:w="2220" w:type="dxa"/>
            <w:vAlign w:val="center"/>
          </w:tcPr>
          <w:p w14:paraId="65C58B51">
            <w:pPr>
              <w:pStyle w:val="13"/>
            </w:pPr>
            <w:r>
              <w:t>按时办结率</w:t>
            </w:r>
          </w:p>
        </w:tc>
        <w:tc>
          <w:tcPr>
            <w:tcW w:w="2970" w:type="dxa"/>
            <w:vAlign w:val="center"/>
          </w:tcPr>
          <w:p w14:paraId="5CF35003">
            <w:pPr>
              <w:pStyle w:val="13"/>
            </w:pPr>
            <w:r>
              <w:t>按时办结率</w:t>
            </w:r>
          </w:p>
        </w:tc>
        <w:tc>
          <w:tcPr>
            <w:tcW w:w="1500" w:type="dxa"/>
            <w:vAlign w:val="center"/>
          </w:tcPr>
          <w:p w14:paraId="38C03C57">
            <w:pPr>
              <w:pStyle w:val="13"/>
              <w:ind w:firstLine="0" w:firstLineChars="0"/>
            </w:pPr>
            <w:r>
              <w:t>≥90百分之</w:t>
            </w:r>
          </w:p>
        </w:tc>
        <w:tc>
          <w:tcPr>
            <w:tcW w:w="3942" w:type="dxa"/>
            <w:vAlign w:val="center"/>
          </w:tcPr>
          <w:p w14:paraId="5EAAB278">
            <w:pPr>
              <w:pStyle w:val="13"/>
              <w:ind w:firstLine="0" w:firstLineChars="0"/>
            </w:pPr>
            <w:r>
              <w:t>《关于进一步完善矛盾纠纷预防和多元化解机制的意见》</w:t>
            </w:r>
          </w:p>
        </w:tc>
      </w:tr>
      <w:tr w14:paraId="5EEA3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5" w:hRule="atLeast"/>
          <w:jc w:val="center"/>
        </w:trPr>
        <w:tc>
          <w:tcPr>
            <w:tcW w:w="1477" w:type="dxa"/>
            <w:vMerge w:val="continue"/>
            <w:vAlign w:val="center"/>
          </w:tcPr>
          <w:p w14:paraId="186D23EB"/>
        </w:tc>
        <w:tc>
          <w:tcPr>
            <w:tcW w:w="1515" w:type="dxa"/>
            <w:vAlign w:val="center"/>
          </w:tcPr>
          <w:p w14:paraId="3F7AFEBB">
            <w:pPr>
              <w:pStyle w:val="13"/>
            </w:pPr>
            <w:r>
              <w:t>成本指标</w:t>
            </w:r>
          </w:p>
        </w:tc>
        <w:tc>
          <w:tcPr>
            <w:tcW w:w="2220" w:type="dxa"/>
            <w:vAlign w:val="center"/>
          </w:tcPr>
          <w:p w14:paraId="1AEEF6F1">
            <w:pPr>
              <w:pStyle w:val="13"/>
            </w:pPr>
            <w:r>
              <w:t>预算执行率（%）</w:t>
            </w:r>
          </w:p>
        </w:tc>
        <w:tc>
          <w:tcPr>
            <w:tcW w:w="2970" w:type="dxa"/>
            <w:vAlign w:val="center"/>
          </w:tcPr>
          <w:p w14:paraId="24D6F615">
            <w:pPr>
              <w:pStyle w:val="13"/>
            </w:pPr>
            <w:r>
              <w:t>预算执行率（%）</w:t>
            </w:r>
          </w:p>
        </w:tc>
        <w:tc>
          <w:tcPr>
            <w:tcW w:w="1500" w:type="dxa"/>
            <w:vAlign w:val="center"/>
          </w:tcPr>
          <w:p w14:paraId="6548656C">
            <w:pPr>
              <w:pStyle w:val="13"/>
              <w:ind w:firstLine="0" w:firstLineChars="0"/>
            </w:pPr>
            <w:r>
              <w:t>≥95百分之</w:t>
            </w:r>
          </w:p>
        </w:tc>
        <w:tc>
          <w:tcPr>
            <w:tcW w:w="3942" w:type="dxa"/>
            <w:vAlign w:val="center"/>
          </w:tcPr>
          <w:p w14:paraId="31C56931">
            <w:pPr>
              <w:pStyle w:val="13"/>
              <w:ind w:firstLine="0" w:firstLineChars="0"/>
            </w:pPr>
            <w:r>
              <w:t>《关于进一步完善矛盾纠纷预防和多元化解机制的意见》</w:t>
            </w:r>
          </w:p>
        </w:tc>
      </w:tr>
      <w:tr w14:paraId="16F60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5" w:hRule="atLeast"/>
          <w:jc w:val="center"/>
        </w:trPr>
        <w:tc>
          <w:tcPr>
            <w:tcW w:w="1477" w:type="dxa"/>
            <w:vMerge w:val="restart"/>
            <w:vAlign w:val="center"/>
          </w:tcPr>
          <w:p w14:paraId="288211EB">
            <w:pPr>
              <w:pStyle w:val="12"/>
            </w:pPr>
            <w:r>
              <w:t>效益指标</w:t>
            </w:r>
          </w:p>
        </w:tc>
        <w:tc>
          <w:tcPr>
            <w:tcW w:w="1515" w:type="dxa"/>
            <w:vAlign w:val="center"/>
          </w:tcPr>
          <w:p w14:paraId="2126B6C3">
            <w:pPr>
              <w:pStyle w:val="13"/>
            </w:pPr>
            <w:r>
              <w:t>经济效益指标</w:t>
            </w:r>
          </w:p>
        </w:tc>
        <w:tc>
          <w:tcPr>
            <w:tcW w:w="2220" w:type="dxa"/>
            <w:vAlign w:val="center"/>
          </w:tcPr>
          <w:p w14:paraId="27A91294">
            <w:pPr>
              <w:pStyle w:val="13"/>
            </w:pPr>
            <w:r>
              <w:t>资金的使用效率</w:t>
            </w:r>
          </w:p>
        </w:tc>
        <w:tc>
          <w:tcPr>
            <w:tcW w:w="2970" w:type="dxa"/>
            <w:vAlign w:val="center"/>
          </w:tcPr>
          <w:p w14:paraId="47B2FF15">
            <w:pPr>
              <w:pStyle w:val="13"/>
            </w:pPr>
            <w:r>
              <w:t>资金的使用效率</w:t>
            </w:r>
          </w:p>
        </w:tc>
        <w:tc>
          <w:tcPr>
            <w:tcW w:w="1500" w:type="dxa"/>
            <w:vAlign w:val="center"/>
          </w:tcPr>
          <w:p w14:paraId="3D36414C">
            <w:pPr>
              <w:pStyle w:val="13"/>
              <w:ind w:firstLine="0" w:firstLineChars="0"/>
            </w:pPr>
            <w:r>
              <w:t>≥90百分之</w:t>
            </w:r>
          </w:p>
        </w:tc>
        <w:tc>
          <w:tcPr>
            <w:tcW w:w="3942" w:type="dxa"/>
            <w:vAlign w:val="center"/>
          </w:tcPr>
          <w:p w14:paraId="62AEF42C">
            <w:pPr>
              <w:pStyle w:val="13"/>
              <w:ind w:firstLine="0" w:firstLineChars="0"/>
            </w:pPr>
            <w:r>
              <w:t>《关于进一步完善矛盾纠纷预防和多元化解机制的意见》</w:t>
            </w:r>
          </w:p>
        </w:tc>
      </w:tr>
      <w:tr w14:paraId="37DC0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0" w:hRule="atLeast"/>
          <w:jc w:val="center"/>
        </w:trPr>
        <w:tc>
          <w:tcPr>
            <w:tcW w:w="1477" w:type="dxa"/>
            <w:vMerge w:val="continue"/>
            <w:vAlign w:val="center"/>
          </w:tcPr>
          <w:p w14:paraId="32336561"/>
        </w:tc>
        <w:tc>
          <w:tcPr>
            <w:tcW w:w="1515" w:type="dxa"/>
            <w:vAlign w:val="center"/>
          </w:tcPr>
          <w:p w14:paraId="71438C79">
            <w:pPr>
              <w:pStyle w:val="13"/>
            </w:pPr>
            <w:r>
              <w:t>社会效益指标</w:t>
            </w:r>
          </w:p>
        </w:tc>
        <w:tc>
          <w:tcPr>
            <w:tcW w:w="2220" w:type="dxa"/>
            <w:vAlign w:val="center"/>
          </w:tcPr>
          <w:p w14:paraId="585A27F4">
            <w:pPr>
              <w:pStyle w:val="13"/>
            </w:pPr>
            <w:r>
              <w:t>人民调解案件数（件）</w:t>
            </w:r>
          </w:p>
        </w:tc>
        <w:tc>
          <w:tcPr>
            <w:tcW w:w="2970" w:type="dxa"/>
            <w:vAlign w:val="center"/>
          </w:tcPr>
          <w:p w14:paraId="183FF290">
            <w:pPr>
              <w:pStyle w:val="13"/>
            </w:pPr>
            <w:r>
              <w:t>人民调解案件数（件）</w:t>
            </w:r>
          </w:p>
        </w:tc>
        <w:tc>
          <w:tcPr>
            <w:tcW w:w="1500" w:type="dxa"/>
            <w:vAlign w:val="center"/>
          </w:tcPr>
          <w:p w14:paraId="78DE8E17">
            <w:pPr>
              <w:pStyle w:val="13"/>
              <w:ind w:firstLine="0" w:firstLineChars="0"/>
            </w:pPr>
            <w:r>
              <w:t>≥1000件</w:t>
            </w:r>
          </w:p>
        </w:tc>
        <w:tc>
          <w:tcPr>
            <w:tcW w:w="3942" w:type="dxa"/>
            <w:vAlign w:val="center"/>
          </w:tcPr>
          <w:p w14:paraId="01C914F6">
            <w:pPr>
              <w:pStyle w:val="13"/>
              <w:ind w:firstLine="0" w:firstLineChars="0"/>
            </w:pPr>
            <w:r>
              <w:t>《关于进一步完善矛盾纠纷预防和多元化解机制的意见》</w:t>
            </w:r>
          </w:p>
        </w:tc>
      </w:tr>
      <w:tr w14:paraId="4E880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0" w:hRule="atLeast"/>
          <w:jc w:val="center"/>
        </w:trPr>
        <w:tc>
          <w:tcPr>
            <w:tcW w:w="1477" w:type="dxa"/>
            <w:vMerge w:val="continue"/>
            <w:vAlign w:val="center"/>
          </w:tcPr>
          <w:p w14:paraId="08DDA1D6"/>
        </w:tc>
        <w:tc>
          <w:tcPr>
            <w:tcW w:w="1515" w:type="dxa"/>
            <w:vAlign w:val="center"/>
          </w:tcPr>
          <w:p w14:paraId="6C6F91BB">
            <w:pPr>
              <w:pStyle w:val="13"/>
            </w:pPr>
            <w:r>
              <w:t>生态效益指标</w:t>
            </w:r>
          </w:p>
        </w:tc>
        <w:tc>
          <w:tcPr>
            <w:tcW w:w="2220" w:type="dxa"/>
            <w:vAlign w:val="center"/>
          </w:tcPr>
          <w:p w14:paraId="6B69BBD4">
            <w:pPr>
              <w:pStyle w:val="13"/>
            </w:pPr>
            <w:r>
              <w:t>生态效益指标</w:t>
            </w:r>
          </w:p>
        </w:tc>
        <w:tc>
          <w:tcPr>
            <w:tcW w:w="2970" w:type="dxa"/>
            <w:vAlign w:val="center"/>
          </w:tcPr>
          <w:p w14:paraId="6D14405D">
            <w:pPr>
              <w:pStyle w:val="13"/>
            </w:pPr>
            <w:r>
              <w:t>生态效益指标</w:t>
            </w:r>
          </w:p>
        </w:tc>
        <w:tc>
          <w:tcPr>
            <w:tcW w:w="1500" w:type="dxa"/>
            <w:vAlign w:val="center"/>
          </w:tcPr>
          <w:p w14:paraId="00582A5C">
            <w:pPr>
              <w:pStyle w:val="13"/>
              <w:ind w:firstLine="0" w:firstLineChars="0"/>
            </w:pPr>
            <w:r>
              <w:t>生态效益指标</w:t>
            </w:r>
          </w:p>
        </w:tc>
        <w:tc>
          <w:tcPr>
            <w:tcW w:w="3942" w:type="dxa"/>
            <w:vAlign w:val="center"/>
          </w:tcPr>
          <w:p w14:paraId="546DA097">
            <w:pPr>
              <w:pStyle w:val="13"/>
              <w:ind w:firstLine="0" w:firstLineChars="0"/>
            </w:pPr>
            <w:r>
              <w:t>《关于进一步完善矛盾纠纷预防和多元化解机制的意见》</w:t>
            </w:r>
          </w:p>
        </w:tc>
      </w:tr>
      <w:tr w14:paraId="45044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9" w:hRule="atLeast"/>
          <w:jc w:val="center"/>
        </w:trPr>
        <w:tc>
          <w:tcPr>
            <w:tcW w:w="1477" w:type="dxa"/>
            <w:vMerge w:val="continue"/>
            <w:vAlign w:val="center"/>
          </w:tcPr>
          <w:p w14:paraId="66D0DE79"/>
        </w:tc>
        <w:tc>
          <w:tcPr>
            <w:tcW w:w="1515" w:type="dxa"/>
            <w:vAlign w:val="center"/>
          </w:tcPr>
          <w:p w14:paraId="1FEBA79B">
            <w:pPr>
              <w:pStyle w:val="13"/>
            </w:pPr>
            <w:r>
              <w:t>可持续影响指标</w:t>
            </w:r>
          </w:p>
        </w:tc>
        <w:tc>
          <w:tcPr>
            <w:tcW w:w="2220" w:type="dxa"/>
            <w:vAlign w:val="center"/>
          </w:tcPr>
          <w:p w14:paraId="124B83F0">
            <w:pPr>
              <w:pStyle w:val="13"/>
            </w:pPr>
            <w:r>
              <w:t>人民调解员培训参加比率</w:t>
            </w:r>
          </w:p>
        </w:tc>
        <w:tc>
          <w:tcPr>
            <w:tcW w:w="2970" w:type="dxa"/>
            <w:vAlign w:val="center"/>
          </w:tcPr>
          <w:p w14:paraId="3A8D049F">
            <w:pPr>
              <w:pStyle w:val="13"/>
            </w:pPr>
            <w:r>
              <w:t>参加培训的人民调解员与应参加培训的人民调解员的比率</w:t>
            </w:r>
          </w:p>
        </w:tc>
        <w:tc>
          <w:tcPr>
            <w:tcW w:w="1500" w:type="dxa"/>
            <w:vAlign w:val="center"/>
          </w:tcPr>
          <w:p w14:paraId="42AF1856">
            <w:pPr>
              <w:pStyle w:val="13"/>
              <w:ind w:firstLine="0" w:firstLineChars="0"/>
            </w:pPr>
            <w:r>
              <w:t>≥95百分之</w:t>
            </w:r>
          </w:p>
        </w:tc>
        <w:tc>
          <w:tcPr>
            <w:tcW w:w="3942" w:type="dxa"/>
            <w:vAlign w:val="center"/>
          </w:tcPr>
          <w:p w14:paraId="575DBE5C">
            <w:pPr>
              <w:pStyle w:val="13"/>
              <w:ind w:firstLine="0" w:firstLineChars="0"/>
            </w:pPr>
            <w:r>
              <w:t>《关于进一步完善矛盾纠纷预防和多元化解机制的意见》</w:t>
            </w:r>
          </w:p>
        </w:tc>
      </w:tr>
      <w:tr w14:paraId="2CE90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77" w:type="dxa"/>
            <w:vAlign w:val="center"/>
          </w:tcPr>
          <w:p w14:paraId="0FE3ADFC">
            <w:pPr>
              <w:pStyle w:val="12"/>
            </w:pPr>
            <w:r>
              <w:t>满意度指标</w:t>
            </w:r>
          </w:p>
        </w:tc>
        <w:tc>
          <w:tcPr>
            <w:tcW w:w="1515" w:type="dxa"/>
            <w:vAlign w:val="center"/>
          </w:tcPr>
          <w:p w14:paraId="6F09D5DF">
            <w:pPr>
              <w:pStyle w:val="13"/>
            </w:pPr>
            <w:r>
              <w:t>服务对象满意度指标</w:t>
            </w:r>
          </w:p>
        </w:tc>
        <w:tc>
          <w:tcPr>
            <w:tcW w:w="2220" w:type="dxa"/>
            <w:vAlign w:val="center"/>
          </w:tcPr>
          <w:p w14:paraId="7847E04B">
            <w:pPr>
              <w:pStyle w:val="13"/>
            </w:pPr>
            <w:r>
              <w:t>群众满意度</w:t>
            </w:r>
          </w:p>
        </w:tc>
        <w:tc>
          <w:tcPr>
            <w:tcW w:w="2970" w:type="dxa"/>
            <w:vAlign w:val="center"/>
          </w:tcPr>
          <w:p w14:paraId="29663C19">
            <w:pPr>
              <w:pStyle w:val="13"/>
            </w:pPr>
            <w:r>
              <w:t>群众满意度</w:t>
            </w:r>
          </w:p>
        </w:tc>
        <w:tc>
          <w:tcPr>
            <w:tcW w:w="1500" w:type="dxa"/>
            <w:vAlign w:val="center"/>
          </w:tcPr>
          <w:p w14:paraId="7348C8C7">
            <w:pPr>
              <w:pStyle w:val="13"/>
              <w:ind w:firstLine="0" w:firstLineChars="0"/>
            </w:pPr>
            <w:r>
              <w:t>≥90百分之</w:t>
            </w:r>
          </w:p>
        </w:tc>
        <w:tc>
          <w:tcPr>
            <w:tcW w:w="3942" w:type="dxa"/>
            <w:vAlign w:val="center"/>
          </w:tcPr>
          <w:p w14:paraId="0648BAF4">
            <w:pPr>
              <w:pStyle w:val="13"/>
              <w:ind w:firstLine="0" w:firstLineChars="0"/>
            </w:pPr>
            <w:r>
              <w:t>《关于进一步完善矛盾纠纷预防和多元化解机制的意见》</w:t>
            </w:r>
          </w:p>
        </w:tc>
      </w:tr>
    </w:tbl>
    <w:p w14:paraId="791A3FD5">
      <w:pPr>
        <w:sectPr>
          <w:pgSz w:w="16840" w:h="11900" w:orient="landscape"/>
          <w:pgMar w:top="1304" w:right="1984" w:bottom="1304" w:left="1134" w:header="720" w:footer="720" w:gutter="0"/>
          <w:pgNumType w:fmt="numberInDash"/>
          <w:cols w:space="720" w:num="1"/>
        </w:sectPr>
      </w:pPr>
    </w:p>
    <w:p w14:paraId="4F51F8D3">
      <w:pPr>
        <w:spacing w:before="0" w:after="0"/>
        <w:ind w:firstLine="560"/>
        <w:jc w:val="left"/>
        <w:outlineLvl w:val="3"/>
      </w:pPr>
      <w:bookmarkStart w:id="8" w:name="_Toc_4_4_0000000012"/>
      <w:r>
        <w:rPr>
          <w:rFonts w:ascii="方正仿宋_GBK" w:hAnsi="方正仿宋_GBK" w:eastAsia="方正仿宋_GBK" w:cs="方正仿宋_GBK"/>
          <w:color w:val="000000"/>
          <w:sz w:val="28"/>
        </w:rPr>
        <w:t>9.社区矫正经费绩效目标表</w:t>
      </w:r>
      <w:bookmarkEnd w:id="8"/>
    </w:p>
    <w:tbl>
      <w:tblPr>
        <w:tblStyle w:val="5"/>
        <w:tblW w:w="133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15"/>
        <w:gridCol w:w="11474"/>
      </w:tblGrid>
      <w:tr w14:paraId="5C21C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5" w:type="dxa"/>
            <w:vAlign w:val="center"/>
          </w:tcPr>
          <w:p w14:paraId="319006F5">
            <w:pPr>
              <w:pStyle w:val="11"/>
            </w:pPr>
            <w:r>
              <w:t>绩效目标</w:t>
            </w:r>
          </w:p>
        </w:tc>
        <w:tc>
          <w:tcPr>
            <w:tcW w:w="11474" w:type="dxa"/>
            <w:vAlign w:val="center"/>
          </w:tcPr>
          <w:p w14:paraId="152A2FD4">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w:t>
            </w:r>
            <w:r>
              <w:rPr>
                <w:rFonts w:ascii="方正书宋_GBK" w:hAnsi="方正书宋_GBK" w:eastAsia="方正书宋_GBK" w:cs="方正书宋_GBK"/>
                <w:sz w:val="21"/>
                <w:szCs w:val="24"/>
                <w:lang w:val="en-US" w:eastAsia="uk-UA" w:bidi="ar-SA"/>
              </w:rPr>
              <w:t>做好全县社区矫正和</w:t>
            </w:r>
            <w:r>
              <w:rPr>
                <w:rFonts w:hint="eastAsia" w:ascii="方正书宋_GBK" w:hAnsi="方正书宋_GBK" w:eastAsia="方正书宋_GBK" w:cs="方正书宋_GBK"/>
                <w:sz w:val="21"/>
                <w:szCs w:val="24"/>
                <w:lang w:val="en-US" w:eastAsia="zh-CN" w:bidi="ar-SA"/>
              </w:rPr>
              <w:t>村（社区）参与社区矫正工作；</w:t>
            </w:r>
          </w:p>
          <w:p w14:paraId="37830803">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2.做好</w:t>
            </w:r>
            <w:r>
              <w:rPr>
                <w:rFonts w:ascii="方正书宋_GBK" w:hAnsi="方正书宋_GBK" w:eastAsia="方正书宋_GBK" w:cs="方正书宋_GBK"/>
                <w:sz w:val="21"/>
                <w:szCs w:val="24"/>
                <w:lang w:val="en-US" w:eastAsia="uk-UA" w:bidi="ar-SA"/>
              </w:rPr>
              <w:t>全县刑满释放人员帮教安置工作</w:t>
            </w:r>
            <w:r>
              <w:rPr>
                <w:rFonts w:hint="eastAsia" w:ascii="方正书宋_GBK" w:hAnsi="方正书宋_GBK" w:eastAsia="方正书宋_GBK" w:cs="方正书宋_GBK"/>
                <w:sz w:val="21"/>
                <w:szCs w:val="24"/>
                <w:lang w:val="en-US" w:eastAsia="zh-CN" w:bidi="ar-SA"/>
              </w:rPr>
              <w:t>；</w:t>
            </w:r>
          </w:p>
          <w:p w14:paraId="038818EA">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w:t>
            </w:r>
            <w:r>
              <w:rPr>
                <w:rFonts w:ascii="方正书宋_GBK" w:hAnsi="方正书宋_GBK" w:eastAsia="方正书宋_GBK" w:cs="方正书宋_GBK"/>
                <w:sz w:val="21"/>
                <w:szCs w:val="24"/>
                <w:lang w:val="en-US" w:eastAsia="uk-UA" w:bidi="ar-SA"/>
              </w:rPr>
              <w:t>最大限度降低重新犯罪和社会不稳定因素发生率</w:t>
            </w:r>
            <w:r>
              <w:rPr>
                <w:rFonts w:hint="eastAsia" w:ascii="方正书宋_GBK" w:hAnsi="方正书宋_GBK" w:eastAsia="方正书宋_GBK" w:cs="方正书宋_GBK"/>
                <w:sz w:val="21"/>
                <w:szCs w:val="24"/>
                <w:lang w:val="en-US" w:eastAsia="zh-CN" w:bidi="ar-SA"/>
              </w:rPr>
              <w:t>。</w:t>
            </w:r>
          </w:p>
        </w:tc>
      </w:tr>
    </w:tbl>
    <w:p w14:paraId="05B98D8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1344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56"/>
        <w:gridCol w:w="1875"/>
        <w:gridCol w:w="3060"/>
        <w:gridCol w:w="3160"/>
        <w:gridCol w:w="1069"/>
        <w:gridCol w:w="2321"/>
      </w:tblGrid>
      <w:tr w14:paraId="52AA6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956" w:type="dxa"/>
            <w:vAlign w:val="center"/>
          </w:tcPr>
          <w:p w14:paraId="2F6A599D">
            <w:pPr>
              <w:pStyle w:val="11"/>
            </w:pPr>
            <w:r>
              <w:t>一级指标</w:t>
            </w:r>
          </w:p>
        </w:tc>
        <w:tc>
          <w:tcPr>
            <w:tcW w:w="1875" w:type="dxa"/>
            <w:vAlign w:val="center"/>
          </w:tcPr>
          <w:p w14:paraId="2C5B61AA">
            <w:pPr>
              <w:pStyle w:val="11"/>
            </w:pPr>
            <w:r>
              <w:t>二级指标</w:t>
            </w:r>
          </w:p>
        </w:tc>
        <w:tc>
          <w:tcPr>
            <w:tcW w:w="3060" w:type="dxa"/>
            <w:vAlign w:val="center"/>
          </w:tcPr>
          <w:p w14:paraId="5C8B37B8">
            <w:pPr>
              <w:pStyle w:val="11"/>
            </w:pPr>
            <w:r>
              <w:t>三级指标</w:t>
            </w:r>
          </w:p>
        </w:tc>
        <w:tc>
          <w:tcPr>
            <w:tcW w:w="3160" w:type="dxa"/>
            <w:vAlign w:val="center"/>
          </w:tcPr>
          <w:p w14:paraId="5C5CCB67">
            <w:pPr>
              <w:pStyle w:val="11"/>
            </w:pPr>
            <w:r>
              <w:t>绩效指标描述</w:t>
            </w:r>
          </w:p>
        </w:tc>
        <w:tc>
          <w:tcPr>
            <w:tcW w:w="1069" w:type="dxa"/>
            <w:vAlign w:val="center"/>
          </w:tcPr>
          <w:p w14:paraId="68186BA7">
            <w:pPr>
              <w:pStyle w:val="11"/>
              <w:ind w:firstLine="0" w:firstLineChars="0"/>
            </w:pPr>
            <w:r>
              <w:t>指标值</w:t>
            </w:r>
          </w:p>
        </w:tc>
        <w:tc>
          <w:tcPr>
            <w:tcW w:w="2321" w:type="dxa"/>
            <w:vAlign w:val="center"/>
          </w:tcPr>
          <w:p w14:paraId="23491AC3">
            <w:pPr>
              <w:pStyle w:val="11"/>
              <w:ind w:firstLine="0" w:firstLineChars="0"/>
            </w:pPr>
            <w:r>
              <w:t>指标值确定依据</w:t>
            </w:r>
          </w:p>
        </w:tc>
      </w:tr>
      <w:tr w14:paraId="7CA6D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6" w:hRule="atLeast"/>
          <w:jc w:val="center"/>
        </w:trPr>
        <w:tc>
          <w:tcPr>
            <w:tcW w:w="1956" w:type="dxa"/>
            <w:vMerge w:val="restart"/>
            <w:vAlign w:val="center"/>
          </w:tcPr>
          <w:p w14:paraId="669074CD">
            <w:pPr>
              <w:pStyle w:val="12"/>
            </w:pPr>
            <w:r>
              <w:t>产出指标</w:t>
            </w:r>
          </w:p>
        </w:tc>
        <w:tc>
          <w:tcPr>
            <w:tcW w:w="1875" w:type="dxa"/>
            <w:vAlign w:val="center"/>
          </w:tcPr>
          <w:p w14:paraId="4CCFFA65">
            <w:pPr>
              <w:pStyle w:val="13"/>
            </w:pPr>
            <w:r>
              <w:t>数量指标</w:t>
            </w:r>
          </w:p>
        </w:tc>
        <w:tc>
          <w:tcPr>
            <w:tcW w:w="3060" w:type="dxa"/>
            <w:vAlign w:val="center"/>
          </w:tcPr>
          <w:p w14:paraId="4C58BE79">
            <w:pPr>
              <w:pStyle w:val="13"/>
            </w:pPr>
            <w:r>
              <w:t>社区矫正人员月度教育学习时间低于8小时的人数</w:t>
            </w:r>
          </w:p>
        </w:tc>
        <w:tc>
          <w:tcPr>
            <w:tcW w:w="3160" w:type="dxa"/>
            <w:vAlign w:val="center"/>
          </w:tcPr>
          <w:p w14:paraId="3F41593E">
            <w:pPr>
              <w:pStyle w:val="13"/>
            </w:pPr>
            <w:r>
              <w:t>社区矫正人员月度教育学习时间低于8小时的人数</w:t>
            </w:r>
          </w:p>
        </w:tc>
        <w:tc>
          <w:tcPr>
            <w:tcW w:w="1069" w:type="dxa"/>
            <w:vAlign w:val="center"/>
          </w:tcPr>
          <w:p w14:paraId="2DD8BD28">
            <w:pPr>
              <w:pStyle w:val="13"/>
              <w:ind w:firstLine="0" w:firstLineChars="0"/>
            </w:pPr>
            <w:r>
              <w:t>≤6人次</w:t>
            </w:r>
          </w:p>
        </w:tc>
        <w:tc>
          <w:tcPr>
            <w:tcW w:w="2321" w:type="dxa"/>
            <w:vAlign w:val="center"/>
          </w:tcPr>
          <w:p w14:paraId="3971775A">
            <w:pPr>
              <w:pStyle w:val="13"/>
              <w:ind w:firstLine="0" w:firstLineChars="0"/>
              <w:jc w:val="center"/>
            </w:pPr>
            <w:r>
              <w:rPr>
                <w:sz w:val="18"/>
                <w:szCs w:val="18"/>
              </w:rPr>
              <w:t>《社区矫正实施办法》</w:t>
            </w:r>
          </w:p>
        </w:tc>
      </w:tr>
      <w:tr w14:paraId="7896E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6" w:type="dxa"/>
            <w:vMerge w:val="continue"/>
            <w:vAlign w:val="center"/>
          </w:tcPr>
          <w:p w14:paraId="5ECE2CDE"/>
        </w:tc>
        <w:tc>
          <w:tcPr>
            <w:tcW w:w="1875" w:type="dxa"/>
            <w:vAlign w:val="center"/>
          </w:tcPr>
          <w:p w14:paraId="2A10CBF0">
            <w:pPr>
              <w:pStyle w:val="13"/>
            </w:pPr>
            <w:r>
              <w:t>质量指标</w:t>
            </w:r>
          </w:p>
        </w:tc>
        <w:tc>
          <w:tcPr>
            <w:tcW w:w="3060" w:type="dxa"/>
            <w:vAlign w:val="center"/>
          </w:tcPr>
          <w:p w14:paraId="16911709">
            <w:pPr>
              <w:pStyle w:val="13"/>
            </w:pPr>
            <w:r>
              <w:t>社区矫正执法人员学习时间达标率</w:t>
            </w:r>
          </w:p>
        </w:tc>
        <w:tc>
          <w:tcPr>
            <w:tcW w:w="3160" w:type="dxa"/>
            <w:vAlign w:val="center"/>
          </w:tcPr>
          <w:p w14:paraId="7CEF2E91">
            <w:pPr>
              <w:pStyle w:val="13"/>
            </w:pPr>
            <w:r>
              <w:t>社区矫正执法人员学习时间达标率</w:t>
            </w:r>
          </w:p>
        </w:tc>
        <w:tc>
          <w:tcPr>
            <w:tcW w:w="1069" w:type="dxa"/>
            <w:vAlign w:val="center"/>
          </w:tcPr>
          <w:p w14:paraId="5C4CEF08">
            <w:pPr>
              <w:pStyle w:val="13"/>
              <w:ind w:firstLine="0" w:firstLineChars="0"/>
            </w:pPr>
            <w:r>
              <w:t>≥90百分之</w:t>
            </w:r>
          </w:p>
        </w:tc>
        <w:tc>
          <w:tcPr>
            <w:tcW w:w="2321" w:type="dxa"/>
            <w:vAlign w:val="center"/>
          </w:tcPr>
          <w:p w14:paraId="4AA2DA9E">
            <w:pPr>
              <w:pStyle w:val="13"/>
              <w:ind w:firstLine="0" w:firstLineChars="0"/>
            </w:pPr>
            <w:r>
              <w:t>《社区矫正实施办法》</w:t>
            </w:r>
          </w:p>
        </w:tc>
      </w:tr>
      <w:tr w14:paraId="6EA15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6" w:type="dxa"/>
            <w:vMerge w:val="continue"/>
            <w:vAlign w:val="center"/>
          </w:tcPr>
          <w:p w14:paraId="0D19D4FE"/>
        </w:tc>
        <w:tc>
          <w:tcPr>
            <w:tcW w:w="1875" w:type="dxa"/>
            <w:vAlign w:val="center"/>
          </w:tcPr>
          <w:p w14:paraId="014C1846">
            <w:pPr>
              <w:pStyle w:val="13"/>
            </w:pPr>
            <w:r>
              <w:t>时效指标</w:t>
            </w:r>
          </w:p>
        </w:tc>
        <w:tc>
          <w:tcPr>
            <w:tcW w:w="3060" w:type="dxa"/>
            <w:vAlign w:val="center"/>
          </w:tcPr>
          <w:p w14:paraId="36B13C9F">
            <w:pPr>
              <w:pStyle w:val="13"/>
            </w:pPr>
            <w:r>
              <w:t>资金拨付及时率</w:t>
            </w:r>
          </w:p>
        </w:tc>
        <w:tc>
          <w:tcPr>
            <w:tcW w:w="3160" w:type="dxa"/>
            <w:vAlign w:val="center"/>
          </w:tcPr>
          <w:p w14:paraId="246C480D">
            <w:pPr>
              <w:pStyle w:val="13"/>
            </w:pPr>
            <w:r>
              <w:t>资金拨付及时率</w:t>
            </w:r>
          </w:p>
        </w:tc>
        <w:tc>
          <w:tcPr>
            <w:tcW w:w="1069" w:type="dxa"/>
            <w:vAlign w:val="center"/>
          </w:tcPr>
          <w:p w14:paraId="19ED60EE">
            <w:pPr>
              <w:pStyle w:val="13"/>
              <w:ind w:firstLine="0" w:firstLineChars="0"/>
            </w:pPr>
            <w:r>
              <w:t>≥95百分之</w:t>
            </w:r>
          </w:p>
        </w:tc>
        <w:tc>
          <w:tcPr>
            <w:tcW w:w="2321" w:type="dxa"/>
            <w:vAlign w:val="center"/>
          </w:tcPr>
          <w:p w14:paraId="085C38DC">
            <w:pPr>
              <w:pStyle w:val="13"/>
              <w:ind w:firstLine="0" w:firstLineChars="0"/>
            </w:pPr>
            <w:r>
              <w:t>《社区矫正实施办法》</w:t>
            </w:r>
          </w:p>
        </w:tc>
      </w:tr>
      <w:tr w14:paraId="4EC0F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6" w:type="dxa"/>
            <w:vMerge w:val="continue"/>
            <w:vAlign w:val="center"/>
          </w:tcPr>
          <w:p w14:paraId="6BCF2847"/>
        </w:tc>
        <w:tc>
          <w:tcPr>
            <w:tcW w:w="1875" w:type="dxa"/>
            <w:vAlign w:val="center"/>
          </w:tcPr>
          <w:p w14:paraId="06B06F45">
            <w:pPr>
              <w:pStyle w:val="13"/>
            </w:pPr>
            <w:r>
              <w:t>成本指标</w:t>
            </w:r>
          </w:p>
        </w:tc>
        <w:tc>
          <w:tcPr>
            <w:tcW w:w="3060" w:type="dxa"/>
            <w:vAlign w:val="center"/>
          </w:tcPr>
          <w:p w14:paraId="3029FCA6">
            <w:pPr>
              <w:pStyle w:val="13"/>
            </w:pPr>
            <w:r>
              <w:t>按预算资金完成率</w:t>
            </w:r>
          </w:p>
        </w:tc>
        <w:tc>
          <w:tcPr>
            <w:tcW w:w="3160" w:type="dxa"/>
            <w:vAlign w:val="center"/>
          </w:tcPr>
          <w:p w14:paraId="014DA552">
            <w:pPr>
              <w:pStyle w:val="13"/>
            </w:pPr>
            <w:r>
              <w:t>按预算资金完成率</w:t>
            </w:r>
          </w:p>
        </w:tc>
        <w:tc>
          <w:tcPr>
            <w:tcW w:w="1069" w:type="dxa"/>
            <w:vAlign w:val="center"/>
          </w:tcPr>
          <w:p w14:paraId="3FF70D90">
            <w:pPr>
              <w:pStyle w:val="13"/>
              <w:ind w:firstLine="0" w:firstLineChars="0"/>
            </w:pPr>
            <w:r>
              <w:t>≥95百分之</w:t>
            </w:r>
          </w:p>
        </w:tc>
        <w:tc>
          <w:tcPr>
            <w:tcW w:w="2321" w:type="dxa"/>
            <w:vAlign w:val="center"/>
          </w:tcPr>
          <w:p w14:paraId="608B9F0D">
            <w:pPr>
              <w:pStyle w:val="13"/>
              <w:ind w:firstLine="0" w:firstLineChars="0"/>
            </w:pPr>
            <w:r>
              <w:t>《社区矫正实施办法》</w:t>
            </w:r>
          </w:p>
        </w:tc>
      </w:tr>
      <w:tr w14:paraId="17E56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6" w:type="dxa"/>
            <w:vMerge w:val="restart"/>
            <w:vAlign w:val="center"/>
          </w:tcPr>
          <w:p w14:paraId="428E2F1B">
            <w:pPr>
              <w:pStyle w:val="12"/>
            </w:pPr>
            <w:r>
              <w:t>效益指标</w:t>
            </w:r>
          </w:p>
        </w:tc>
        <w:tc>
          <w:tcPr>
            <w:tcW w:w="1875" w:type="dxa"/>
            <w:vAlign w:val="center"/>
          </w:tcPr>
          <w:p w14:paraId="0835691E">
            <w:pPr>
              <w:pStyle w:val="13"/>
            </w:pPr>
            <w:r>
              <w:t>经济效益指标</w:t>
            </w:r>
          </w:p>
        </w:tc>
        <w:tc>
          <w:tcPr>
            <w:tcW w:w="3060" w:type="dxa"/>
            <w:vAlign w:val="center"/>
          </w:tcPr>
          <w:p w14:paraId="60FE942C">
            <w:pPr>
              <w:pStyle w:val="13"/>
            </w:pPr>
            <w:r>
              <w:t>资金的使用效率</w:t>
            </w:r>
          </w:p>
        </w:tc>
        <w:tc>
          <w:tcPr>
            <w:tcW w:w="3160" w:type="dxa"/>
            <w:vAlign w:val="center"/>
          </w:tcPr>
          <w:p w14:paraId="156AA299">
            <w:pPr>
              <w:pStyle w:val="13"/>
            </w:pPr>
            <w:r>
              <w:t>资金的使用效率</w:t>
            </w:r>
          </w:p>
        </w:tc>
        <w:tc>
          <w:tcPr>
            <w:tcW w:w="1069" w:type="dxa"/>
            <w:vAlign w:val="center"/>
          </w:tcPr>
          <w:p w14:paraId="6E60D2BC">
            <w:pPr>
              <w:pStyle w:val="13"/>
              <w:ind w:firstLine="0" w:firstLineChars="0"/>
            </w:pPr>
            <w:r>
              <w:t>≥90百分之</w:t>
            </w:r>
          </w:p>
        </w:tc>
        <w:tc>
          <w:tcPr>
            <w:tcW w:w="2321" w:type="dxa"/>
            <w:vAlign w:val="center"/>
          </w:tcPr>
          <w:p w14:paraId="378EC2B1">
            <w:pPr>
              <w:pStyle w:val="13"/>
              <w:ind w:firstLine="0" w:firstLineChars="0"/>
            </w:pPr>
            <w:r>
              <w:t>《社区矫正实施办法》</w:t>
            </w:r>
          </w:p>
        </w:tc>
      </w:tr>
      <w:tr w14:paraId="57BEE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6" w:type="dxa"/>
            <w:vMerge w:val="continue"/>
            <w:vAlign w:val="center"/>
          </w:tcPr>
          <w:p w14:paraId="4D0E4B23"/>
        </w:tc>
        <w:tc>
          <w:tcPr>
            <w:tcW w:w="1875" w:type="dxa"/>
            <w:vAlign w:val="center"/>
          </w:tcPr>
          <w:p w14:paraId="5BD4675E">
            <w:pPr>
              <w:pStyle w:val="13"/>
            </w:pPr>
            <w:r>
              <w:t>社会效益指标</w:t>
            </w:r>
          </w:p>
        </w:tc>
        <w:tc>
          <w:tcPr>
            <w:tcW w:w="3060" w:type="dxa"/>
            <w:vAlign w:val="center"/>
          </w:tcPr>
          <w:p w14:paraId="39DB184A">
            <w:pPr>
              <w:pStyle w:val="13"/>
            </w:pPr>
            <w:r>
              <w:t>社区矫正人员重新犯罪率（%）</w:t>
            </w:r>
          </w:p>
        </w:tc>
        <w:tc>
          <w:tcPr>
            <w:tcW w:w="3160" w:type="dxa"/>
            <w:vAlign w:val="center"/>
          </w:tcPr>
          <w:p w14:paraId="79AFD205">
            <w:pPr>
              <w:pStyle w:val="13"/>
            </w:pPr>
            <w:r>
              <w:t>社区矫正人员重新犯罪率（%）</w:t>
            </w:r>
          </w:p>
        </w:tc>
        <w:tc>
          <w:tcPr>
            <w:tcW w:w="1069" w:type="dxa"/>
            <w:vAlign w:val="center"/>
          </w:tcPr>
          <w:p w14:paraId="1A6C087F">
            <w:pPr>
              <w:pStyle w:val="13"/>
              <w:ind w:firstLine="0" w:firstLineChars="0"/>
            </w:pPr>
            <w:r>
              <w:t>≤0.15百分之</w:t>
            </w:r>
          </w:p>
        </w:tc>
        <w:tc>
          <w:tcPr>
            <w:tcW w:w="2321" w:type="dxa"/>
            <w:vAlign w:val="center"/>
          </w:tcPr>
          <w:p w14:paraId="69218C24">
            <w:pPr>
              <w:pStyle w:val="13"/>
              <w:ind w:firstLine="0" w:firstLineChars="0"/>
            </w:pPr>
            <w:r>
              <w:t>《社区矫正实施办法》</w:t>
            </w:r>
          </w:p>
        </w:tc>
      </w:tr>
      <w:tr w14:paraId="06877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6" w:type="dxa"/>
            <w:vMerge w:val="continue"/>
            <w:vAlign w:val="center"/>
          </w:tcPr>
          <w:p w14:paraId="1B4B485E"/>
        </w:tc>
        <w:tc>
          <w:tcPr>
            <w:tcW w:w="1875" w:type="dxa"/>
            <w:vAlign w:val="center"/>
          </w:tcPr>
          <w:p w14:paraId="339DB30F">
            <w:pPr>
              <w:pStyle w:val="13"/>
            </w:pPr>
            <w:r>
              <w:t>生态效益指标</w:t>
            </w:r>
          </w:p>
        </w:tc>
        <w:tc>
          <w:tcPr>
            <w:tcW w:w="3060" w:type="dxa"/>
            <w:vAlign w:val="center"/>
          </w:tcPr>
          <w:p w14:paraId="6A6989A7">
            <w:pPr>
              <w:pStyle w:val="13"/>
            </w:pPr>
            <w:r>
              <w:t>生态效益指标</w:t>
            </w:r>
          </w:p>
        </w:tc>
        <w:tc>
          <w:tcPr>
            <w:tcW w:w="3160" w:type="dxa"/>
            <w:vAlign w:val="center"/>
          </w:tcPr>
          <w:p w14:paraId="6249880B">
            <w:pPr>
              <w:pStyle w:val="13"/>
            </w:pPr>
            <w:r>
              <w:t>生态效益指标</w:t>
            </w:r>
          </w:p>
        </w:tc>
        <w:tc>
          <w:tcPr>
            <w:tcW w:w="1069" w:type="dxa"/>
            <w:vAlign w:val="center"/>
          </w:tcPr>
          <w:p w14:paraId="23250460">
            <w:pPr>
              <w:pStyle w:val="13"/>
              <w:ind w:firstLine="0" w:firstLineChars="0"/>
            </w:pPr>
            <w:r>
              <w:t>生态效益指标</w:t>
            </w:r>
          </w:p>
        </w:tc>
        <w:tc>
          <w:tcPr>
            <w:tcW w:w="2321" w:type="dxa"/>
            <w:vAlign w:val="center"/>
          </w:tcPr>
          <w:p w14:paraId="396E508D">
            <w:pPr>
              <w:pStyle w:val="13"/>
              <w:ind w:firstLine="0" w:firstLineChars="0"/>
            </w:pPr>
            <w:r>
              <w:t>《社区矫正实施办法》</w:t>
            </w:r>
          </w:p>
        </w:tc>
      </w:tr>
      <w:tr w14:paraId="57614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6" w:type="dxa"/>
            <w:vMerge w:val="continue"/>
            <w:vAlign w:val="center"/>
          </w:tcPr>
          <w:p w14:paraId="71FBAE5F"/>
        </w:tc>
        <w:tc>
          <w:tcPr>
            <w:tcW w:w="1875" w:type="dxa"/>
            <w:vAlign w:val="center"/>
          </w:tcPr>
          <w:p w14:paraId="43CD0533">
            <w:pPr>
              <w:pStyle w:val="13"/>
            </w:pPr>
            <w:r>
              <w:t>可持续影响指标</w:t>
            </w:r>
          </w:p>
        </w:tc>
        <w:tc>
          <w:tcPr>
            <w:tcW w:w="3060" w:type="dxa"/>
            <w:vAlign w:val="center"/>
          </w:tcPr>
          <w:p w14:paraId="59843B35">
            <w:pPr>
              <w:pStyle w:val="13"/>
            </w:pPr>
            <w:r>
              <w:t>社区矫正工作人员执法培训实际次数</w:t>
            </w:r>
          </w:p>
        </w:tc>
        <w:tc>
          <w:tcPr>
            <w:tcW w:w="3160" w:type="dxa"/>
            <w:vAlign w:val="center"/>
          </w:tcPr>
          <w:p w14:paraId="58FD1CE3">
            <w:pPr>
              <w:pStyle w:val="13"/>
            </w:pPr>
            <w:r>
              <w:t>社区矫正工作人员执法培训实际次数</w:t>
            </w:r>
          </w:p>
        </w:tc>
        <w:tc>
          <w:tcPr>
            <w:tcW w:w="1069" w:type="dxa"/>
            <w:vAlign w:val="center"/>
          </w:tcPr>
          <w:p w14:paraId="4D148D8F">
            <w:pPr>
              <w:pStyle w:val="13"/>
              <w:ind w:firstLine="0" w:firstLineChars="0"/>
            </w:pPr>
            <w:r>
              <w:t>≥2次</w:t>
            </w:r>
          </w:p>
        </w:tc>
        <w:tc>
          <w:tcPr>
            <w:tcW w:w="2321" w:type="dxa"/>
            <w:vAlign w:val="center"/>
          </w:tcPr>
          <w:p w14:paraId="3274DE19">
            <w:pPr>
              <w:pStyle w:val="13"/>
              <w:ind w:firstLine="0" w:firstLineChars="0"/>
            </w:pPr>
            <w:r>
              <w:t>《社区矫正实施办法》</w:t>
            </w:r>
          </w:p>
        </w:tc>
      </w:tr>
      <w:tr w14:paraId="6C75F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6" w:type="dxa"/>
            <w:vAlign w:val="center"/>
          </w:tcPr>
          <w:p w14:paraId="03D28FA7">
            <w:pPr>
              <w:pStyle w:val="12"/>
            </w:pPr>
            <w:r>
              <w:t>满意度指标</w:t>
            </w:r>
          </w:p>
        </w:tc>
        <w:tc>
          <w:tcPr>
            <w:tcW w:w="1875" w:type="dxa"/>
            <w:vAlign w:val="center"/>
          </w:tcPr>
          <w:p w14:paraId="27B1FEF7">
            <w:pPr>
              <w:pStyle w:val="13"/>
            </w:pPr>
            <w:r>
              <w:t>服务对象满意度指标</w:t>
            </w:r>
          </w:p>
        </w:tc>
        <w:tc>
          <w:tcPr>
            <w:tcW w:w="3060" w:type="dxa"/>
            <w:vAlign w:val="center"/>
          </w:tcPr>
          <w:p w14:paraId="7BC850CF">
            <w:pPr>
              <w:pStyle w:val="13"/>
            </w:pPr>
            <w:r>
              <w:t>群众满意度</w:t>
            </w:r>
          </w:p>
        </w:tc>
        <w:tc>
          <w:tcPr>
            <w:tcW w:w="3160" w:type="dxa"/>
            <w:vAlign w:val="center"/>
          </w:tcPr>
          <w:p w14:paraId="161BD63F">
            <w:pPr>
              <w:pStyle w:val="13"/>
            </w:pPr>
            <w:r>
              <w:t>群众满意度</w:t>
            </w:r>
          </w:p>
        </w:tc>
        <w:tc>
          <w:tcPr>
            <w:tcW w:w="1069" w:type="dxa"/>
            <w:vAlign w:val="center"/>
          </w:tcPr>
          <w:p w14:paraId="016062C5">
            <w:pPr>
              <w:pStyle w:val="13"/>
              <w:ind w:firstLine="0" w:firstLineChars="0"/>
            </w:pPr>
            <w:r>
              <w:t>≥90百分之</w:t>
            </w:r>
          </w:p>
        </w:tc>
        <w:tc>
          <w:tcPr>
            <w:tcW w:w="2321" w:type="dxa"/>
            <w:vAlign w:val="center"/>
          </w:tcPr>
          <w:p w14:paraId="031F2062">
            <w:pPr>
              <w:pStyle w:val="13"/>
              <w:ind w:firstLine="0" w:firstLineChars="0"/>
            </w:pPr>
            <w:r>
              <w:t>《社区矫正实施办法》</w:t>
            </w:r>
          </w:p>
        </w:tc>
      </w:tr>
    </w:tbl>
    <w:p w14:paraId="7C91FCB9">
      <w:pPr>
        <w:sectPr>
          <w:footerReference r:id="rId9" w:type="default"/>
          <w:footerReference r:id="rId10" w:type="even"/>
          <w:pgSz w:w="16840" w:h="11900" w:orient="landscape"/>
          <w:pgMar w:top="1304" w:right="1984" w:bottom="1304" w:left="1134" w:header="720" w:footer="720" w:gutter="0"/>
          <w:pgNumType w:fmt="numberInDash"/>
          <w:cols w:space="720" w:num="1"/>
        </w:sectPr>
      </w:pPr>
    </w:p>
    <w:p w14:paraId="4FF2CFA3">
      <w:pPr>
        <w:spacing w:before="0" w:after="0"/>
        <w:ind w:firstLine="560"/>
        <w:jc w:val="left"/>
        <w:outlineLvl w:val="3"/>
      </w:pPr>
      <w:bookmarkStart w:id="9" w:name="_Toc_4_4_0000000013"/>
      <w:r>
        <w:rPr>
          <w:rFonts w:ascii="方正仿宋_GBK" w:hAnsi="方正仿宋_GBK" w:eastAsia="方正仿宋_GBK" w:cs="方正仿宋_GBK"/>
          <w:color w:val="000000"/>
          <w:sz w:val="28"/>
        </w:rPr>
        <w:t>10.提前下达2022年省级基层公检法司转移支付资金法律援助（冀财政法【2021】63号）绩效目标表</w:t>
      </w:r>
      <w:bookmarkEnd w:id="9"/>
    </w:p>
    <w:tbl>
      <w:tblPr>
        <w:tblStyle w:val="5"/>
        <w:tblW w:w="1311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12"/>
        <w:gridCol w:w="11502"/>
      </w:tblGrid>
      <w:tr w14:paraId="5482C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2" w:type="dxa"/>
            <w:vAlign w:val="center"/>
          </w:tcPr>
          <w:p w14:paraId="1DF7BDF8">
            <w:pPr>
              <w:pStyle w:val="11"/>
            </w:pPr>
            <w:r>
              <w:t>绩效目标</w:t>
            </w:r>
          </w:p>
        </w:tc>
        <w:tc>
          <w:tcPr>
            <w:tcW w:w="11502" w:type="dxa"/>
            <w:vAlign w:val="center"/>
          </w:tcPr>
          <w:p w14:paraId="5A548CAF">
            <w:r>
              <w:rPr>
                <w:rFonts w:ascii="方正书宋_GBK" w:hAnsi="方正书宋_GBK" w:eastAsia="方正书宋_GBK" w:cs="方正书宋_GBK"/>
                <w:sz w:val="21"/>
                <w:szCs w:val="24"/>
                <w:lang w:val="en-US" w:eastAsia="uk-UA" w:bidi="ar-SA"/>
              </w:rPr>
              <w:t>1.扩大法律援助覆盖面，让更多的困难群众都能获得法律援助。</w:t>
            </w:r>
          </w:p>
        </w:tc>
      </w:tr>
    </w:tbl>
    <w:p w14:paraId="1A160C3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130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05"/>
        <w:gridCol w:w="2203"/>
        <w:gridCol w:w="2985"/>
        <w:gridCol w:w="2927"/>
        <w:gridCol w:w="1425"/>
        <w:gridCol w:w="1950"/>
      </w:tblGrid>
      <w:tr w14:paraId="0F564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05" w:type="dxa"/>
            <w:vAlign w:val="center"/>
          </w:tcPr>
          <w:p w14:paraId="7360379D">
            <w:pPr>
              <w:pStyle w:val="11"/>
            </w:pPr>
            <w:r>
              <w:t>一级指标</w:t>
            </w:r>
          </w:p>
        </w:tc>
        <w:tc>
          <w:tcPr>
            <w:tcW w:w="2203" w:type="dxa"/>
            <w:vAlign w:val="center"/>
          </w:tcPr>
          <w:p w14:paraId="69D636F0">
            <w:pPr>
              <w:pStyle w:val="11"/>
            </w:pPr>
            <w:r>
              <w:t>二级指标</w:t>
            </w:r>
          </w:p>
        </w:tc>
        <w:tc>
          <w:tcPr>
            <w:tcW w:w="2985" w:type="dxa"/>
            <w:vAlign w:val="center"/>
          </w:tcPr>
          <w:p w14:paraId="492B4266">
            <w:pPr>
              <w:pStyle w:val="11"/>
            </w:pPr>
            <w:r>
              <w:t>三级指标</w:t>
            </w:r>
          </w:p>
        </w:tc>
        <w:tc>
          <w:tcPr>
            <w:tcW w:w="2927" w:type="dxa"/>
            <w:vAlign w:val="center"/>
          </w:tcPr>
          <w:p w14:paraId="394C7E5B">
            <w:pPr>
              <w:pStyle w:val="11"/>
            </w:pPr>
            <w:r>
              <w:t>绩效指标描述</w:t>
            </w:r>
          </w:p>
        </w:tc>
        <w:tc>
          <w:tcPr>
            <w:tcW w:w="1425" w:type="dxa"/>
            <w:vAlign w:val="center"/>
          </w:tcPr>
          <w:p w14:paraId="07629670">
            <w:pPr>
              <w:pStyle w:val="11"/>
              <w:ind w:firstLine="0" w:firstLineChars="0"/>
            </w:pPr>
            <w:r>
              <w:t>指标值</w:t>
            </w:r>
          </w:p>
        </w:tc>
        <w:tc>
          <w:tcPr>
            <w:tcW w:w="1950" w:type="dxa"/>
            <w:vAlign w:val="center"/>
          </w:tcPr>
          <w:p w14:paraId="4F323E87">
            <w:pPr>
              <w:pStyle w:val="11"/>
              <w:ind w:firstLine="0" w:firstLineChars="0"/>
            </w:pPr>
            <w:r>
              <w:t>指标值确定依据</w:t>
            </w:r>
          </w:p>
        </w:tc>
      </w:tr>
      <w:tr w14:paraId="65EAA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Merge w:val="restart"/>
            <w:vAlign w:val="center"/>
          </w:tcPr>
          <w:p w14:paraId="6BA2D795">
            <w:pPr>
              <w:pStyle w:val="12"/>
            </w:pPr>
            <w:r>
              <w:t>产出指标</w:t>
            </w:r>
          </w:p>
        </w:tc>
        <w:tc>
          <w:tcPr>
            <w:tcW w:w="2203" w:type="dxa"/>
            <w:vAlign w:val="center"/>
          </w:tcPr>
          <w:p w14:paraId="58D32ED5">
            <w:pPr>
              <w:pStyle w:val="13"/>
            </w:pPr>
            <w:r>
              <w:t>数量指标</w:t>
            </w:r>
          </w:p>
        </w:tc>
        <w:tc>
          <w:tcPr>
            <w:tcW w:w="2985" w:type="dxa"/>
            <w:vAlign w:val="center"/>
          </w:tcPr>
          <w:p w14:paraId="7B535762">
            <w:pPr>
              <w:pStyle w:val="13"/>
            </w:pPr>
            <w:r>
              <w:t>法律援助案件受理数（件)</w:t>
            </w:r>
          </w:p>
        </w:tc>
        <w:tc>
          <w:tcPr>
            <w:tcW w:w="2927" w:type="dxa"/>
            <w:vAlign w:val="center"/>
          </w:tcPr>
          <w:p w14:paraId="544CE6C4">
            <w:pPr>
              <w:pStyle w:val="13"/>
            </w:pPr>
            <w:r>
              <w:t>受理法律援助案件数量</w:t>
            </w:r>
          </w:p>
        </w:tc>
        <w:tc>
          <w:tcPr>
            <w:tcW w:w="1425" w:type="dxa"/>
            <w:vAlign w:val="center"/>
          </w:tcPr>
          <w:p w14:paraId="75AC6331">
            <w:pPr>
              <w:pStyle w:val="13"/>
              <w:ind w:firstLine="0" w:firstLineChars="0"/>
            </w:pPr>
            <w:r>
              <w:t>≥50件</w:t>
            </w:r>
          </w:p>
        </w:tc>
        <w:tc>
          <w:tcPr>
            <w:tcW w:w="1950" w:type="dxa"/>
            <w:vAlign w:val="center"/>
          </w:tcPr>
          <w:p w14:paraId="0129EF3F">
            <w:pPr>
              <w:pStyle w:val="13"/>
              <w:ind w:firstLine="0" w:firstLineChars="0"/>
            </w:pPr>
            <w:r>
              <w:t>《河北省法律援助条例》</w:t>
            </w:r>
          </w:p>
        </w:tc>
      </w:tr>
      <w:tr w14:paraId="021DC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Merge w:val="continue"/>
            <w:vAlign w:val="center"/>
          </w:tcPr>
          <w:p w14:paraId="26F5879C"/>
        </w:tc>
        <w:tc>
          <w:tcPr>
            <w:tcW w:w="2203" w:type="dxa"/>
            <w:vAlign w:val="center"/>
          </w:tcPr>
          <w:p w14:paraId="5AF4A67A">
            <w:pPr>
              <w:pStyle w:val="13"/>
            </w:pPr>
            <w:r>
              <w:t>质量指标</w:t>
            </w:r>
          </w:p>
        </w:tc>
        <w:tc>
          <w:tcPr>
            <w:tcW w:w="2985" w:type="dxa"/>
            <w:vAlign w:val="center"/>
          </w:tcPr>
          <w:p w14:paraId="699FF723">
            <w:pPr>
              <w:pStyle w:val="13"/>
            </w:pPr>
            <w:r>
              <w:t>案件受援人投诉率</w:t>
            </w:r>
          </w:p>
        </w:tc>
        <w:tc>
          <w:tcPr>
            <w:tcW w:w="2927" w:type="dxa"/>
            <w:vAlign w:val="center"/>
          </w:tcPr>
          <w:p w14:paraId="76B517A1">
            <w:pPr>
              <w:pStyle w:val="13"/>
            </w:pPr>
            <w:r>
              <w:t>案件受援人投诉率</w:t>
            </w:r>
          </w:p>
        </w:tc>
        <w:tc>
          <w:tcPr>
            <w:tcW w:w="1425" w:type="dxa"/>
            <w:vAlign w:val="center"/>
          </w:tcPr>
          <w:p w14:paraId="719A3B71">
            <w:pPr>
              <w:pStyle w:val="13"/>
              <w:ind w:firstLine="0" w:firstLineChars="0"/>
            </w:pPr>
            <w:r>
              <w:t>≤10百分之</w:t>
            </w:r>
          </w:p>
        </w:tc>
        <w:tc>
          <w:tcPr>
            <w:tcW w:w="1950" w:type="dxa"/>
            <w:vAlign w:val="center"/>
          </w:tcPr>
          <w:p w14:paraId="3E85AAB0">
            <w:pPr>
              <w:pStyle w:val="13"/>
              <w:ind w:firstLine="0" w:firstLineChars="0"/>
            </w:pPr>
            <w:r>
              <w:t>《河北省法律援助条例》</w:t>
            </w:r>
          </w:p>
        </w:tc>
      </w:tr>
      <w:tr w14:paraId="1DAED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Merge w:val="continue"/>
            <w:vAlign w:val="center"/>
          </w:tcPr>
          <w:p w14:paraId="2AA17C5A"/>
        </w:tc>
        <w:tc>
          <w:tcPr>
            <w:tcW w:w="2203" w:type="dxa"/>
            <w:vAlign w:val="center"/>
          </w:tcPr>
          <w:p w14:paraId="19448190">
            <w:pPr>
              <w:pStyle w:val="13"/>
            </w:pPr>
            <w:r>
              <w:t>时效指标</w:t>
            </w:r>
          </w:p>
        </w:tc>
        <w:tc>
          <w:tcPr>
            <w:tcW w:w="2985" w:type="dxa"/>
            <w:vAlign w:val="center"/>
          </w:tcPr>
          <w:p w14:paraId="24E6901B">
            <w:pPr>
              <w:pStyle w:val="13"/>
            </w:pPr>
            <w:r>
              <w:t>资金拨付及时率</w:t>
            </w:r>
          </w:p>
        </w:tc>
        <w:tc>
          <w:tcPr>
            <w:tcW w:w="2927" w:type="dxa"/>
            <w:vAlign w:val="center"/>
          </w:tcPr>
          <w:p w14:paraId="166B3C9D">
            <w:pPr>
              <w:pStyle w:val="13"/>
            </w:pPr>
            <w:r>
              <w:t>资金拨付及时率</w:t>
            </w:r>
          </w:p>
        </w:tc>
        <w:tc>
          <w:tcPr>
            <w:tcW w:w="1425" w:type="dxa"/>
            <w:vAlign w:val="center"/>
          </w:tcPr>
          <w:p w14:paraId="0856458E">
            <w:pPr>
              <w:pStyle w:val="13"/>
              <w:ind w:firstLine="0" w:firstLineChars="0"/>
            </w:pPr>
            <w:r>
              <w:t>≥90百分之</w:t>
            </w:r>
          </w:p>
        </w:tc>
        <w:tc>
          <w:tcPr>
            <w:tcW w:w="1950" w:type="dxa"/>
            <w:vAlign w:val="center"/>
          </w:tcPr>
          <w:p w14:paraId="76018CC9">
            <w:pPr>
              <w:pStyle w:val="13"/>
              <w:ind w:firstLine="0" w:firstLineChars="0"/>
            </w:pPr>
            <w:r>
              <w:t>《河北省法律援助条例》</w:t>
            </w:r>
          </w:p>
        </w:tc>
      </w:tr>
      <w:tr w14:paraId="51907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Merge w:val="continue"/>
            <w:vAlign w:val="center"/>
          </w:tcPr>
          <w:p w14:paraId="1C5D0663"/>
        </w:tc>
        <w:tc>
          <w:tcPr>
            <w:tcW w:w="2203" w:type="dxa"/>
            <w:vAlign w:val="center"/>
          </w:tcPr>
          <w:p w14:paraId="35A5A484">
            <w:pPr>
              <w:pStyle w:val="13"/>
            </w:pPr>
            <w:r>
              <w:t>成本指标</w:t>
            </w:r>
          </w:p>
        </w:tc>
        <w:tc>
          <w:tcPr>
            <w:tcW w:w="2985" w:type="dxa"/>
            <w:vAlign w:val="center"/>
          </w:tcPr>
          <w:p w14:paraId="692E6296">
            <w:pPr>
              <w:pStyle w:val="13"/>
            </w:pPr>
            <w:r>
              <w:t>项目支出的执行率</w:t>
            </w:r>
          </w:p>
        </w:tc>
        <w:tc>
          <w:tcPr>
            <w:tcW w:w="2927" w:type="dxa"/>
            <w:vAlign w:val="center"/>
          </w:tcPr>
          <w:p w14:paraId="6250B614">
            <w:pPr>
              <w:pStyle w:val="13"/>
            </w:pPr>
            <w:r>
              <w:t>项目经费的支出数占预算数的百分比</w:t>
            </w:r>
          </w:p>
        </w:tc>
        <w:tc>
          <w:tcPr>
            <w:tcW w:w="1425" w:type="dxa"/>
            <w:vAlign w:val="center"/>
          </w:tcPr>
          <w:p w14:paraId="4C4E26B9">
            <w:pPr>
              <w:pStyle w:val="13"/>
              <w:ind w:firstLine="0" w:firstLineChars="0"/>
            </w:pPr>
            <w:r>
              <w:t>≥90百分之</w:t>
            </w:r>
          </w:p>
        </w:tc>
        <w:tc>
          <w:tcPr>
            <w:tcW w:w="1950" w:type="dxa"/>
            <w:vAlign w:val="center"/>
          </w:tcPr>
          <w:p w14:paraId="2687AFB2">
            <w:pPr>
              <w:pStyle w:val="13"/>
              <w:ind w:firstLine="0" w:firstLineChars="0"/>
            </w:pPr>
            <w:r>
              <w:t>《河北省法律援助条例》</w:t>
            </w:r>
          </w:p>
        </w:tc>
      </w:tr>
      <w:tr w14:paraId="71023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Merge w:val="restart"/>
            <w:vAlign w:val="center"/>
          </w:tcPr>
          <w:p w14:paraId="6E6E879B">
            <w:pPr>
              <w:pStyle w:val="12"/>
            </w:pPr>
            <w:r>
              <w:t>效益指标</w:t>
            </w:r>
          </w:p>
        </w:tc>
        <w:tc>
          <w:tcPr>
            <w:tcW w:w="2203" w:type="dxa"/>
            <w:vAlign w:val="center"/>
          </w:tcPr>
          <w:p w14:paraId="3B0A4595">
            <w:pPr>
              <w:pStyle w:val="13"/>
            </w:pPr>
            <w:r>
              <w:t>经济效益指标</w:t>
            </w:r>
          </w:p>
        </w:tc>
        <w:tc>
          <w:tcPr>
            <w:tcW w:w="2985" w:type="dxa"/>
            <w:vAlign w:val="center"/>
          </w:tcPr>
          <w:p w14:paraId="3267C233">
            <w:pPr>
              <w:pStyle w:val="13"/>
            </w:pPr>
            <w:r>
              <w:t>单位整体工作</w:t>
            </w:r>
          </w:p>
        </w:tc>
        <w:tc>
          <w:tcPr>
            <w:tcW w:w="2927" w:type="dxa"/>
            <w:vAlign w:val="center"/>
          </w:tcPr>
          <w:p w14:paraId="7304F4DB">
            <w:pPr>
              <w:pStyle w:val="13"/>
            </w:pPr>
            <w:r>
              <w:t>单位整体工作完成率</w:t>
            </w:r>
          </w:p>
        </w:tc>
        <w:tc>
          <w:tcPr>
            <w:tcW w:w="1425" w:type="dxa"/>
            <w:vAlign w:val="center"/>
          </w:tcPr>
          <w:p w14:paraId="5D52BE71">
            <w:pPr>
              <w:pStyle w:val="13"/>
              <w:ind w:firstLine="0" w:firstLineChars="0"/>
            </w:pPr>
            <w:r>
              <w:t>≥90百分之</w:t>
            </w:r>
          </w:p>
        </w:tc>
        <w:tc>
          <w:tcPr>
            <w:tcW w:w="1950" w:type="dxa"/>
            <w:vAlign w:val="center"/>
          </w:tcPr>
          <w:p w14:paraId="45D9F273">
            <w:pPr>
              <w:pStyle w:val="13"/>
              <w:ind w:firstLine="0" w:firstLineChars="0"/>
            </w:pPr>
            <w:r>
              <w:t>《河北省法律援助条例》</w:t>
            </w:r>
          </w:p>
        </w:tc>
      </w:tr>
      <w:tr w14:paraId="345E3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Merge w:val="continue"/>
            <w:vAlign w:val="center"/>
          </w:tcPr>
          <w:p w14:paraId="28D1B352"/>
        </w:tc>
        <w:tc>
          <w:tcPr>
            <w:tcW w:w="2203" w:type="dxa"/>
            <w:vAlign w:val="center"/>
          </w:tcPr>
          <w:p w14:paraId="6D754908">
            <w:pPr>
              <w:pStyle w:val="13"/>
            </w:pPr>
            <w:r>
              <w:t>社会效益指标</w:t>
            </w:r>
          </w:p>
        </w:tc>
        <w:tc>
          <w:tcPr>
            <w:tcW w:w="2985" w:type="dxa"/>
            <w:vAlign w:val="center"/>
          </w:tcPr>
          <w:p w14:paraId="54A7BC4D">
            <w:pPr>
              <w:pStyle w:val="13"/>
            </w:pPr>
            <w:r>
              <w:t>法律援助案件办结率(%)</w:t>
            </w:r>
          </w:p>
        </w:tc>
        <w:tc>
          <w:tcPr>
            <w:tcW w:w="2927" w:type="dxa"/>
            <w:vAlign w:val="center"/>
          </w:tcPr>
          <w:p w14:paraId="24E311E7">
            <w:pPr>
              <w:pStyle w:val="13"/>
            </w:pPr>
            <w:r>
              <w:t>已办结的法律援助案件占受理的法律援助案件比率</w:t>
            </w:r>
          </w:p>
        </w:tc>
        <w:tc>
          <w:tcPr>
            <w:tcW w:w="1425" w:type="dxa"/>
            <w:vAlign w:val="center"/>
          </w:tcPr>
          <w:p w14:paraId="3DFF73FC">
            <w:pPr>
              <w:pStyle w:val="13"/>
              <w:ind w:firstLine="0" w:firstLineChars="0"/>
            </w:pPr>
            <w:r>
              <w:t>100百分之</w:t>
            </w:r>
          </w:p>
        </w:tc>
        <w:tc>
          <w:tcPr>
            <w:tcW w:w="1950" w:type="dxa"/>
            <w:vAlign w:val="center"/>
          </w:tcPr>
          <w:p w14:paraId="4B748B4D">
            <w:pPr>
              <w:pStyle w:val="13"/>
              <w:ind w:firstLine="0" w:firstLineChars="0"/>
            </w:pPr>
            <w:r>
              <w:t>《河北省法律援助条例》</w:t>
            </w:r>
          </w:p>
        </w:tc>
      </w:tr>
      <w:tr w14:paraId="6F7A7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Merge w:val="continue"/>
            <w:vAlign w:val="center"/>
          </w:tcPr>
          <w:p w14:paraId="2F6E9C88"/>
        </w:tc>
        <w:tc>
          <w:tcPr>
            <w:tcW w:w="2203" w:type="dxa"/>
            <w:vAlign w:val="center"/>
          </w:tcPr>
          <w:p w14:paraId="54777DC6">
            <w:pPr>
              <w:pStyle w:val="13"/>
            </w:pPr>
            <w:r>
              <w:t>生态效益指标</w:t>
            </w:r>
          </w:p>
        </w:tc>
        <w:tc>
          <w:tcPr>
            <w:tcW w:w="2985" w:type="dxa"/>
            <w:vAlign w:val="center"/>
          </w:tcPr>
          <w:p w14:paraId="12B6DDC2">
            <w:pPr>
              <w:pStyle w:val="13"/>
            </w:pPr>
            <w:r>
              <w:t>任务计划完成率</w:t>
            </w:r>
          </w:p>
        </w:tc>
        <w:tc>
          <w:tcPr>
            <w:tcW w:w="2927" w:type="dxa"/>
            <w:vAlign w:val="center"/>
          </w:tcPr>
          <w:p w14:paraId="06079239">
            <w:pPr>
              <w:pStyle w:val="13"/>
            </w:pPr>
            <w:r>
              <w:t>任务计划完成率</w:t>
            </w:r>
          </w:p>
        </w:tc>
        <w:tc>
          <w:tcPr>
            <w:tcW w:w="1425" w:type="dxa"/>
            <w:vAlign w:val="center"/>
          </w:tcPr>
          <w:p w14:paraId="0CFD61EE">
            <w:pPr>
              <w:pStyle w:val="13"/>
              <w:ind w:firstLine="0" w:firstLineChars="0"/>
            </w:pPr>
            <w:r>
              <w:t>≥90百分之</w:t>
            </w:r>
          </w:p>
        </w:tc>
        <w:tc>
          <w:tcPr>
            <w:tcW w:w="1950" w:type="dxa"/>
            <w:vAlign w:val="center"/>
          </w:tcPr>
          <w:p w14:paraId="55D8A301">
            <w:pPr>
              <w:pStyle w:val="13"/>
              <w:ind w:firstLine="0" w:firstLineChars="0"/>
            </w:pPr>
            <w:r>
              <w:t>《河北省法律援助条例》</w:t>
            </w:r>
          </w:p>
        </w:tc>
      </w:tr>
      <w:tr w14:paraId="6CA9D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Merge w:val="continue"/>
            <w:vAlign w:val="center"/>
          </w:tcPr>
          <w:p w14:paraId="2803825C"/>
        </w:tc>
        <w:tc>
          <w:tcPr>
            <w:tcW w:w="2203" w:type="dxa"/>
            <w:vAlign w:val="center"/>
          </w:tcPr>
          <w:p w14:paraId="489E1BFB">
            <w:pPr>
              <w:pStyle w:val="13"/>
            </w:pPr>
            <w:r>
              <w:t>可持续影响指标</w:t>
            </w:r>
          </w:p>
        </w:tc>
        <w:tc>
          <w:tcPr>
            <w:tcW w:w="2985" w:type="dxa"/>
            <w:vAlign w:val="center"/>
          </w:tcPr>
          <w:p w14:paraId="3A29DF5C">
            <w:pPr>
              <w:pStyle w:val="13"/>
            </w:pPr>
            <w:r>
              <w:t>实际受理法律援助案件数量</w:t>
            </w:r>
          </w:p>
        </w:tc>
        <w:tc>
          <w:tcPr>
            <w:tcW w:w="2927" w:type="dxa"/>
            <w:vAlign w:val="center"/>
          </w:tcPr>
          <w:p w14:paraId="0B652247">
            <w:pPr>
              <w:pStyle w:val="13"/>
            </w:pPr>
            <w:r>
              <w:t>实际受理案件数量</w:t>
            </w:r>
          </w:p>
        </w:tc>
        <w:tc>
          <w:tcPr>
            <w:tcW w:w="1425" w:type="dxa"/>
            <w:vAlign w:val="center"/>
          </w:tcPr>
          <w:p w14:paraId="792262CD">
            <w:pPr>
              <w:pStyle w:val="13"/>
              <w:ind w:firstLine="0" w:firstLineChars="0"/>
            </w:pPr>
            <w:r>
              <w:t>≥50件</w:t>
            </w:r>
          </w:p>
        </w:tc>
        <w:tc>
          <w:tcPr>
            <w:tcW w:w="1950" w:type="dxa"/>
            <w:vAlign w:val="center"/>
          </w:tcPr>
          <w:p w14:paraId="74DE539F">
            <w:pPr>
              <w:pStyle w:val="13"/>
              <w:ind w:firstLine="0" w:firstLineChars="0"/>
            </w:pPr>
            <w:r>
              <w:t>《河北省法律援助条例》</w:t>
            </w:r>
          </w:p>
        </w:tc>
      </w:tr>
      <w:tr w14:paraId="35FC5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14:paraId="3F2C5E2F">
            <w:pPr>
              <w:pStyle w:val="12"/>
            </w:pPr>
            <w:r>
              <w:t>满意度指标</w:t>
            </w:r>
          </w:p>
        </w:tc>
        <w:tc>
          <w:tcPr>
            <w:tcW w:w="2203" w:type="dxa"/>
            <w:vAlign w:val="center"/>
          </w:tcPr>
          <w:p w14:paraId="1E0B9972">
            <w:pPr>
              <w:pStyle w:val="13"/>
            </w:pPr>
            <w:r>
              <w:t>服务对象满意度指标</w:t>
            </w:r>
          </w:p>
        </w:tc>
        <w:tc>
          <w:tcPr>
            <w:tcW w:w="2985" w:type="dxa"/>
            <w:vAlign w:val="center"/>
          </w:tcPr>
          <w:p w14:paraId="562A8AD4">
            <w:pPr>
              <w:pStyle w:val="13"/>
            </w:pPr>
            <w:r>
              <w:t>群众满意度</w:t>
            </w:r>
          </w:p>
        </w:tc>
        <w:tc>
          <w:tcPr>
            <w:tcW w:w="2927" w:type="dxa"/>
            <w:vAlign w:val="center"/>
          </w:tcPr>
          <w:p w14:paraId="75A2C635">
            <w:pPr>
              <w:pStyle w:val="13"/>
            </w:pPr>
            <w:r>
              <w:t>群众满意度</w:t>
            </w:r>
          </w:p>
        </w:tc>
        <w:tc>
          <w:tcPr>
            <w:tcW w:w="1425" w:type="dxa"/>
            <w:vAlign w:val="center"/>
          </w:tcPr>
          <w:p w14:paraId="37A982BF">
            <w:pPr>
              <w:pStyle w:val="13"/>
              <w:ind w:firstLine="0" w:firstLineChars="0"/>
            </w:pPr>
            <w:r>
              <w:t>≥90百分之</w:t>
            </w:r>
          </w:p>
        </w:tc>
        <w:tc>
          <w:tcPr>
            <w:tcW w:w="1950" w:type="dxa"/>
            <w:vAlign w:val="center"/>
          </w:tcPr>
          <w:p w14:paraId="5D46DBA5">
            <w:pPr>
              <w:pStyle w:val="13"/>
              <w:ind w:firstLine="0" w:firstLineChars="0"/>
            </w:pPr>
            <w:r>
              <w:t>《河北省法律援助条例》</w:t>
            </w:r>
          </w:p>
        </w:tc>
      </w:tr>
    </w:tbl>
    <w:p w14:paraId="129FA658">
      <w:pPr>
        <w:sectPr>
          <w:footerReference r:id="rId11" w:type="default"/>
          <w:footerReference r:id="rId12" w:type="even"/>
          <w:pgSz w:w="16840" w:h="11900" w:orient="landscape"/>
          <w:pgMar w:top="1304" w:right="1984" w:bottom="1304" w:left="1134" w:header="720" w:footer="720" w:gutter="0"/>
          <w:pgNumType w:fmt="numberInDash"/>
          <w:cols w:space="720" w:num="1"/>
        </w:sectPr>
      </w:pPr>
    </w:p>
    <w:p w14:paraId="471724BB">
      <w:pPr>
        <w:spacing w:before="0" w:after="0"/>
        <w:ind w:firstLine="560"/>
        <w:jc w:val="left"/>
        <w:outlineLvl w:val="3"/>
      </w:pPr>
      <w:bookmarkStart w:id="10" w:name="_Toc_4_4_0000000014"/>
      <w:r>
        <w:rPr>
          <w:rFonts w:ascii="方正仿宋_GBK" w:hAnsi="方正仿宋_GBK" w:eastAsia="方正仿宋_GBK" w:cs="方正仿宋_GBK"/>
          <w:color w:val="000000"/>
          <w:sz w:val="28"/>
        </w:rPr>
        <w:t>11.依法治县和依法行政工作经费绩效目标表</w:t>
      </w:r>
      <w:bookmarkEnd w:id="10"/>
    </w:p>
    <w:tbl>
      <w:tblPr>
        <w:tblStyle w:val="5"/>
        <w:tblW w:w="13713"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7"/>
        <w:gridCol w:w="12266"/>
      </w:tblGrid>
      <w:tr w14:paraId="73290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536695E6">
            <w:pPr>
              <w:pStyle w:val="11"/>
            </w:pPr>
            <w:r>
              <w:t>绩效目标</w:t>
            </w:r>
          </w:p>
        </w:tc>
        <w:tc>
          <w:tcPr>
            <w:tcW w:w="12266" w:type="dxa"/>
            <w:vAlign w:val="center"/>
          </w:tcPr>
          <w:p w14:paraId="609835AC">
            <w:r>
              <w:rPr>
                <w:rFonts w:ascii="方正书宋_GBK" w:hAnsi="方正书宋_GBK" w:eastAsia="方正书宋_GBK" w:cs="方正书宋_GBK"/>
                <w:sz w:val="21"/>
                <w:szCs w:val="24"/>
                <w:lang w:val="en-US" w:eastAsia="uk-UA" w:bidi="ar-SA"/>
              </w:rPr>
              <w:t>1.依法承办行政复议案件，做好受政府委托代理的行政诉讼案件的诉讼工作。</w:t>
            </w:r>
          </w:p>
        </w:tc>
      </w:tr>
    </w:tbl>
    <w:p w14:paraId="792B825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1370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3"/>
        <w:gridCol w:w="1890"/>
        <w:gridCol w:w="3030"/>
        <w:gridCol w:w="2415"/>
        <w:gridCol w:w="1590"/>
        <w:gridCol w:w="3337"/>
      </w:tblGrid>
      <w:tr w14:paraId="5079C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43" w:type="dxa"/>
            <w:vAlign w:val="center"/>
          </w:tcPr>
          <w:p w14:paraId="6125E5B2">
            <w:pPr>
              <w:pStyle w:val="11"/>
            </w:pPr>
            <w:r>
              <w:t>一级指标</w:t>
            </w:r>
          </w:p>
        </w:tc>
        <w:tc>
          <w:tcPr>
            <w:tcW w:w="1890" w:type="dxa"/>
            <w:vAlign w:val="center"/>
          </w:tcPr>
          <w:p w14:paraId="4B401427">
            <w:pPr>
              <w:pStyle w:val="11"/>
            </w:pPr>
            <w:r>
              <w:t>二级指标</w:t>
            </w:r>
          </w:p>
        </w:tc>
        <w:tc>
          <w:tcPr>
            <w:tcW w:w="3030" w:type="dxa"/>
            <w:vAlign w:val="center"/>
          </w:tcPr>
          <w:p w14:paraId="747127C6">
            <w:pPr>
              <w:pStyle w:val="11"/>
            </w:pPr>
            <w:r>
              <w:t>三级指标</w:t>
            </w:r>
          </w:p>
        </w:tc>
        <w:tc>
          <w:tcPr>
            <w:tcW w:w="2415" w:type="dxa"/>
            <w:vAlign w:val="center"/>
          </w:tcPr>
          <w:p w14:paraId="1C51536D">
            <w:pPr>
              <w:pStyle w:val="11"/>
            </w:pPr>
            <w:r>
              <w:t>绩效指标描述</w:t>
            </w:r>
          </w:p>
        </w:tc>
        <w:tc>
          <w:tcPr>
            <w:tcW w:w="1590" w:type="dxa"/>
            <w:vAlign w:val="center"/>
          </w:tcPr>
          <w:p w14:paraId="50652F69">
            <w:pPr>
              <w:pStyle w:val="11"/>
              <w:ind w:firstLine="0" w:firstLineChars="0"/>
            </w:pPr>
            <w:r>
              <w:t>指标值</w:t>
            </w:r>
          </w:p>
        </w:tc>
        <w:tc>
          <w:tcPr>
            <w:tcW w:w="3337" w:type="dxa"/>
            <w:vAlign w:val="center"/>
          </w:tcPr>
          <w:p w14:paraId="73F790FB">
            <w:pPr>
              <w:pStyle w:val="11"/>
              <w:ind w:firstLine="0" w:firstLineChars="0"/>
            </w:pPr>
            <w:r>
              <w:t>指标值确定依据</w:t>
            </w:r>
          </w:p>
        </w:tc>
      </w:tr>
      <w:tr w14:paraId="35A5A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5" w:hRule="atLeast"/>
          <w:jc w:val="center"/>
        </w:trPr>
        <w:tc>
          <w:tcPr>
            <w:tcW w:w="1443" w:type="dxa"/>
            <w:vMerge w:val="restart"/>
            <w:vAlign w:val="center"/>
          </w:tcPr>
          <w:p w14:paraId="7B776287">
            <w:pPr>
              <w:pStyle w:val="12"/>
            </w:pPr>
            <w:r>
              <w:t>产出指标</w:t>
            </w:r>
          </w:p>
        </w:tc>
        <w:tc>
          <w:tcPr>
            <w:tcW w:w="1890" w:type="dxa"/>
            <w:vAlign w:val="center"/>
          </w:tcPr>
          <w:p w14:paraId="254BD1E5">
            <w:pPr>
              <w:pStyle w:val="13"/>
            </w:pPr>
            <w:r>
              <w:t>数量指标</w:t>
            </w:r>
          </w:p>
        </w:tc>
        <w:tc>
          <w:tcPr>
            <w:tcW w:w="3030" w:type="dxa"/>
            <w:vAlign w:val="center"/>
          </w:tcPr>
          <w:p w14:paraId="7DB7DEE4">
            <w:pPr>
              <w:pStyle w:val="13"/>
            </w:pPr>
            <w:r>
              <w:t>行政复议案件受理数</w:t>
            </w:r>
          </w:p>
        </w:tc>
        <w:tc>
          <w:tcPr>
            <w:tcW w:w="2415" w:type="dxa"/>
            <w:vAlign w:val="center"/>
          </w:tcPr>
          <w:p w14:paraId="1D6500FC">
            <w:pPr>
              <w:pStyle w:val="13"/>
            </w:pPr>
            <w:r>
              <w:t>行政复议案件受理数</w:t>
            </w:r>
          </w:p>
        </w:tc>
        <w:tc>
          <w:tcPr>
            <w:tcW w:w="1590" w:type="dxa"/>
            <w:vAlign w:val="center"/>
          </w:tcPr>
          <w:p w14:paraId="16048904">
            <w:pPr>
              <w:pStyle w:val="13"/>
              <w:ind w:firstLine="0" w:firstLineChars="0"/>
            </w:pPr>
            <w:r>
              <w:t>≥50件</w:t>
            </w:r>
          </w:p>
        </w:tc>
        <w:tc>
          <w:tcPr>
            <w:tcW w:w="3337" w:type="dxa"/>
            <w:vAlign w:val="center"/>
          </w:tcPr>
          <w:p w14:paraId="6BB2C422">
            <w:pPr>
              <w:pStyle w:val="13"/>
              <w:ind w:firstLine="0" w:firstLineChars="0"/>
            </w:pPr>
            <w:r>
              <w:t>《河北省行政机关行政应诉办法》《中华人民共和国行政复议法》</w:t>
            </w:r>
          </w:p>
        </w:tc>
      </w:tr>
      <w:tr w14:paraId="17B88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3" w:type="dxa"/>
            <w:vMerge w:val="continue"/>
            <w:vAlign w:val="center"/>
          </w:tcPr>
          <w:p w14:paraId="6D60DEA6"/>
        </w:tc>
        <w:tc>
          <w:tcPr>
            <w:tcW w:w="1890" w:type="dxa"/>
            <w:vAlign w:val="center"/>
          </w:tcPr>
          <w:p w14:paraId="12545558">
            <w:pPr>
              <w:pStyle w:val="13"/>
            </w:pPr>
            <w:r>
              <w:t>质量指标</w:t>
            </w:r>
          </w:p>
        </w:tc>
        <w:tc>
          <w:tcPr>
            <w:tcW w:w="3030" w:type="dxa"/>
            <w:vAlign w:val="center"/>
          </w:tcPr>
          <w:p w14:paraId="5B65EF3D">
            <w:pPr>
              <w:pStyle w:val="13"/>
            </w:pPr>
            <w:r>
              <w:t>规范性文件审查率</w:t>
            </w:r>
          </w:p>
        </w:tc>
        <w:tc>
          <w:tcPr>
            <w:tcW w:w="2415" w:type="dxa"/>
            <w:vAlign w:val="center"/>
          </w:tcPr>
          <w:p w14:paraId="733EE3DD">
            <w:pPr>
              <w:pStyle w:val="13"/>
            </w:pPr>
            <w:r>
              <w:t>规范性文件审查率</w:t>
            </w:r>
          </w:p>
        </w:tc>
        <w:tc>
          <w:tcPr>
            <w:tcW w:w="1590" w:type="dxa"/>
            <w:vAlign w:val="center"/>
          </w:tcPr>
          <w:p w14:paraId="7187FA12">
            <w:pPr>
              <w:pStyle w:val="13"/>
              <w:ind w:firstLine="0" w:firstLineChars="0"/>
            </w:pPr>
            <w:r>
              <w:t>≥95百分之</w:t>
            </w:r>
          </w:p>
        </w:tc>
        <w:tc>
          <w:tcPr>
            <w:tcW w:w="3337" w:type="dxa"/>
            <w:vAlign w:val="center"/>
          </w:tcPr>
          <w:p w14:paraId="37AD155D">
            <w:pPr>
              <w:pStyle w:val="13"/>
              <w:ind w:firstLine="0" w:firstLineChars="0"/>
            </w:pPr>
            <w:r>
              <w:t>《河北省行政机关行政应诉办法》《中华人民共和国行政复议法》</w:t>
            </w:r>
          </w:p>
        </w:tc>
      </w:tr>
      <w:tr w14:paraId="301C7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3" w:type="dxa"/>
            <w:vMerge w:val="continue"/>
            <w:vAlign w:val="center"/>
          </w:tcPr>
          <w:p w14:paraId="48F139AA"/>
        </w:tc>
        <w:tc>
          <w:tcPr>
            <w:tcW w:w="1890" w:type="dxa"/>
            <w:vAlign w:val="center"/>
          </w:tcPr>
          <w:p w14:paraId="054C4A5A">
            <w:pPr>
              <w:pStyle w:val="13"/>
            </w:pPr>
            <w:r>
              <w:t>时效指标</w:t>
            </w:r>
          </w:p>
        </w:tc>
        <w:tc>
          <w:tcPr>
            <w:tcW w:w="3030" w:type="dxa"/>
            <w:vAlign w:val="center"/>
          </w:tcPr>
          <w:p w14:paraId="1EB091DF">
            <w:pPr>
              <w:pStyle w:val="13"/>
            </w:pPr>
            <w:r>
              <w:t>行政复议、应诉建议提案工作完成率</w:t>
            </w:r>
          </w:p>
        </w:tc>
        <w:tc>
          <w:tcPr>
            <w:tcW w:w="2415" w:type="dxa"/>
            <w:vAlign w:val="center"/>
          </w:tcPr>
          <w:p w14:paraId="74D331BE">
            <w:pPr>
              <w:pStyle w:val="13"/>
            </w:pPr>
            <w:r>
              <w:t>行政复议、应诉建议提案工作完成率</w:t>
            </w:r>
          </w:p>
        </w:tc>
        <w:tc>
          <w:tcPr>
            <w:tcW w:w="1590" w:type="dxa"/>
            <w:vAlign w:val="center"/>
          </w:tcPr>
          <w:p w14:paraId="6B8F0314">
            <w:pPr>
              <w:pStyle w:val="13"/>
              <w:ind w:firstLine="0" w:firstLineChars="0"/>
            </w:pPr>
            <w:r>
              <w:t>≥95百分之</w:t>
            </w:r>
          </w:p>
        </w:tc>
        <w:tc>
          <w:tcPr>
            <w:tcW w:w="3337" w:type="dxa"/>
            <w:vAlign w:val="center"/>
          </w:tcPr>
          <w:p w14:paraId="44CC4EFE">
            <w:pPr>
              <w:pStyle w:val="13"/>
              <w:ind w:firstLine="0" w:firstLineChars="0"/>
            </w:pPr>
            <w:r>
              <w:t>《河北省行政机关行政应诉办法》《中华人民共和国行政复议法》</w:t>
            </w:r>
          </w:p>
        </w:tc>
      </w:tr>
      <w:tr w14:paraId="73E37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3" w:type="dxa"/>
            <w:vMerge w:val="continue"/>
            <w:vAlign w:val="center"/>
          </w:tcPr>
          <w:p w14:paraId="4DCDDF73"/>
        </w:tc>
        <w:tc>
          <w:tcPr>
            <w:tcW w:w="1890" w:type="dxa"/>
            <w:vAlign w:val="center"/>
          </w:tcPr>
          <w:p w14:paraId="64D001CE">
            <w:pPr>
              <w:pStyle w:val="13"/>
            </w:pPr>
            <w:r>
              <w:t>成本指标</w:t>
            </w:r>
          </w:p>
        </w:tc>
        <w:tc>
          <w:tcPr>
            <w:tcW w:w="3030" w:type="dxa"/>
            <w:vAlign w:val="center"/>
          </w:tcPr>
          <w:p w14:paraId="42E5F599">
            <w:pPr>
              <w:pStyle w:val="13"/>
            </w:pPr>
            <w:r>
              <w:t>按预算资金完成率</w:t>
            </w:r>
          </w:p>
        </w:tc>
        <w:tc>
          <w:tcPr>
            <w:tcW w:w="2415" w:type="dxa"/>
            <w:vAlign w:val="center"/>
          </w:tcPr>
          <w:p w14:paraId="614CE9C3">
            <w:pPr>
              <w:pStyle w:val="13"/>
            </w:pPr>
            <w:r>
              <w:t>按预算资金完成率</w:t>
            </w:r>
          </w:p>
        </w:tc>
        <w:tc>
          <w:tcPr>
            <w:tcW w:w="1590" w:type="dxa"/>
            <w:vAlign w:val="center"/>
          </w:tcPr>
          <w:p w14:paraId="2FFB1F57">
            <w:pPr>
              <w:pStyle w:val="13"/>
              <w:ind w:firstLine="0" w:firstLineChars="0"/>
            </w:pPr>
            <w:r>
              <w:t>≥90百分之</w:t>
            </w:r>
          </w:p>
        </w:tc>
        <w:tc>
          <w:tcPr>
            <w:tcW w:w="3337" w:type="dxa"/>
            <w:vAlign w:val="center"/>
          </w:tcPr>
          <w:p w14:paraId="76B70646">
            <w:pPr>
              <w:pStyle w:val="13"/>
              <w:ind w:firstLine="0" w:firstLineChars="0"/>
            </w:pPr>
            <w:r>
              <w:t>《河北省行政机关行政应诉办法》《中华人民共和国行政复议法》</w:t>
            </w:r>
          </w:p>
        </w:tc>
      </w:tr>
      <w:tr w14:paraId="05074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3" w:type="dxa"/>
            <w:vMerge w:val="restart"/>
            <w:vAlign w:val="center"/>
          </w:tcPr>
          <w:p w14:paraId="15BA7A21">
            <w:pPr>
              <w:pStyle w:val="12"/>
            </w:pPr>
            <w:r>
              <w:t>效益指标</w:t>
            </w:r>
          </w:p>
        </w:tc>
        <w:tc>
          <w:tcPr>
            <w:tcW w:w="1890" w:type="dxa"/>
            <w:vAlign w:val="center"/>
          </w:tcPr>
          <w:p w14:paraId="692C6EAD">
            <w:pPr>
              <w:pStyle w:val="13"/>
            </w:pPr>
            <w:r>
              <w:t>经济效益指标</w:t>
            </w:r>
          </w:p>
        </w:tc>
        <w:tc>
          <w:tcPr>
            <w:tcW w:w="3030" w:type="dxa"/>
            <w:vAlign w:val="center"/>
          </w:tcPr>
          <w:p w14:paraId="39E40DC9">
            <w:pPr>
              <w:pStyle w:val="13"/>
            </w:pPr>
            <w:r>
              <w:t>资金的使用效率</w:t>
            </w:r>
          </w:p>
        </w:tc>
        <w:tc>
          <w:tcPr>
            <w:tcW w:w="2415" w:type="dxa"/>
            <w:vAlign w:val="center"/>
          </w:tcPr>
          <w:p w14:paraId="0D86CC00">
            <w:pPr>
              <w:pStyle w:val="13"/>
            </w:pPr>
            <w:r>
              <w:t>资金的使用效率</w:t>
            </w:r>
          </w:p>
        </w:tc>
        <w:tc>
          <w:tcPr>
            <w:tcW w:w="1590" w:type="dxa"/>
            <w:vAlign w:val="center"/>
          </w:tcPr>
          <w:p w14:paraId="247F24E2">
            <w:pPr>
              <w:pStyle w:val="13"/>
              <w:ind w:firstLine="0" w:firstLineChars="0"/>
            </w:pPr>
            <w:r>
              <w:t>≥90百分之</w:t>
            </w:r>
          </w:p>
        </w:tc>
        <w:tc>
          <w:tcPr>
            <w:tcW w:w="3337" w:type="dxa"/>
            <w:vAlign w:val="center"/>
          </w:tcPr>
          <w:p w14:paraId="665621C6">
            <w:pPr>
              <w:pStyle w:val="13"/>
              <w:ind w:firstLine="0" w:firstLineChars="0"/>
            </w:pPr>
            <w:r>
              <w:t>《河北省行政机关行政应诉办法》《中华人民共和国行政复议法》</w:t>
            </w:r>
          </w:p>
        </w:tc>
      </w:tr>
      <w:tr w14:paraId="4719B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3" w:type="dxa"/>
            <w:vMerge w:val="continue"/>
            <w:vAlign w:val="center"/>
          </w:tcPr>
          <w:p w14:paraId="3CA2017A"/>
        </w:tc>
        <w:tc>
          <w:tcPr>
            <w:tcW w:w="1890" w:type="dxa"/>
            <w:vAlign w:val="center"/>
          </w:tcPr>
          <w:p w14:paraId="7FCA84AC">
            <w:pPr>
              <w:pStyle w:val="13"/>
            </w:pPr>
            <w:r>
              <w:t>社会效益指标</w:t>
            </w:r>
          </w:p>
        </w:tc>
        <w:tc>
          <w:tcPr>
            <w:tcW w:w="3030" w:type="dxa"/>
            <w:vAlign w:val="center"/>
          </w:tcPr>
          <w:p w14:paraId="155DD70B">
            <w:pPr>
              <w:pStyle w:val="13"/>
            </w:pPr>
            <w:r>
              <w:t>行政复议案件办结率</w:t>
            </w:r>
          </w:p>
        </w:tc>
        <w:tc>
          <w:tcPr>
            <w:tcW w:w="2415" w:type="dxa"/>
            <w:vAlign w:val="center"/>
          </w:tcPr>
          <w:p w14:paraId="7408383C">
            <w:pPr>
              <w:pStyle w:val="13"/>
            </w:pPr>
            <w:r>
              <w:t>行政复议案件办结率</w:t>
            </w:r>
          </w:p>
        </w:tc>
        <w:tc>
          <w:tcPr>
            <w:tcW w:w="1590" w:type="dxa"/>
            <w:vAlign w:val="center"/>
          </w:tcPr>
          <w:p w14:paraId="342844B7">
            <w:pPr>
              <w:pStyle w:val="13"/>
              <w:ind w:firstLine="0" w:firstLineChars="0"/>
            </w:pPr>
            <w:r>
              <w:t>100百分之</w:t>
            </w:r>
          </w:p>
        </w:tc>
        <w:tc>
          <w:tcPr>
            <w:tcW w:w="3337" w:type="dxa"/>
            <w:vAlign w:val="center"/>
          </w:tcPr>
          <w:p w14:paraId="7DF525F0">
            <w:pPr>
              <w:pStyle w:val="13"/>
              <w:ind w:firstLine="0" w:firstLineChars="0"/>
            </w:pPr>
            <w:r>
              <w:t>《河北省行政机关行政应诉办法》《中华人民共和国行政复议法》</w:t>
            </w:r>
          </w:p>
        </w:tc>
      </w:tr>
      <w:tr w14:paraId="41112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3" w:type="dxa"/>
            <w:vMerge w:val="continue"/>
            <w:vAlign w:val="center"/>
          </w:tcPr>
          <w:p w14:paraId="19608DFB"/>
        </w:tc>
        <w:tc>
          <w:tcPr>
            <w:tcW w:w="1890" w:type="dxa"/>
            <w:vAlign w:val="center"/>
          </w:tcPr>
          <w:p w14:paraId="64A238E2">
            <w:pPr>
              <w:pStyle w:val="13"/>
            </w:pPr>
            <w:r>
              <w:t>生态效益指标</w:t>
            </w:r>
          </w:p>
        </w:tc>
        <w:tc>
          <w:tcPr>
            <w:tcW w:w="3030" w:type="dxa"/>
            <w:vAlign w:val="center"/>
          </w:tcPr>
          <w:p w14:paraId="262F07F7">
            <w:pPr>
              <w:pStyle w:val="13"/>
            </w:pPr>
            <w:r>
              <w:t>生态效益指标</w:t>
            </w:r>
          </w:p>
        </w:tc>
        <w:tc>
          <w:tcPr>
            <w:tcW w:w="2415" w:type="dxa"/>
            <w:vAlign w:val="center"/>
          </w:tcPr>
          <w:p w14:paraId="5E97EADE">
            <w:pPr>
              <w:pStyle w:val="13"/>
            </w:pPr>
            <w:r>
              <w:t>生态效益指标</w:t>
            </w:r>
          </w:p>
        </w:tc>
        <w:tc>
          <w:tcPr>
            <w:tcW w:w="1590" w:type="dxa"/>
            <w:vAlign w:val="center"/>
          </w:tcPr>
          <w:p w14:paraId="617B2670">
            <w:pPr>
              <w:pStyle w:val="13"/>
              <w:ind w:firstLine="0" w:firstLineChars="0"/>
            </w:pPr>
            <w:r>
              <w:t>生态效益指标</w:t>
            </w:r>
          </w:p>
        </w:tc>
        <w:tc>
          <w:tcPr>
            <w:tcW w:w="3337" w:type="dxa"/>
            <w:vAlign w:val="center"/>
          </w:tcPr>
          <w:p w14:paraId="64C42DD0">
            <w:pPr>
              <w:pStyle w:val="13"/>
              <w:ind w:firstLine="0" w:firstLineChars="0"/>
            </w:pPr>
            <w:r>
              <w:t>《河北省行政机关行政应诉办法》《中华人民共和国行政复议法》</w:t>
            </w:r>
          </w:p>
        </w:tc>
      </w:tr>
      <w:tr w14:paraId="15577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3" w:type="dxa"/>
            <w:vMerge w:val="continue"/>
            <w:vAlign w:val="center"/>
          </w:tcPr>
          <w:p w14:paraId="19C4AA62"/>
        </w:tc>
        <w:tc>
          <w:tcPr>
            <w:tcW w:w="1890" w:type="dxa"/>
            <w:vAlign w:val="center"/>
          </w:tcPr>
          <w:p w14:paraId="71C86768">
            <w:pPr>
              <w:pStyle w:val="13"/>
            </w:pPr>
            <w:r>
              <w:t>可持续影响指标</w:t>
            </w:r>
          </w:p>
        </w:tc>
        <w:tc>
          <w:tcPr>
            <w:tcW w:w="3030" w:type="dxa"/>
            <w:vAlign w:val="center"/>
          </w:tcPr>
          <w:p w14:paraId="20529CEE">
            <w:pPr>
              <w:pStyle w:val="13"/>
            </w:pPr>
            <w:r>
              <w:t>实际受理行政复议案件数量</w:t>
            </w:r>
          </w:p>
        </w:tc>
        <w:tc>
          <w:tcPr>
            <w:tcW w:w="2415" w:type="dxa"/>
            <w:vAlign w:val="center"/>
          </w:tcPr>
          <w:p w14:paraId="415FCC45">
            <w:pPr>
              <w:pStyle w:val="13"/>
            </w:pPr>
            <w:r>
              <w:t>实际受理行政复议案件数量</w:t>
            </w:r>
          </w:p>
        </w:tc>
        <w:tc>
          <w:tcPr>
            <w:tcW w:w="1590" w:type="dxa"/>
            <w:vAlign w:val="center"/>
          </w:tcPr>
          <w:p w14:paraId="5400E1FE">
            <w:pPr>
              <w:pStyle w:val="13"/>
              <w:ind w:firstLine="0" w:firstLineChars="0"/>
            </w:pPr>
            <w:r>
              <w:t>≥50件</w:t>
            </w:r>
          </w:p>
        </w:tc>
        <w:tc>
          <w:tcPr>
            <w:tcW w:w="3337" w:type="dxa"/>
            <w:vAlign w:val="center"/>
          </w:tcPr>
          <w:p w14:paraId="16F6DC04">
            <w:pPr>
              <w:pStyle w:val="13"/>
              <w:ind w:firstLine="0" w:firstLineChars="0"/>
            </w:pPr>
            <w:r>
              <w:t>《河北省行政机关行政应诉办法》《中华人民共和国行政复议法》</w:t>
            </w:r>
          </w:p>
        </w:tc>
      </w:tr>
      <w:tr w14:paraId="1FD91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3" w:type="dxa"/>
            <w:vAlign w:val="center"/>
          </w:tcPr>
          <w:p w14:paraId="645DCF63">
            <w:pPr>
              <w:pStyle w:val="12"/>
            </w:pPr>
            <w:r>
              <w:t>满意度指标</w:t>
            </w:r>
          </w:p>
        </w:tc>
        <w:tc>
          <w:tcPr>
            <w:tcW w:w="1890" w:type="dxa"/>
            <w:vAlign w:val="center"/>
          </w:tcPr>
          <w:p w14:paraId="6EAA25C1">
            <w:pPr>
              <w:pStyle w:val="13"/>
            </w:pPr>
            <w:r>
              <w:t>服务对象满意度指标</w:t>
            </w:r>
          </w:p>
        </w:tc>
        <w:tc>
          <w:tcPr>
            <w:tcW w:w="3030" w:type="dxa"/>
            <w:vAlign w:val="center"/>
          </w:tcPr>
          <w:p w14:paraId="68D2F91E">
            <w:pPr>
              <w:pStyle w:val="13"/>
            </w:pPr>
            <w:r>
              <w:t>群众满意度</w:t>
            </w:r>
          </w:p>
        </w:tc>
        <w:tc>
          <w:tcPr>
            <w:tcW w:w="2415" w:type="dxa"/>
            <w:vAlign w:val="center"/>
          </w:tcPr>
          <w:p w14:paraId="51B81E70">
            <w:pPr>
              <w:pStyle w:val="13"/>
            </w:pPr>
            <w:r>
              <w:t>群众满意度</w:t>
            </w:r>
          </w:p>
        </w:tc>
        <w:tc>
          <w:tcPr>
            <w:tcW w:w="1590" w:type="dxa"/>
            <w:vAlign w:val="center"/>
          </w:tcPr>
          <w:p w14:paraId="2B41F19A">
            <w:pPr>
              <w:pStyle w:val="13"/>
              <w:ind w:firstLine="0" w:firstLineChars="0"/>
            </w:pPr>
            <w:r>
              <w:t>≥90百分之</w:t>
            </w:r>
          </w:p>
        </w:tc>
        <w:tc>
          <w:tcPr>
            <w:tcW w:w="3337" w:type="dxa"/>
            <w:vAlign w:val="center"/>
          </w:tcPr>
          <w:p w14:paraId="607225F0">
            <w:pPr>
              <w:pStyle w:val="13"/>
              <w:ind w:firstLine="0" w:firstLineChars="0"/>
            </w:pPr>
            <w:r>
              <w:t>《河北省行政机关行政应诉办法》《中华人民共和国行政复议法》</w:t>
            </w:r>
          </w:p>
        </w:tc>
      </w:tr>
    </w:tbl>
    <w:p w14:paraId="4915DEB9">
      <w:pPr>
        <w:spacing w:before="0" w:after="0"/>
        <w:ind w:firstLine="560"/>
        <w:jc w:val="left"/>
        <w:outlineLvl w:val="3"/>
        <w:rPr>
          <w:rFonts w:ascii="方正仿宋_GBK" w:hAnsi="方正仿宋_GBK" w:eastAsia="方正仿宋_GBK" w:cs="方正仿宋_GBK"/>
          <w:color w:val="000000"/>
          <w:sz w:val="28"/>
        </w:rPr>
      </w:pPr>
    </w:p>
    <w:p w14:paraId="44CA5EAD">
      <w:pPr>
        <w:spacing w:before="0" w:after="0"/>
        <w:ind w:firstLine="560"/>
        <w:jc w:val="left"/>
        <w:outlineLvl w:val="3"/>
        <w:rPr>
          <w:rFonts w:ascii="方正仿宋_GBK" w:hAnsi="方正仿宋_GBK" w:eastAsia="方正仿宋_GBK" w:cs="方正仿宋_GBK"/>
          <w:color w:val="000000"/>
          <w:sz w:val="28"/>
        </w:rPr>
      </w:pPr>
    </w:p>
    <w:p w14:paraId="5950CC3D">
      <w:pPr>
        <w:spacing w:before="0" w:after="0"/>
        <w:ind w:firstLine="560"/>
        <w:jc w:val="left"/>
        <w:outlineLvl w:val="3"/>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rPr>
        <w:t>创建国家级“智慧矫正中心”资金</w:t>
      </w:r>
      <w:r>
        <w:rPr>
          <w:rFonts w:ascii="方正仿宋_GBK" w:hAnsi="方正仿宋_GBK" w:eastAsia="方正仿宋_GBK" w:cs="方正仿宋_GBK"/>
          <w:color w:val="000000"/>
          <w:sz w:val="28"/>
        </w:rPr>
        <w:t>绩效目标表</w:t>
      </w:r>
    </w:p>
    <w:tbl>
      <w:tblPr>
        <w:tblStyle w:val="5"/>
        <w:tblW w:w="13043"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42"/>
        <w:gridCol w:w="11301"/>
      </w:tblGrid>
      <w:tr w14:paraId="7AA65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2" w:type="dxa"/>
            <w:vAlign w:val="center"/>
          </w:tcPr>
          <w:p w14:paraId="2ED5AB42">
            <w:pPr>
              <w:pStyle w:val="11"/>
            </w:pPr>
            <w:r>
              <w:t>绩效目标</w:t>
            </w:r>
          </w:p>
        </w:tc>
        <w:tc>
          <w:tcPr>
            <w:tcW w:w="11301" w:type="dxa"/>
            <w:vAlign w:val="center"/>
          </w:tcPr>
          <w:p w14:paraId="2E87A81C">
            <w:r>
              <w:rPr>
                <w:rFonts w:hint="eastAsia" w:ascii="方正书宋_GBK" w:hAnsi="方正书宋_GBK" w:eastAsia="方正书宋_GBK" w:cs="方正书宋_GBK"/>
                <w:sz w:val="21"/>
                <w:szCs w:val="24"/>
                <w:lang w:val="en-US" w:eastAsia="zh-CN" w:bidi="ar-SA"/>
              </w:rPr>
              <w:t>1.</w:t>
            </w:r>
            <w:r>
              <w:rPr>
                <w:rFonts w:hint="eastAsia" w:ascii="方正书宋_GBK" w:hAnsi="方正书宋_GBK" w:eastAsia="方正书宋_GBK" w:cs="方正书宋_GBK"/>
                <w:sz w:val="21"/>
                <w:szCs w:val="24"/>
                <w:lang w:val="en-US" w:eastAsia="uk-UA" w:bidi="ar-SA"/>
              </w:rPr>
              <w:t>加快推进“智慧矫正中心“建设工作。</w:t>
            </w:r>
          </w:p>
        </w:tc>
      </w:tr>
    </w:tbl>
    <w:p w14:paraId="443474F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1303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39"/>
        <w:gridCol w:w="2115"/>
        <w:gridCol w:w="3045"/>
        <w:gridCol w:w="2741"/>
        <w:gridCol w:w="1065"/>
        <w:gridCol w:w="2332"/>
      </w:tblGrid>
      <w:tr w14:paraId="6CCDB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739" w:type="dxa"/>
            <w:vAlign w:val="center"/>
          </w:tcPr>
          <w:p w14:paraId="6D387E3A">
            <w:pPr>
              <w:pStyle w:val="11"/>
            </w:pPr>
            <w:r>
              <w:t>一级指标</w:t>
            </w:r>
          </w:p>
        </w:tc>
        <w:tc>
          <w:tcPr>
            <w:tcW w:w="2115" w:type="dxa"/>
            <w:vAlign w:val="center"/>
          </w:tcPr>
          <w:p w14:paraId="36A1DC67">
            <w:pPr>
              <w:pStyle w:val="11"/>
            </w:pPr>
            <w:r>
              <w:t>二级指标</w:t>
            </w:r>
          </w:p>
        </w:tc>
        <w:tc>
          <w:tcPr>
            <w:tcW w:w="3045" w:type="dxa"/>
            <w:vAlign w:val="center"/>
          </w:tcPr>
          <w:p w14:paraId="7AA9BCE5">
            <w:pPr>
              <w:pStyle w:val="11"/>
            </w:pPr>
            <w:r>
              <w:t>三级指标</w:t>
            </w:r>
          </w:p>
        </w:tc>
        <w:tc>
          <w:tcPr>
            <w:tcW w:w="2741" w:type="dxa"/>
            <w:vAlign w:val="center"/>
          </w:tcPr>
          <w:p w14:paraId="0D9031C2">
            <w:pPr>
              <w:pStyle w:val="11"/>
            </w:pPr>
            <w:r>
              <w:t>绩效指标描述</w:t>
            </w:r>
          </w:p>
        </w:tc>
        <w:tc>
          <w:tcPr>
            <w:tcW w:w="1065" w:type="dxa"/>
            <w:vAlign w:val="center"/>
          </w:tcPr>
          <w:p w14:paraId="051D5945">
            <w:pPr>
              <w:pStyle w:val="11"/>
              <w:ind w:firstLine="0" w:firstLineChars="0"/>
            </w:pPr>
            <w:r>
              <w:t>指标值</w:t>
            </w:r>
          </w:p>
        </w:tc>
        <w:tc>
          <w:tcPr>
            <w:tcW w:w="2332" w:type="dxa"/>
            <w:vAlign w:val="center"/>
          </w:tcPr>
          <w:p w14:paraId="2420353F">
            <w:pPr>
              <w:pStyle w:val="11"/>
              <w:ind w:firstLine="0" w:firstLineChars="0"/>
            </w:pPr>
            <w:r>
              <w:t>指标值确定依据</w:t>
            </w:r>
          </w:p>
        </w:tc>
      </w:tr>
      <w:tr w14:paraId="6F333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0" w:hRule="atLeast"/>
          <w:jc w:val="center"/>
        </w:trPr>
        <w:tc>
          <w:tcPr>
            <w:tcW w:w="1739" w:type="dxa"/>
            <w:vMerge w:val="restart"/>
            <w:vAlign w:val="center"/>
          </w:tcPr>
          <w:p w14:paraId="2DA46366">
            <w:pPr>
              <w:pStyle w:val="12"/>
            </w:pPr>
            <w:r>
              <w:t>产出指标</w:t>
            </w:r>
          </w:p>
        </w:tc>
        <w:tc>
          <w:tcPr>
            <w:tcW w:w="2115" w:type="dxa"/>
            <w:vAlign w:val="center"/>
          </w:tcPr>
          <w:p w14:paraId="06FF2B7C">
            <w:pPr>
              <w:pStyle w:val="13"/>
            </w:pPr>
            <w:r>
              <w:t>数量指标</w:t>
            </w:r>
          </w:p>
        </w:tc>
        <w:tc>
          <w:tcPr>
            <w:tcW w:w="3045" w:type="dxa"/>
            <w:vAlign w:val="center"/>
          </w:tcPr>
          <w:p w14:paraId="5AC223C7">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社区矫正人员月度教育学习时间低于8小时的人数</w:t>
            </w:r>
          </w:p>
        </w:tc>
        <w:tc>
          <w:tcPr>
            <w:tcW w:w="2741" w:type="dxa"/>
            <w:vAlign w:val="center"/>
          </w:tcPr>
          <w:p w14:paraId="0C2ED5AE">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社区矫正人员月度教育学习时间低于8小时的人数</w:t>
            </w:r>
          </w:p>
        </w:tc>
        <w:tc>
          <w:tcPr>
            <w:tcW w:w="1065" w:type="dxa"/>
            <w:vAlign w:val="center"/>
          </w:tcPr>
          <w:p w14:paraId="4EF6DC3E">
            <w:pPr>
              <w:pStyle w:val="13"/>
              <w:ind w:firstLine="0" w:firstLineChars="0"/>
            </w:pPr>
            <w:r>
              <w:t>≤6人次</w:t>
            </w:r>
          </w:p>
        </w:tc>
        <w:tc>
          <w:tcPr>
            <w:tcW w:w="2332" w:type="dxa"/>
            <w:vAlign w:val="center"/>
          </w:tcPr>
          <w:p w14:paraId="17B380C3">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《社区矫正实施办法》</w:t>
            </w:r>
          </w:p>
        </w:tc>
      </w:tr>
      <w:tr w14:paraId="1E6EC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9" w:type="dxa"/>
            <w:vMerge w:val="continue"/>
            <w:vAlign w:val="center"/>
          </w:tcPr>
          <w:p w14:paraId="770DF422"/>
        </w:tc>
        <w:tc>
          <w:tcPr>
            <w:tcW w:w="2115" w:type="dxa"/>
            <w:vAlign w:val="center"/>
          </w:tcPr>
          <w:p w14:paraId="7344F914">
            <w:pPr>
              <w:pStyle w:val="13"/>
            </w:pPr>
            <w:r>
              <w:t>质量指标</w:t>
            </w:r>
          </w:p>
        </w:tc>
        <w:tc>
          <w:tcPr>
            <w:tcW w:w="3045" w:type="dxa"/>
            <w:vAlign w:val="center"/>
          </w:tcPr>
          <w:p w14:paraId="007BCE0E">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社区矫正执法人员学习时间达标率</w:t>
            </w:r>
          </w:p>
        </w:tc>
        <w:tc>
          <w:tcPr>
            <w:tcW w:w="2741" w:type="dxa"/>
            <w:vAlign w:val="center"/>
          </w:tcPr>
          <w:p w14:paraId="7765B319">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社区矫正执法人员学习时间达标率</w:t>
            </w:r>
          </w:p>
        </w:tc>
        <w:tc>
          <w:tcPr>
            <w:tcW w:w="1065" w:type="dxa"/>
            <w:vAlign w:val="center"/>
          </w:tcPr>
          <w:p w14:paraId="5A3A1454">
            <w:pPr>
              <w:pStyle w:val="13"/>
              <w:ind w:firstLine="0" w:firstLineChars="0"/>
            </w:pPr>
            <w:r>
              <w:t>≥9</w:t>
            </w:r>
            <w:r>
              <w:rPr>
                <w:rFonts w:hint="eastAsia"/>
                <w:lang w:val="en-US" w:eastAsia="zh-CN"/>
              </w:rPr>
              <w:t>0</w:t>
            </w:r>
            <w:r>
              <w:t>百分之</w:t>
            </w:r>
          </w:p>
        </w:tc>
        <w:tc>
          <w:tcPr>
            <w:tcW w:w="2332" w:type="dxa"/>
            <w:vAlign w:val="center"/>
          </w:tcPr>
          <w:p w14:paraId="338452EF">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《社区矫正实施办法》</w:t>
            </w:r>
          </w:p>
        </w:tc>
      </w:tr>
      <w:tr w14:paraId="02F7D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9" w:type="dxa"/>
            <w:vMerge w:val="continue"/>
            <w:vAlign w:val="center"/>
          </w:tcPr>
          <w:p w14:paraId="5C2F4C75"/>
        </w:tc>
        <w:tc>
          <w:tcPr>
            <w:tcW w:w="2115" w:type="dxa"/>
            <w:vAlign w:val="center"/>
          </w:tcPr>
          <w:p w14:paraId="2D0F2D05">
            <w:pPr>
              <w:pStyle w:val="13"/>
            </w:pPr>
            <w:r>
              <w:t>时效指标</w:t>
            </w:r>
          </w:p>
        </w:tc>
        <w:tc>
          <w:tcPr>
            <w:tcW w:w="3045" w:type="dxa"/>
            <w:vAlign w:val="center"/>
          </w:tcPr>
          <w:p w14:paraId="34F49BB3">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资金拨付及时率</w:t>
            </w:r>
          </w:p>
        </w:tc>
        <w:tc>
          <w:tcPr>
            <w:tcW w:w="2741" w:type="dxa"/>
            <w:vAlign w:val="center"/>
          </w:tcPr>
          <w:p w14:paraId="4F3C081D">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资金拨付及时率</w:t>
            </w:r>
          </w:p>
        </w:tc>
        <w:tc>
          <w:tcPr>
            <w:tcW w:w="1065" w:type="dxa"/>
            <w:vAlign w:val="center"/>
          </w:tcPr>
          <w:p w14:paraId="7F3E0F38">
            <w:pPr>
              <w:pStyle w:val="13"/>
              <w:ind w:firstLine="0" w:firstLineChars="0"/>
            </w:pPr>
            <w:r>
              <w:t>≥95百分之</w:t>
            </w:r>
          </w:p>
        </w:tc>
        <w:tc>
          <w:tcPr>
            <w:tcW w:w="2332" w:type="dxa"/>
            <w:vAlign w:val="center"/>
          </w:tcPr>
          <w:p w14:paraId="198843A4">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《社区矫正实施办法》</w:t>
            </w:r>
          </w:p>
        </w:tc>
      </w:tr>
      <w:tr w14:paraId="0A5F9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9" w:type="dxa"/>
            <w:vMerge w:val="continue"/>
            <w:vAlign w:val="center"/>
          </w:tcPr>
          <w:p w14:paraId="0B19A143"/>
        </w:tc>
        <w:tc>
          <w:tcPr>
            <w:tcW w:w="2115" w:type="dxa"/>
            <w:vAlign w:val="center"/>
          </w:tcPr>
          <w:p w14:paraId="59FE87C5">
            <w:pPr>
              <w:pStyle w:val="13"/>
            </w:pPr>
            <w:r>
              <w:t>成本指标</w:t>
            </w:r>
          </w:p>
        </w:tc>
        <w:tc>
          <w:tcPr>
            <w:tcW w:w="3045" w:type="dxa"/>
            <w:vAlign w:val="top"/>
          </w:tcPr>
          <w:p w14:paraId="3F86F2DA">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按预算资金完成率</w:t>
            </w:r>
          </w:p>
        </w:tc>
        <w:tc>
          <w:tcPr>
            <w:tcW w:w="2741" w:type="dxa"/>
            <w:vAlign w:val="top"/>
          </w:tcPr>
          <w:p w14:paraId="72494470">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按预算资金完成率</w:t>
            </w:r>
          </w:p>
        </w:tc>
        <w:tc>
          <w:tcPr>
            <w:tcW w:w="1065" w:type="dxa"/>
            <w:vAlign w:val="center"/>
          </w:tcPr>
          <w:p w14:paraId="5DB7584F">
            <w:pPr>
              <w:pStyle w:val="13"/>
              <w:ind w:firstLine="0" w:firstLineChars="0"/>
            </w:pPr>
            <w:r>
              <w:t>≥9</w:t>
            </w:r>
            <w:r>
              <w:rPr>
                <w:rFonts w:hint="eastAsia"/>
                <w:lang w:val="en-US" w:eastAsia="zh-CN"/>
              </w:rPr>
              <w:t>5</w:t>
            </w:r>
            <w:r>
              <w:t>百分之</w:t>
            </w:r>
          </w:p>
        </w:tc>
        <w:tc>
          <w:tcPr>
            <w:tcW w:w="2332" w:type="dxa"/>
            <w:vAlign w:val="top"/>
          </w:tcPr>
          <w:p w14:paraId="27953D0A">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《社区矫正实施办法》</w:t>
            </w:r>
          </w:p>
        </w:tc>
      </w:tr>
      <w:tr w14:paraId="5F7C9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9" w:type="dxa"/>
            <w:vMerge w:val="restart"/>
            <w:vAlign w:val="center"/>
          </w:tcPr>
          <w:p w14:paraId="72660302">
            <w:pPr>
              <w:pStyle w:val="12"/>
            </w:pPr>
            <w:r>
              <w:t>效益指标</w:t>
            </w:r>
          </w:p>
        </w:tc>
        <w:tc>
          <w:tcPr>
            <w:tcW w:w="2115" w:type="dxa"/>
            <w:vAlign w:val="center"/>
          </w:tcPr>
          <w:p w14:paraId="62A9206D">
            <w:pPr>
              <w:pStyle w:val="13"/>
            </w:pPr>
            <w:r>
              <w:t>经济效益指标</w:t>
            </w:r>
          </w:p>
        </w:tc>
        <w:tc>
          <w:tcPr>
            <w:tcW w:w="3045" w:type="dxa"/>
            <w:vAlign w:val="center"/>
          </w:tcPr>
          <w:p w14:paraId="38687FCC">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资金的使用效率</w:t>
            </w:r>
          </w:p>
        </w:tc>
        <w:tc>
          <w:tcPr>
            <w:tcW w:w="2741" w:type="dxa"/>
            <w:vAlign w:val="center"/>
          </w:tcPr>
          <w:p w14:paraId="3D846F46">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资金的使用效率</w:t>
            </w:r>
          </w:p>
        </w:tc>
        <w:tc>
          <w:tcPr>
            <w:tcW w:w="1065" w:type="dxa"/>
            <w:vAlign w:val="center"/>
          </w:tcPr>
          <w:p w14:paraId="20CC8C94">
            <w:pPr>
              <w:pStyle w:val="13"/>
              <w:ind w:firstLine="0" w:firstLineChars="0"/>
            </w:pPr>
            <w:r>
              <w:t>≥90百分之</w:t>
            </w:r>
          </w:p>
        </w:tc>
        <w:tc>
          <w:tcPr>
            <w:tcW w:w="2332" w:type="dxa"/>
            <w:vAlign w:val="center"/>
          </w:tcPr>
          <w:p w14:paraId="230807E7">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《社区矫正实施办法》</w:t>
            </w:r>
          </w:p>
        </w:tc>
      </w:tr>
      <w:tr w14:paraId="5903F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9" w:type="dxa"/>
            <w:vMerge w:val="continue"/>
            <w:vAlign w:val="center"/>
          </w:tcPr>
          <w:p w14:paraId="29FAC6D6"/>
        </w:tc>
        <w:tc>
          <w:tcPr>
            <w:tcW w:w="2115" w:type="dxa"/>
            <w:vAlign w:val="center"/>
          </w:tcPr>
          <w:p w14:paraId="326A6D82">
            <w:pPr>
              <w:pStyle w:val="13"/>
            </w:pPr>
            <w:r>
              <w:t>社会效益指标</w:t>
            </w:r>
          </w:p>
        </w:tc>
        <w:tc>
          <w:tcPr>
            <w:tcW w:w="3045" w:type="dxa"/>
            <w:vAlign w:val="center"/>
          </w:tcPr>
          <w:p w14:paraId="2BDC67F5">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社区矫正人员重新犯罪率（%）</w:t>
            </w:r>
          </w:p>
        </w:tc>
        <w:tc>
          <w:tcPr>
            <w:tcW w:w="2741" w:type="dxa"/>
            <w:vAlign w:val="center"/>
          </w:tcPr>
          <w:p w14:paraId="707F3C06">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社区矫正人员重新犯罪率（%）</w:t>
            </w:r>
          </w:p>
        </w:tc>
        <w:tc>
          <w:tcPr>
            <w:tcW w:w="1065" w:type="dxa"/>
            <w:vAlign w:val="center"/>
          </w:tcPr>
          <w:p w14:paraId="343B04B0">
            <w:pPr>
              <w:pStyle w:val="13"/>
              <w:ind w:firstLine="0" w:firstLineChars="0"/>
            </w:pPr>
            <w:r>
              <w:t>≤0.15百分之</w:t>
            </w:r>
          </w:p>
        </w:tc>
        <w:tc>
          <w:tcPr>
            <w:tcW w:w="2332" w:type="dxa"/>
            <w:vAlign w:val="center"/>
          </w:tcPr>
          <w:p w14:paraId="599DB813">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《社区矫正实施办法》</w:t>
            </w:r>
          </w:p>
        </w:tc>
      </w:tr>
      <w:tr w14:paraId="139B9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9" w:type="dxa"/>
            <w:vMerge w:val="continue"/>
            <w:vAlign w:val="center"/>
          </w:tcPr>
          <w:p w14:paraId="7F6719D8"/>
        </w:tc>
        <w:tc>
          <w:tcPr>
            <w:tcW w:w="2115" w:type="dxa"/>
            <w:vAlign w:val="center"/>
          </w:tcPr>
          <w:p w14:paraId="1DB4A904">
            <w:pPr>
              <w:pStyle w:val="13"/>
            </w:pPr>
            <w:r>
              <w:t>生态效益指标</w:t>
            </w:r>
          </w:p>
        </w:tc>
        <w:tc>
          <w:tcPr>
            <w:tcW w:w="3045" w:type="dxa"/>
            <w:vAlign w:val="center"/>
          </w:tcPr>
          <w:p w14:paraId="1FBE6C7F">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生态效益指标</w:t>
            </w:r>
          </w:p>
        </w:tc>
        <w:tc>
          <w:tcPr>
            <w:tcW w:w="2741" w:type="dxa"/>
            <w:vAlign w:val="center"/>
          </w:tcPr>
          <w:p w14:paraId="4D1C2AAD">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生态效益指标</w:t>
            </w:r>
          </w:p>
        </w:tc>
        <w:tc>
          <w:tcPr>
            <w:tcW w:w="1065" w:type="dxa"/>
            <w:vAlign w:val="center"/>
          </w:tcPr>
          <w:p w14:paraId="3FEFDE1D">
            <w:pPr>
              <w:pStyle w:val="13"/>
              <w:ind w:firstLine="0" w:firstLineChars="0"/>
            </w:pPr>
            <w:r>
              <w:t>生态效益指标</w:t>
            </w:r>
          </w:p>
        </w:tc>
        <w:tc>
          <w:tcPr>
            <w:tcW w:w="2332" w:type="dxa"/>
            <w:vAlign w:val="center"/>
          </w:tcPr>
          <w:p w14:paraId="09B1CBB7">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《社区矫正实施办法》</w:t>
            </w:r>
          </w:p>
        </w:tc>
      </w:tr>
      <w:tr w14:paraId="19F21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9" w:type="dxa"/>
            <w:vMerge w:val="continue"/>
            <w:vAlign w:val="center"/>
          </w:tcPr>
          <w:p w14:paraId="15AA6271"/>
        </w:tc>
        <w:tc>
          <w:tcPr>
            <w:tcW w:w="2115" w:type="dxa"/>
            <w:vAlign w:val="center"/>
          </w:tcPr>
          <w:p w14:paraId="3BADFCF9">
            <w:pPr>
              <w:pStyle w:val="13"/>
            </w:pPr>
            <w:r>
              <w:t>可持续影响指标</w:t>
            </w:r>
          </w:p>
        </w:tc>
        <w:tc>
          <w:tcPr>
            <w:tcW w:w="3045" w:type="dxa"/>
            <w:vAlign w:val="top"/>
          </w:tcPr>
          <w:p w14:paraId="09DE36B0">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社区矫正工作人员执法培训实际次数</w:t>
            </w:r>
          </w:p>
        </w:tc>
        <w:tc>
          <w:tcPr>
            <w:tcW w:w="2741" w:type="dxa"/>
            <w:vAlign w:val="top"/>
          </w:tcPr>
          <w:p w14:paraId="0F9CDC43">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社区矫正工作人员执法培训实际次数</w:t>
            </w:r>
          </w:p>
        </w:tc>
        <w:tc>
          <w:tcPr>
            <w:tcW w:w="1065" w:type="dxa"/>
            <w:vAlign w:val="center"/>
          </w:tcPr>
          <w:p w14:paraId="59E1BA67">
            <w:pPr>
              <w:pStyle w:val="13"/>
              <w:ind w:firstLine="0" w:firstLineChars="0"/>
            </w:pPr>
            <w:r>
              <w:t>≥</w:t>
            </w:r>
            <w:r>
              <w:rPr>
                <w:rFonts w:hint="eastAsia"/>
                <w:lang w:val="en-US" w:eastAsia="zh-CN"/>
              </w:rPr>
              <w:t>2次</w:t>
            </w:r>
          </w:p>
        </w:tc>
        <w:tc>
          <w:tcPr>
            <w:tcW w:w="2332" w:type="dxa"/>
            <w:vAlign w:val="top"/>
          </w:tcPr>
          <w:p w14:paraId="466A2D44">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《社区矫正实施办法》</w:t>
            </w:r>
          </w:p>
        </w:tc>
      </w:tr>
      <w:tr w14:paraId="5307F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9" w:type="dxa"/>
            <w:vAlign w:val="center"/>
          </w:tcPr>
          <w:p w14:paraId="4E9664CC">
            <w:pPr>
              <w:pStyle w:val="12"/>
            </w:pPr>
            <w:r>
              <w:t>满意度指标</w:t>
            </w:r>
          </w:p>
        </w:tc>
        <w:tc>
          <w:tcPr>
            <w:tcW w:w="2115" w:type="dxa"/>
            <w:vAlign w:val="center"/>
          </w:tcPr>
          <w:p w14:paraId="140572F3">
            <w:pPr>
              <w:pStyle w:val="13"/>
            </w:pPr>
            <w:r>
              <w:t>服务对象满意度指标</w:t>
            </w:r>
          </w:p>
        </w:tc>
        <w:tc>
          <w:tcPr>
            <w:tcW w:w="3045" w:type="dxa"/>
            <w:vAlign w:val="center"/>
          </w:tcPr>
          <w:p w14:paraId="04BE1CEF">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群众满意度</w:t>
            </w:r>
          </w:p>
        </w:tc>
        <w:tc>
          <w:tcPr>
            <w:tcW w:w="2741" w:type="dxa"/>
            <w:vAlign w:val="center"/>
          </w:tcPr>
          <w:p w14:paraId="43295073">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群众满意度</w:t>
            </w:r>
          </w:p>
        </w:tc>
        <w:tc>
          <w:tcPr>
            <w:tcW w:w="1065" w:type="dxa"/>
            <w:vAlign w:val="center"/>
          </w:tcPr>
          <w:p w14:paraId="484DE521">
            <w:pPr>
              <w:pStyle w:val="13"/>
              <w:ind w:firstLine="0" w:firstLineChars="0"/>
            </w:pPr>
            <w:r>
              <w:t>≥90百分之</w:t>
            </w:r>
          </w:p>
        </w:tc>
        <w:tc>
          <w:tcPr>
            <w:tcW w:w="2332" w:type="dxa"/>
            <w:vAlign w:val="center"/>
          </w:tcPr>
          <w:p w14:paraId="4E904249">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《社区矫正实施办法》</w:t>
            </w:r>
          </w:p>
        </w:tc>
      </w:tr>
    </w:tbl>
    <w:p w14:paraId="29747803">
      <w:pPr>
        <w:spacing w:before="0" w:after="0"/>
        <w:ind w:firstLine="560"/>
        <w:jc w:val="left"/>
        <w:outlineLvl w:val="3"/>
        <w:rPr>
          <w:rFonts w:ascii="方正仿宋_GBK" w:hAnsi="方正仿宋_GBK" w:eastAsia="方正仿宋_GBK" w:cs="方正仿宋_GBK"/>
          <w:color w:val="000000"/>
          <w:sz w:val="28"/>
        </w:rPr>
      </w:pPr>
    </w:p>
    <w:p w14:paraId="5218BF12">
      <w:pPr>
        <w:spacing w:before="0" w:after="0"/>
        <w:ind w:firstLine="560"/>
        <w:jc w:val="left"/>
        <w:outlineLvl w:val="3"/>
        <w:rPr>
          <w:rFonts w:ascii="方正仿宋_GBK" w:hAnsi="方正仿宋_GBK" w:eastAsia="方正仿宋_GBK" w:cs="方正仿宋_GBK"/>
          <w:color w:val="000000"/>
          <w:sz w:val="28"/>
        </w:rPr>
      </w:pPr>
    </w:p>
    <w:p w14:paraId="3A93B92F">
      <w:pPr>
        <w:spacing w:before="0" w:after="0"/>
        <w:ind w:firstLine="560"/>
        <w:jc w:val="left"/>
        <w:outlineLvl w:val="3"/>
      </w:pPr>
      <w:r>
        <w:rPr>
          <w:rFonts w:hint="eastAsia" w:ascii="方正仿宋_GBK" w:hAnsi="方正仿宋_GBK" w:eastAsia="方正仿宋_GBK" w:cs="方正仿宋_GBK"/>
          <w:color w:val="000000"/>
          <w:sz w:val="28"/>
          <w:lang w:val="en-US" w:eastAsia="zh-CN"/>
        </w:rPr>
        <w:t>13</w:t>
      </w:r>
      <w:r>
        <w:rPr>
          <w:rFonts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rPr>
        <w:t>2022年中央政法纪检监察转移支付资金业务费</w:t>
      </w:r>
      <w:r>
        <w:rPr>
          <w:rFonts w:ascii="方正仿宋_GBK" w:hAnsi="方正仿宋_GBK" w:eastAsia="方正仿宋_GBK" w:cs="方正仿宋_GBK"/>
          <w:color w:val="000000"/>
          <w:sz w:val="28"/>
        </w:rPr>
        <w:t>（冀财政法[2021]6</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号）绩效目标表</w:t>
      </w:r>
    </w:p>
    <w:tbl>
      <w:tblPr>
        <w:tblStyle w:val="5"/>
        <w:tblW w:w="12797"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19"/>
        <w:gridCol w:w="11178"/>
      </w:tblGrid>
      <w:tr w14:paraId="1D4CF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9" w:type="dxa"/>
            <w:vAlign w:val="center"/>
          </w:tcPr>
          <w:p w14:paraId="794F1677">
            <w:pPr>
              <w:pStyle w:val="11"/>
            </w:pPr>
            <w:r>
              <w:t>绩效目标</w:t>
            </w:r>
          </w:p>
        </w:tc>
        <w:tc>
          <w:tcPr>
            <w:tcW w:w="11178" w:type="dxa"/>
            <w:vAlign w:val="center"/>
          </w:tcPr>
          <w:p w14:paraId="33B718BF">
            <w:r>
              <w:rPr>
                <w:rFonts w:ascii="方正书宋_GBK" w:hAnsi="方正书宋_GBK" w:eastAsia="方正书宋_GBK" w:cs="方正书宋_GBK"/>
                <w:sz w:val="21"/>
                <w:szCs w:val="24"/>
                <w:lang w:val="en-US" w:eastAsia="uk-UA" w:bidi="ar-SA"/>
              </w:rPr>
              <w:t>1.</w:t>
            </w:r>
            <w:r>
              <w:rPr>
                <w:rFonts w:hint="eastAsia" w:ascii="方正书宋_GBK" w:hAnsi="方正书宋_GBK" w:eastAsia="方正书宋_GBK" w:cs="方正书宋_GBK"/>
                <w:sz w:val="21"/>
                <w:szCs w:val="24"/>
                <w:lang w:val="en-US" w:eastAsia="uk-UA" w:bidi="ar-SA"/>
              </w:rPr>
              <w:t>保障必要办公条件，提高工作效率，确保司法局各项工作正常运转，促进司法事业更快更好发展。</w:t>
            </w:r>
          </w:p>
        </w:tc>
      </w:tr>
    </w:tbl>
    <w:p w14:paraId="6964F34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1281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1"/>
        <w:gridCol w:w="1830"/>
        <w:gridCol w:w="2145"/>
        <w:gridCol w:w="2265"/>
        <w:gridCol w:w="1395"/>
        <w:gridCol w:w="3535"/>
      </w:tblGrid>
      <w:tr w14:paraId="166BE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41" w:type="dxa"/>
            <w:vAlign w:val="center"/>
          </w:tcPr>
          <w:p w14:paraId="1AFC1991">
            <w:pPr>
              <w:pStyle w:val="11"/>
            </w:pPr>
            <w:r>
              <w:t>一级指标</w:t>
            </w:r>
          </w:p>
        </w:tc>
        <w:tc>
          <w:tcPr>
            <w:tcW w:w="1830" w:type="dxa"/>
            <w:vAlign w:val="center"/>
          </w:tcPr>
          <w:p w14:paraId="2FDC37B2">
            <w:pPr>
              <w:pStyle w:val="11"/>
            </w:pPr>
            <w:r>
              <w:t>二级指标</w:t>
            </w:r>
          </w:p>
        </w:tc>
        <w:tc>
          <w:tcPr>
            <w:tcW w:w="2145" w:type="dxa"/>
            <w:vAlign w:val="center"/>
          </w:tcPr>
          <w:p w14:paraId="5693D189">
            <w:pPr>
              <w:pStyle w:val="11"/>
            </w:pPr>
            <w:r>
              <w:t>三级指标</w:t>
            </w:r>
          </w:p>
        </w:tc>
        <w:tc>
          <w:tcPr>
            <w:tcW w:w="2265" w:type="dxa"/>
            <w:vAlign w:val="center"/>
          </w:tcPr>
          <w:p w14:paraId="12BB02D7">
            <w:pPr>
              <w:pStyle w:val="11"/>
            </w:pPr>
            <w:r>
              <w:t>绩效指标描述</w:t>
            </w:r>
          </w:p>
        </w:tc>
        <w:tc>
          <w:tcPr>
            <w:tcW w:w="1395" w:type="dxa"/>
            <w:vAlign w:val="center"/>
          </w:tcPr>
          <w:p w14:paraId="46676C9E">
            <w:pPr>
              <w:pStyle w:val="11"/>
              <w:ind w:firstLine="0" w:firstLineChars="0"/>
            </w:pPr>
            <w:r>
              <w:t>指标值</w:t>
            </w:r>
          </w:p>
        </w:tc>
        <w:tc>
          <w:tcPr>
            <w:tcW w:w="3535" w:type="dxa"/>
            <w:vAlign w:val="center"/>
          </w:tcPr>
          <w:p w14:paraId="5C2173C4">
            <w:pPr>
              <w:pStyle w:val="11"/>
              <w:ind w:firstLine="0" w:firstLineChars="0"/>
            </w:pPr>
            <w:r>
              <w:t>指标值确定依据</w:t>
            </w:r>
          </w:p>
        </w:tc>
      </w:tr>
      <w:tr w14:paraId="69488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1" w:type="dxa"/>
            <w:vMerge w:val="restart"/>
            <w:vAlign w:val="center"/>
          </w:tcPr>
          <w:p w14:paraId="50FAA199">
            <w:pPr>
              <w:pStyle w:val="12"/>
            </w:pPr>
            <w:r>
              <w:t>产出指标</w:t>
            </w:r>
          </w:p>
        </w:tc>
        <w:tc>
          <w:tcPr>
            <w:tcW w:w="1830" w:type="dxa"/>
            <w:vAlign w:val="center"/>
          </w:tcPr>
          <w:p w14:paraId="1808811F">
            <w:pPr>
              <w:pStyle w:val="13"/>
            </w:pPr>
            <w:r>
              <w:t>数量指标</w:t>
            </w:r>
          </w:p>
        </w:tc>
        <w:tc>
          <w:tcPr>
            <w:tcW w:w="2145" w:type="dxa"/>
            <w:vAlign w:val="center"/>
          </w:tcPr>
          <w:p w14:paraId="614311DF">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资金保障率</w:t>
            </w:r>
          </w:p>
        </w:tc>
        <w:tc>
          <w:tcPr>
            <w:tcW w:w="2265" w:type="dxa"/>
            <w:vAlign w:val="center"/>
          </w:tcPr>
          <w:p w14:paraId="5FDC4319">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资金保障率</w:t>
            </w:r>
          </w:p>
        </w:tc>
        <w:tc>
          <w:tcPr>
            <w:tcW w:w="1395" w:type="dxa"/>
            <w:vAlign w:val="center"/>
          </w:tcPr>
          <w:p w14:paraId="468F490B">
            <w:pPr>
              <w:pStyle w:val="13"/>
              <w:ind w:firstLine="0" w:firstLineChars="0"/>
            </w:pPr>
            <w:r>
              <w:t>≥95百分之</w:t>
            </w:r>
          </w:p>
        </w:tc>
        <w:tc>
          <w:tcPr>
            <w:tcW w:w="3535" w:type="dxa"/>
            <w:vAlign w:val="center"/>
          </w:tcPr>
          <w:p w14:paraId="5EAC1171">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县文件</w:t>
            </w:r>
          </w:p>
        </w:tc>
      </w:tr>
      <w:tr w14:paraId="4925B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1" w:type="dxa"/>
            <w:vMerge w:val="continue"/>
            <w:vAlign w:val="center"/>
          </w:tcPr>
          <w:p w14:paraId="635C6C51"/>
        </w:tc>
        <w:tc>
          <w:tcPr>
            <w:tcW w:w="1830" w:type="dxa"/>
            <w:vAlign w:val="center"/>
          </w:tcPr>
          <w:p w14:paraId="7A462CBF">
            <w:pPr>
              <w:pStyle w:val="13"/>
            </w:pPr>
            <w:r>
              <w:t>质量指标</w:t>
            </w:r>
          </w:p>
        </w:tc>
        <w:tc>
          <w:tcPr>
            <w:tcW w:w="2145" w:type="dxa"/>
            <w:vAlign w:val="center"/>
          </w:tcPr>
          <w:p w14:paraId="11592D6F">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资金落实到位率</w:t>
            </w:r>
          </w:p>
        </w:tc>
        <w:tc>
          <w:tcPr>
            <w:tcW w:w="2265" w:type="dxa"/>
            <w:vAlign w:val="center"/>
          </w:tcPr>
          <w:p w14:paraId="2FFCE7B4">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资金落实到位占应拨付资金总额的比例</w:t>
            </w:r>
          </w:p>
        </w:tc>
        <w:tc>
          <w:tcPr>
            <w:tcW w:w="1395" w:type="dxa"/>
            <w:vAlign w:val="center"/>
          </w:tcPr>
          <w:p w14:paraId="02260AA7">
            <w:pPr>
              <w:pStyle w:val="13"/>
              <w:ind w:firstLine="0" w:firstLineChars="0"/>
            </w:pPr>
            <w:r>
              <w:rPr>
                <w:rFonts w:hint="eastAsia"/>
                <w:lang w:val="en-US" w:eastAsia="zh-CN"/>
              </w:rPr>
              <w:t>100</w:t>
            </w:r>
            <w:r>
              <w:t>百分之</w:t>
            </w:r>
          </w:p>
        </w:tc>
        <w:tc>
          <w:tcPr>
            <w:tcW w:w="3535" w:type="dxa"/>
            <w:vAlign w:val="center"/>
          </w:tcPr>
          <w:p w14:paraId="55F4B22D">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县文件</w:t>
            </w:r>
          </w:p>
        </w:tc>
      </w:tr>
      <w:tr w14:paraId="186B5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1" w:type="dxa"/>
            <w:vMerge w:val="continue"/>
            <w:vAlign w:val="center"/>
          </w:tcPr>
          <w:p w14:paraId="0DCAAD20"/>
        </w:tc>
        <w:tc>
          <w:tcPr>
            <w:tcW w:w="1830" w:type="dxa"/>
            <w:vAlign w:val="center"/>
          </w:tcPr>
          <w:p w14:paraId="1D70C5EF">
            <w:pPr>
              <w:pStyle w:val="13"/>
            </w:pPr>
            <w:r>
              <w:t>时效指标</w:t>
            </w:r>
          </w:p>
        </w:tc>
        <w:tc>
          <w:tcPr>
            <w:tcW w:w="2145" w:type="dxa"/>
            <w:vAlign w:val="center"/>
          </w:tcPr>
          <w:p w14:paraId="45035810">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资金及时拨付率</w:t>
            </w:r>
          </w:p>
        </w:tc>
        <w:tc>
          <w:tcPr>
            <w:tcW w:w="2265" w:type="dxa"/>
            <w:vAlign w:val="center"/>
          </w:tcPr>
          <w:p w14:paraId="7E5E1417">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资金及时拨付率</w:t>
            </w:r>
          </w:p>
        </w:tc>
        <w:tc>
          <w:tcPr>
            <w:tcW w:w="1395" w:type="dxa"/>
            <w:vAlign w:val="center"/>
          </w:tcPr>
          <w:p w14:paraId="3A37B033">
            <w:pPr>
              <w:pStyle w:val="13"/>
              <w:ind w:firstLine="0" w:firstLineChars="0"/>
            </w:pPr>
            <w:r>
              <w:t>≥95百分之</w:t>
            </w:r>
          </w:p>
        </w:tc>
        <w:tc>
          <w:tcPr>
            <w:tcW w:w="3535" w:type="dxa"/>
            <w:vAlign w:val="center"/>
          </w:tcPr>
          <w:p w14:paraId="3379B45C">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县文件</w:t>
            </w:r>
          </w:p>
        </w:tc>
      </w:tr>
      <w:tr w14:paraId="3B261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1" w:type="dxa"/>
            <w:vMerge w:val="continue"/>
            <w:vAlign w:val="center"/>
          </w:tcPr>
          <w:p w14:paraId="1AC08F09"/>
        </w:tc>
        <w:tc>
          <w:tcPr>
            <w:tcW w:w="1830" w:type="dxa"/>
            <w:vAlign w:val="center"/>
          </w:tcPr>
          <w:p w14:paraId="1DE38082">
            <w:pPr>
              <w:pStyle w:val="13"/>
            </w:pPr>
            <w:r>
              <w:t>成本指标</w:t>
            </w:r>
          </w:p>
        </w:tc>
        <w:tc>
          <w:tcPr>
            <w:tcW w:w="2145" w:type="dxa"/>
            <w:vAlign w:val="top"/>
          </w:tcPr>
          <w:p w14:paraId="12FC4213">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项目支出的执行率</w:t>
            </w:r>
          </w:p>
        </w:tc>
        <w:tc>
          <w:tcPr>
            <w:tcW w:w="2265" w:type="dxa"/>
            <w:vAlign w:val="top"/>
          </w:tcPr>
          <w:p w14:paraId="345BAC21">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项目经费的支出数占预算数的百分比</w:t>
            </w:r>
          </w:p>
        </w:tc>
        <w:tc>
          <w:tcPr>
            <w:tcW w:w="1395" w:type="dxa"/>
            <w:vAlign w:val="center"/>
          </w:tcPr>
          <w:p w14:paraId="2462F3A4">
            <w:pPr>
              <w:pStyle w:val="13"/>
              <w:ind w:firstLine="0" w:firstLineChars="0"/>
            </w:pPr>
            <w:r>
              <w:t>≥90百分之</w:t>
            </w:r>
          </w:p>
        </w:tc>
        <w:tc>
          <w:tcPr>
            <w:tcW w:w="3535" w:type="dxa"/>
            <w:vAlign w:val="top"/>
          </w:tcPr>
          <w:p w14:paraId="510E7E28">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县文件</w:t>
            </w:r>
          </w:p>
        </w:tc>
      </w:tr>
      <w:tr w14:paraId="41F07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1" w:type="dxa"/>
            <w:vMerge w:val="restart"/>
            <w:vAlign w:val="center"/>
          </w:tcPr>
          <w:p w14:paraId="4BD3B089">
            <w:pPr>
              <w:pStyle w:val="12"/>
            </w:pPr>
            <w:r>
              <w:t>效益指标</w:t>
            </w:r>
          </w:p>
        </w:tc>
        <w:tc>
          <w:tcPr>
            <w:tcW w:w="1830" w:type="dxa"/>
            <w:vAlign w:val="center"/>
          </w:tcPr>
          <w:p w14:paraId="388F9534">
            <w:pPr>
              <w:pStyle w:val="13"/>
            </w:pPr>
            <w:r>
              <w:t>经济效益指标</w:t>
            </w:r>
          </w:p>
        </w:tc>
        <w:tc>
          <w:tcPr>
            <w:tcW w:w="2145" w:type="dxa"/>
            <w:vAlign w:val="center"/>
          </w:tcPr>
          <w:p w14:paraId="41F96E36">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单位整体工作</w:t>
            </w:r>
          </w:p>
        </w:tc>
        <w:tc>
          <w:tcPr>
            <w:tcW w:w="2265" w:type="dxa"/>
            <w:vAlign w:val="center"/>
          </w:tcPr>
          <w:p w14:paraId="4F508225">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单位整体工作完成率</w:t>
            </w:r>
          </w:p>
        </w:tc>
        <w:tc>
          <w:tcPr>
            <w:tcW w:w="1395" w:type="dxa"/>
            <w:vAlign w:val="center"/>
          </w:tcPr>
          <w:p w14:paraId="3FC4D2DB">
            <w:pPr>
              <w:pStyle w:val="13"/>
              <w:ind w:firstLine="0" w:firstLineChars="0"/>
            </w:pPr>
            <w:r>
              <w:t>≥9</w:t>
            </w:r>
            <w:r>
              <w:rPr>
                <w:rFonts w:hint="eastAsia"/>
                <w:lang w:val="en-US" w:eastAsia="zh-CN"/>
              </w:rPr>
              <w:t>5</w:t>
            </w:r>
            <w:r>
              <w:t>百分之</w:t>
            </w:r>
          </w:p>
        </w:tc>
        <w:tc>
          <w:tcPr>
            <w:tcW w:w="3535" w:type="dxa"/>
            <w:vAlign w:val="center"/>
          </w:tcPr>
          <w:p w14:paraId="516DD4BC">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县文件</w:t>
            </w:r>
          </w:p>
        </w:tc>
      </w:tr>
      <w:tr w14:paraId="54C97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1" w:type="dxa"/>
            <w:vMerge w:val="continue"/>
            <w:vAlign w:val="center"/>
          </w:tcPr>
          <w:p w14:paraId="241902C2"/>
        </w:tc>
        <w:tc>
          <w:tcPr>
            <w:tcW w:w="1830" w:type="dxa"/>
            <w:vAlign w:val="center"/>
          </w:tcPr>
          <w:p w14:paraId="6FEAFEBB">
            <w:pPr>
              <w:pStyle w:val="13"/>
            </w:pPr>
            <w:r>
              <w:t>社会效益指标</w:t>
            </w:r>
          </w:p>
        </w:tc>
        <w:tc>
          <w:tcPr>
            <w:tcW w:w="2145" w:type="dxa"/>
            <w:vAlign w:val="center"/>
          </w:tcPr>
          <w:p w14:paraId="411DDC5C">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宪法知识考试及格率</w:t>
            </w:r>
          </w:p>
        </w:tc>
        <w:tc>
          <w:tcPr>
            <w:tcW w:w="2265" w:type="dxa"/>
            <w:vAlign w:val="center"/>
          </w:tcPr>
          <w:p w14:paraId="134E0CE8">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宪法知识考试及格率</w:t>
            </w:r>
          </w:p>
        </w:tc>
        <w:tc>
          <w:tcPr>
            <w:tcW w:w="1395" w:type="dxa"/>
            <w:vAlign w:val="center"/>
          </w:tcPr>
          <w:p w14:paraId="5D681894">
            <w:pPr>
              <w:pStyle w:val="13"/>
              <w:ind w:firstLine="0" w:firstLineChars="0"/>
            </w:pPr>
            <w:r>
              <w:t>≥9</w:t>
            </w:r>
            <w:r>
              <w:rPr>
                <w:rFonts w:hint="eastAsia"/>
                <w:lang w:val="en-US" w:eastAsia="zh-CN"/>
              </w:rPr>
              <w:t>5</w:t>
            </w:r>
            <w:r>
              <w:t>百分之</w:t>
            </w:r>
          </w:p>
        </w:tc>
        <w:tc>
          <w:tcPr>
            <w:tcW w:w="3535" w:type="dxa"/>
            <w:vAlign w:val="center"/>
          </w:tcPr>
          <w:p w14:paraId="4A38186B">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《宁晋县法治宣传教育领导小组关于在全县开展法治宣传教育的第八个五年规划（2021-2025年）》的通知（宁发[2021]18号）</w:t>
            </w:r>
          </w:p>
        </w:tc>
      </w:tr>
      <w:tr w14:paraId="5AED7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1" w:type="dxa"/>
            <w:vMerge w:val="continue"/>
            <w:vAlign w:val="center"/>
          </w:tcPr>
          <w:p w14:paraId="7CBE8D23"/>
        </w:tc>
        <w:tc>
          <w:tcPr>
            <w:tcW w:w="1830" w:type="dxa"/>
            <w:vAlign w:val="center"/>
          </w:tcPr>
          <w:p w14:paraId="4CB78FA1">
            <w:pPr>
              <w:pStyle w:val="13"/>
            </w:pPr>
            <w:r>
              <w:t>生态效益指标</w:t>
            </w:r>
          </w:p>
        </w:tc>
        <w:tc>
          <w:tcPr>
            <w:tcW w:w="2145" w:type="dxa"/>
            <w:vAlign w:val="center"/>
          </w:tcPr>
          <w:p w14:paraId="50718FF4">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任务计划完成率</w:t>
            </w:r>
          </w:p>
        </w:tc>
        <w:tc>
          <w:tcPr>
            <w:tcW w:w="2265" w:type="dxa"/>
            <w:vAlign w:val="center"/>
          </w:tcPr>
          <w:p w14:paraId="13A5973E">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任务计划完成率</w:t>
            </w:r>
          </w:p>
        </w:tc>
        <w:tc>
          <w:tcPr>
            <w:tcW w:w="1395" w:type="dxa"/>
            <w:vAlign w:val="center"/>
          </w:tcPr>
          <w:p w14:paraId="1FD99664">
            <w:pPr>
              <w:pStyle w:val="13"/>
              <w:ind w:firstLine="0" w:firstLineChars="0"/>
            </w:pPr>
            <w:r>
              <w:t>≥9</w:t>
            </w:r>
            <w:r>
              <w:rPr>
                <w:rFonts w:hint="eastAsia"/>
                <w:lang w:val="en-US" w:eastAsia="zh-CN"/>
              </w:rPr>
              <w:t>5</w:t>
            </w:r>
            <w:r>
              <w:t>百分之</w:t>
            </w:r>
          </w:p>
        </w:tc>
        <w:tc>
          <w:tcPr>
            <w:tcW w:w="3535" w:type="dxa"/>
            <w:vAlign w:val="center"/>
          </w:tcPr>
          <w:p w14:paraId="3DC61620">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县文件</w:t>
            </w:r>
          </w:p>
        </w:tc>
      </w:tr>
      <w:tr w14:paraId="5FBDD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1" w:type="dxa"/>
            <w:vMerge w:val="continue"/>
            <w:vAlign w:val="center"/>
          </w:tcPr>
          <w:p w14:paraId="67805B5A"/>
        </w:tc>
        <w:tc>
          <w:tcPr>
            <w:tcW w:w="1830" w:type="dxa"/>
            <w:vAlign w:val="center"/>
          </w:tcPr>
          <w:p w14:paraId="282D8707">
            <w:pPr>
              <w:pStyle w:val="13"/>
            </w:pPr>
            <w:r>
              <w:t>可持续影响指标</w:t>
            </w:r>
          </w:p>
        </w:tc>
        <w:tc>
          <w:tcPr>
            <w:tcW w:w="2145" w:type="dxa"/>
            <w:vAlign w:val="top"/>
          </w:tcPr>
          <w:p w14:paraId="12999B80">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保障工作效率</w:t>
            </w:r>
          </w:p>
        </w:tc>
        <w:tc>
          <w:tcPr>
            <w:tcW w:w="2265" w:type="dxa"/>
            <w:vAlign w:val="top"/>
          </w:tcPr>
          <w:p w14:paraId="40DA70F8">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工作效率明显提高</w:t>
            </w:r>
          </w:p>
        </w:tc>
        <w:tc>
          <w:tcPr>
            <w:tcW w:w="1395" w:type="dxa"/>
            <w:vAlign w:val="center"/>
          </w:tcPr>
          <w:p w14:paraId="36526C6A">
            <w:pPr>
              <w:pStyle w:val="13"/>
              <w:ind w:firstLine="0" w:firstLineChars="0"/>
            </w:pPr>
            <w:r>
              <w:t>≥9</w:t>
            </w:r>
            <w:r>
              <w:rPr>
                <w:rFonts w:hint="eastAsia"/>
                <w:lang w:val="en-US" w:eastAsia="zh-CN"/>
              </w:rPr>
              <w:t>5</w:t>
            </w:r>
            <w:r>
              <w:t>百分之</w:t>
            </w:r>
          </w:p>
        </w:tc>
        <w:tc>
          <w:tcPr>
            <w:tcW w:w="3535" w:type="dxa"/>
            <w:vAlign w:val="top"/>
          </w:tcPr>
          <w:p w14:paraId="31B6CA58">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县文件</w:t>
            </w:r>
          </w:p>
        </w:tc>
      </w:tr>
      <w:tr w14:paraId="357E5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1" w:type="dxa"/>
            <w:vAlign w:val="center"/>
          </w:tcPr>
          <w:p w14:paraId="517AF463">
            <w:pPr>
              <w:pStyle w:val="12"/>
            </w:pPr>
            <w:r>
              <w:t>满意度指标</w:t>
            </w:r>
          </w:p>
        </w:tc>
        <w:tc>
          <w:tcPr>
            <w:tcW w:w="1830" w:type="dxa"/>
            <w:vAlign w:val="center"/>
          </w:tcPr>
          <w:p w14:paraId="108C25CD">
            <w:pPr>
              <w:pStyle w:val="13"/>
            </w:pPr>
            <w:r>
              <w:t>服务对象满意度指标</w:t>
            </w:r>
          </w:p>
        </w:tc>
        <w:tc>
          <w:tcPr>
            <w:tcW w:w="2145" w:type="dxa"/>
            <w:vAlign w:val="center"/>
          </w:tcPr>
          <w:p w14:paraId="7C0D9C49">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群众满意度</w:t>
            </w:r>
          </w:p>
        </w:tc>
        <w:tc>
          <w:tcPr>
            <w:tcW w:w="2265" w:type="dxa"/>
            <w:vAlign w:val="center"/>
          </w:tcPr>
          <w:p w14:paraId="2497CC71">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群众满意度</w:t>
            </w:r>
          </w:p>
        </w:tc>
        <w:tc>
          <w:tcPr>
            <w:tcW w:w="1395" w:type="dxa"/>
            <w:vAlign w:val="center"/>
          </w:tcPr>
          <w:p w14:paraId="43F9DEBC">
            <w:pPr>
              <w:pStyle w:val="13"/>
              <w:ind w:firstLine="0" w:firstLineChars="0"/>
            </w:pPr>
            <w:r>
              <w:t>≥90百分之</w:t>
            </w:r>
          </w:p>
        </w:tc>
        <w:tc>
          <w:tcPr>
            <w:tcW w:w="3535" w:type="dxa"/>
            <w:vAlign w:val="center"/>
          </w:tcPr>
          <w:p w14:paraId="4B3FCE4B">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县文件</w:t>
            </w:r>
          </w:p>
        </w:tc>
      </w:tr>
    </w:tbl>
    <w:p w14:paraId="449CBCED">
      <w:pPr>
        <w:sectPr>
          <w:pgSz w:w="16840" w:h="11900" w:orient="landscape"/>
          <w:pgMar w:top="1304" w:right="1984" w:bottom="1304" w:left="1134" w:header="720" w:footer="720" w:gutter="0"/>
          <w:pgNumType w:fmt="numberInDash"/>
          <w:cols w:space="720" w:num="1"/>
        </w:sectPr>
      </w:pPr>
    </w:p>
    <w:p w14:paraId="16256119">
      <w:pPr>
        <w:spacing w:before="0" w:after="0"/>
        <w:ind w:firstLine="560"/>
        <w:jc w:val="left"/>
        <w:outlineLvl w:val="3"/>
      </w:pPr>
      <w:r>
        <w:rPr>
          <w:rFonts w:hint="eastAsia" w:ascii="方正仿宋_GBK" w:hAnsi="方正仿宋_GBK" w:eastAsia="方正仿宋_GBK" w:cs="方正仿宋_GBK"/>
          <w:color w:val="000000"/>
          <w:sz w:val="28"/>
          <w:lang w:val="en-US" w:eastAsia="zh-CN"/>
        </w:rPr>
        <w:t>14</w:t>
      </w:r>
      <w:r>
        <w:rPr>
          <w:rFonts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rPr>
        <w:t>2022年中央政法纪检监察转移支付资金装备费</w:t>
      </w:r>
      <w:r>
        <w:rPr>
          <w:rFonts w:ascii="方正仿宋_GBK" w:hAnsi="方正仿宋_GBK" w:eastAsia="方正仿宋_GBK" w:cs="方正仿宋_GBK"/>
          <w:color w:val="000000"/>
          <w:sz w:val="28"/>
        </w:rPr>
        <w:t>（冀财政法[2021]6</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号）绩效目标表</w:t>
      </w:r>
    </w:p>
    <w:tbl>
      <w:tblPr>
        <w:tblStyle w:val="5"/>
        <w:tblW w:w="13546"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83"/>
        <w:gridCol w:w="11663"/>
      </w:tblGrid>
      <w:tr w14:paraId="1DA66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3" w:type="dxa"/>
            <w:vAlign w:val="center"/>
          </w:tcPr>
          <w:p w14:paraId="1BD27992">
            <w:pPr>
              <w:pStyle w:val="11"/>
            </w:pPr>
            <w:r>
              <w:t>绩效目标</w:t>
            </w:r>
          </w:p>
        </w:tc>
        <w:tc>
          <w:tcPr>
            <w:tcW w:w="11663" w:type="dxa"/>
            <w:vAlign w:val="center"/>
          </w:tcPr>
          <w:p w14:paraId="1B8C26FD">
            <w:r>
              <w:rPr>
                <w:rFonts w:ascii="方正书宋_GBK" w:hAnsi="方正书宋_GBK" w:eastAsia="方正书宋_GBK" w:cs="方正书宋_GBK"/>
                <w:sz w:val="21"/>
                <w:szCs w:val="24"/>
                <w:lang w:val="en-US" w:eastAsia="uk-UA" w:bidi="ar-SA"/>
              </w:rPr>
              <w:t>1.保障必要办公条件，提高工作效率，确保司法局各项工作正常运转，促进司法事业更快更好发展。</w:t>
            </w:r>
          </w:p>
        </w:tc>
      </w:tr>
    </w:tbl>
    <w:p w14:paraId="748B793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13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36"/>
        <w:gridCol w:w="1785"/>
        <w:gridCol w:w="2835"/>
        <w:gridCol w:w="2715"/>
        <w:gridCol w:w="1680"/>
        <w:gridCol w:w="2671"/>
      </w:tblGrid>
      <w:tr w14:paraId="2075D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936" w:type="dxa"/>
            <w:vAlign w:val="center"/>
          </w:tcPr>
          <w:p w14:paraId="7DF46609">
            <w:pPr>
              <w:pStyle w:val="11"/>
            </w:pPr>
            <w:r>
              <w:t>一级指标</w:t>
            </w:r>
          </w:p>
        </w:tc>
        <w:tc>
          <w:tcPr>
            <w:tcW w:w="1785" w:type="dxa"/>
            <w:vAlign w:val="center"/>
          </w:tcPr>
          <w:p w14:paraId="57ADD151">
            <w:pPr>
              <w:pStyle w:val="11"/>
            </w:pPr>
            <w:r>
              <w:t>二级指标</w:t>
            </w:r>
          </w:p>
        </w:tc>
        <w:tc>
          <w:tcPr>
            <w:tcW w:w="2835" w:type="dxa"/>
            <w:vAlign w:val="center"/>
          </w:tcPr>
          <w:p w14:paraId="011C6AA2">
            <w:pPr>
              <w:pStyle w:val="11"/>
            </w:pPr>
            <w:r>
              <w:t>三级指标</w:t>
            </w:r>
          </w:p>
        </w:tc>
        <w:tc>
          <w:tcPr>
            <w:tcW w:w="2715" w:type="dxa"/>
            <w:vAlign w:val="center"/>
          </w:tcPr>
          <w:p w14:paraId="0356320D">
            <w:pPr>
              <w:pStyle w:val="11"/>
            </w:pPr>
            <w:r>
              <w:t>绩效指标描述</w:t>
            </w:r>
          </w:p>
        </w:tc>
        <w:tc>
          <w:tcPr>
            <w:tcW w:w="1680" w:type="dxa"/>
            <w:vAlign w:val="center"/>
          </w:tcPr>
          <w:p w14:paraId="7D3D2BF6">
            <w:pPr>
              <w:pStyle w:val="11"/>
              <w:ind w:firstLine="0" w:firstLineChars="0"/>
            </w:pPr>
            <w:r>
              <w:t>指标值</w:t>
            </w:r>
          </w:p>
        </w:tc>
        <w:tc>
          <w:tcPr>
            <w:tcW w:w="2671" w:type="dxa"/>
            <w:vAlign w:val="center"/>
          </w:tcPr>
          <w:p w14:paraId="2981815F">
            <w:pPr>
              <w:pStyle w:val="11"/>
              <w:ind w:firstLine="0" w:firstLineChars="0"/>
            </w:pPr>
            <w:r>
              <w:t>指标值确定依据</w:t>
            </w:r>
          </w:p>
        </w:tc>
      </w:tr>
      <w:tr w14:paraId="307F6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6" w:type="dxa"/>
            <w:vMerge w:val="restart"/>
            <w:vAlign w:val="center"/>
          </w:tcPr>
          <w:p w14:paraId="0343769C">
            <w:pPr>
              <w:pStyle w:val="12"/>
            </w:pPr>
            <w:r>
              <w:t>产出指标</w:t>
            </w:r>
          </w:p>
        </w:tc>
        <w:tc>
          <w:tcPr>
            <w:tcW w:w="1785" w:type="dxa"/>
            <w:vAlign w:val="center"/>
          </w:tcPr>
          <w:p w14:paraId="443D7612">
            <w:pPr>
              <w:pStyle w:val="13"/>
            </w:pPr>
            <w:r>
              <w:t>数量指标</w:t>
            </w:r>
          </w:p>
        </w:tc>
        <w:tc>
          <w:tcPr>
            <w:tcW w:w="2835" w:type="dxa"/>
            <w:vAlign w:val="center"/>
          </w:tcPr>
          <w:p w14:paraId="741BDFE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社区矫正工作人员执法培训参加比率</w:t>
            </w:r>
          </w:p>
        </w:tc>
        <w:tc>
          <w:tcPr>
            <w:tcW w:w="2715" w:type="dxa"/>
            <w:vAlign w:val="center"/>
          </w:tcPr>
          <w:p w14:paraId="4D11AA4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对参加培训的人数与应参加培训的人数比率</w:t>
            </w:r>
          </w:p>
        </w:tc>
        <w:tc>
          <w:tcPr>
            <w:tcW w:w="1680" w:type="dxa"/>
            <w:vAlign w:val="center"/>
          </w:tcPr>
          <w:p w14:paraId="7508AACE">
            <w:pPr>
              <w:pStyle w:val="13"/>
              <w:ind w:firstLine="0" w:firstLineChars="0"/>
            </w:pPr>
            <w:r>
              <w:t>≥95百分之</w:t>
            </w:r>
          </w:p>
        </w:tc>
        <w:tc>
          <w:tcPr>
            <w:tcW w:w="2671" w:type="dxa"/>
            <w:vAlign w:val="center"/>
          </w:tcPr>
          <w:p w14:paraId="2D2E223D">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《社区矫正实施办法》</w:t>
            </w:r>
          </w:p>
        </w:tc>
      </w:tr>
      <w:tr w14:paraId="534B1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6" w:type="dxa"/>
            <w:vMerge w:val="continue"/>
            <w:vAlign w:val="center"/>
          </w:tcPr>
          <w:p w14:paraId="27A25681"/>
        </w:tc>
        <w:tc>
          <w:tcPr>
            <w:tcW w:w="1785" w:type="dxa"/>
            <w:vAlign w:val="center"/>
          </w:tcPr>
          <w:p w14:paraId="1A7CA324">
            <w:pPr>
              <w:pStyle w:val="13"/>
            </w:pPr>
            <w:r>
              <w:t>质量指标</w:t>
            </w:r>
          </w:p>
        </w:tc>
        <w:tc>
          <w:tcPr>
            <w:tcW w:w="2835" w:type="dxa"/>
            <w:vAlign w:val="center"/>
          </w:tcPr>
          <w:p w14:paraId="02C3474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资金落实到位率</w:t>
            </w:r>
          </w:p>
        </w:tc>
        <w:tc>
          <w:tcPr>
            <w:tcW w:w="2715" w:type="dxa"/>
            <w:vAlign w:val="center"/>
          </w:tcPr>
          <w:p w14:paraId="3A7B024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资金落实到位占应拨付资金总额的比例</w:t>
            </w:r>
          </w:p>
        </w:tc>
        <w:tc>
          <w:tcPr>
            <w:tcW w:w="1680" w:type="dxa"/>
            <w:vAlign w:val="center"/>
          </w:tcPr>
          <w:p w14:paraId="636E4801">
            <w:pPr>
              <w:pStyle w:val="13"/>
              <w:ind w:firstLine="0" w:firstLineChars="0"/>
            </w:pPr>
            <w:r>
              <w:t>100百分之</w:t>
            </w:r>
          </w:p>
        </w:tc>
        <w:tc>
          <w:tcPr>
            <w:tcW w:w="2671" w:type="dxa"/>
            <w:vAlign w:val="center"/>
          </w:tcPr>
          <w:p w14:paraId="4AF1144B">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县文件</w:t>
            </w:r>
          </w:p>
        </w:tc>
      </w:tr>
      <w:tr w14:paraId="22097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6" w:type="dxa"/>
            <w:vMerge w:val="continue"/>
            <w:vAlign w:val="center"/>
          </w:tcPr>
          <w:p w14:paraId="45BBC25D"/>
        </w:tc>
        <w:tc>
          <w:tcPr>
            <w:tcW w:w="1785" w:type="dxa"/>
            <w:vAlign w:val="center"/>
          </w:tcPr>
          <w:p w14:paraId="0D176624">
            <w:pPr>
              <w:pStyle w:val="13"/>
            </w:pPr>
            <w:r>
              <w:t>时效指标</w:t>
            </w:r>
          </w:p>
        </w:tc>
        <w:tc>
          <w:tcPr>
            <w:tcW w:w="2835" w:type="dxa"/>
            <w:vAlign w:val="center"/>
          </w:tcPr>
          <w:p w14:paraId="24ABD4C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资金及时拨付率</w:t>
            </w:r>
          </w:p>
        </w:tc>
        <w:tc>
          <w:tcPr>
            <w:tcW w:w="2715" w:type="dxa"/>
            <w:vAlign w:val="center"/>
          </w:tcPr>
          <w:p w14:paraId="7CAE626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资金及时拨付率</w:t>
            </w:r>
          </w:p>
        </w:tc>
        <w:tc>
          <w:tcPr>
            <w:tcW w:w="1680" w:type="dxa"/>
            <w:vAlign w:val="center"/>
          </w:tcPr>
          <w:p w14:paraId="39C657EB">
            <w:pPr>
              <w:pStyle w:val="13"/>
              <w:ind w:firstLine="0" w:firstLineChars="0"/>
            </w:pPr>
            <w:r>
              <w:t>≥9</w:t>
            </w:r>
            <w:r>
              <w:rPr>
                <w:rFonts w:hint="eastAsia"/>
                <w:lang w:val="en-US" w:eastAsia="zh-CN"/>
              </w:rPr>
              <w:t>5</w:t>
            </w:r>
            <w:r>
              <w:t>百分之</w:t>
            </w:r>
          </w:p>
        </w:tc>
        <w:tc>
          <w:tcPr>
            <w:tcW w:w="2671" w:type="dxa"/>
            <w:vAlign w:val="center"/>
          </w:tcPr>
          <w:p w14:paraId="5E5468F5">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县文件</w:t>
            </w:r>
          </w:p>
        </w:tc>
      </w:tr>
      <w:tr w14:paraId="0EDE7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4" w:hRule="atLeast"/>
          <w:jc w:val="center"/>
        </w:trPr>
        <w:tc>
          <w:tcPr>
            <w:tcW w:w="1936" w:type="dxa"/>
            <w:vMerge w:val="continue"/>
            <w:vAlign w:val="center"/>
          </w:tcPr>
          <w:p w14:paraId="5934846C"/>
        </w:tc>
        <w:tc>
          <w:tcPr>
            <w:tcW w:w="1785" w:type="dxa"/>
            <w:vAlign w:val="center"/>
          </w:tcPr>
          <w:p w14:paraId="0FD510F5">
            <w:pPr>
              <w:pStyle w:val="13"/>
            </w:pPr>
            <w:r>
              <w:t>成本指标</w:t>
            </w:r>
          </w:p>
        </w:tc>
        <w:tc>
          <w:tcPr>
            <w:tcW w:w="2835" w:type="dxa"/>
            <w:vAlign w:val="center"/>
          </w:tcPr>
          <w:p w14:paraId="0E1DA6C7">
            <w:pPr>
              <w:keepNext w:val="0"/>
              <w:keepLines w:val="0"/>
              <w:pageBreakBefore w:val="0"/>
              <w:widowControl/>
              <w:suppressLineNumbers w:val="0"/>
              <w:kinsoku/>
              <w:wordWrap/>
              <w:overflowPunct/>
              <w:topLinePunct w:val="0"/>
              <w:autoSpaceDE/>
              <w:autoSpaceDN/>
              <w:bidi w:val="0"/>
              <w:adjustRightInd/>
              <w:snapToGrid/>
              <w:spacing w:line="300" w:lineRule="exact"/>
              <w:jc w:val="both"/>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项目支出的执行率</w:t>
            </w:r>
          </w:p>
        </w:tc>
        <w:tc>
          <w:tcPr>
            <w:tcW w:w="2715" w:type="dxa"/>
            <w:vAlign w:val="top"/>
          </w:tcPr>
          <w:p w14:paraId="02B94C6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项目经费的支出数占预算数的百分比</w:t>
            </w:r>
          </w:p>
        </w:tc>
        <w:tc>
          <w:tcPr>
            <w:tcW w:w="1680" w:type="dxa"/>
            <w:vAlign w:val="center"/>
          </w:tcPr>
          <w:p w14:paraId="00868EBE">
            <w:pPr>
              <w:pStyle w:val="13"/>
              <w:ind w:firstLine="0" w:firstLineChars="0"/>
            </w:pPr>
            <w:r>
              <w:t>≥90百分之</w:t>
            </w:r>
          </w:p>
        </w:tc>
        <w:tc>
          <w:tcPr>
            <w:tcW w:w="2671" w:type="dxa"/>
            <w:vAlign w:val="top"/>
          </w:tcPr>
          <w:p w14:paraId="56FE1D58">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县文件</w:t>
            </w:r>
          </w:p>
        </w:tc>
      </w:tr>
      <w:tr w14:paraId="43D8C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6" w:type="dxa"/>
            <w:vMerge w:val="restart"/>
            <w:vAlign w:val="center"/>
          </w:tcPr>
          <w:p w14:paraId="05ECE7C4">
            <w:pPr>
              <w:pStyle w:val="12"/>
            </w:pPr>
            <w:r>
              <w:t>效益指标</w:t>
            </w:r>
          </w:p>
        </w:tc>
        <w:tc>
          <w:tcPr>
            <w:tcW w:w="1785" w:type="dxa"/>
            <w:vAlign w:val="center"/>
          </w:tcPr>
          <w:p w14:paraId="227E0F4C">
            <w:pPr>
              <w:pStyle w:val="13"/>
            </w:pPr>
            <w:r>
              <w:t>经济效益指标</w:t>
            </w:r>
          </w:p>
        </w:tc>
        <w:tc>
          <w:tcPr>
            <w:tcW w:w="2835" w:type="dxa"/>
            <w:vAlign w:val="center"/>
          </w:tcPr>
          <w:p w14:paraId="6E48511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单位整体工作</w:t>
            </w:r>
          </w:p>
        </w:tc>
        <w:tc>
          <w:tcPr>
            <w:tcW w:w="2715" w:type="dxa"/>
            <w:vAlign w:val="center"/>
          </w:tcPr>
          <w:p w14:paraId="5868E61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单位整体工作完成率</w:t>
            </w:r>
          </w:p>
        </w:tc>
        <w:tc>
          <w:tcPr>
            <w:tcW w:w="1680" w:type="dxa"/>
            <w:vAlign w:val="center"/>
          </w:tcPr>
          <w:p w14:paraId="7841A407">
            <w:pPr>
              <w:pStyle w:val="13"/>
              <w:ind w:firstLine="0" w:firstLineChars="0"/>
            </w:pPr>
            <w:r>
              <w:t>≥95百分之</w:t>
            </w:r>
          </w:p>
        </w:tc>
        <w:tc>
          <w:tcPr>
            <w:tcW w:w="2671" w:type="dxa"/>
            <w:vAlign w:val="center"/>
          </w:tcPr>
          <w:p w14:paraId="4DFBF8BB">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县文件</w:t>
            </w:r>
          </w:p>
        </w:tc>
      </w:tr>
      <w:tr w14:paraId="21E45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6" w:type="dxa"/>
            <w:vMerge w:val="continue"/>
            <w:vAlign w:val="center"/>
          </w:tcPr>
          <w:p w14:paraId="4DBA15D3"/>
        </w:tc>
        <w:tc>
          <w:tcPr>
            <w:tcW w:w="1785" w:type="dxa"/>
            <w:vAlign w:val="center"/>
          </w:tcPr>
          <w:p w14:paraId="23862C04">
            <w:pPr>
              <w:pStyle w:val="13"/>
            </w:pPr>
            <w:r>
              <w:t>社会效益指标</w:t>
            </w:r>
          </w:p>
        </w:tc>
        <w:tc>
          <w:tcPr>
            <w:tcW w:w="2835" w:type="dxa"/>
            <w:vAlign w:val="center"/>
          </w:tcPr>
          <w:p w14:paraId="1D5F283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社区矫正人员重新犯罪率（%）</w:t>
            </w:r>
          </w:p>
        </w:tc>
        <w:tc>
          <w:tcPr>
            <w:tcW w:w="2715" w:type="dxa"/>
            <w:vAlign w:val="center"/>
          </w:tcPr>
          <w:p w14:paraId="004F822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社区矫正人员重新犯罪率（%）</w:t>
            </w:r>
          </w:p>
        </w:tc>
        <w:tc>
          <w:tcPr>
            <w:tcW w:w="1680" w:type="dxa"/>
            <w:vAlign w:val="center"/>
          </w:tcPr>
          <w:p w14:paraId="6B2FC07B">
            <w:pPr>
              <w:pStyle w:val="13"/>
              <w:ind w:firstLine="0" w:firstLineChars="0"/>
            </w:pPr>
            <w:r>
              <w:t>≤0.15百分之</w:t>
            </w:r>
          </w:p>
        </w:tc>
        <w:tc>
          <w:tcPr>
            <w:tcW w:w="2671" w:type="dxa"/>
            <w:vAlign w:val="center"/>
          </w:tcPr>
          <w:p w14:paraId="1DA0B6D3">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《社区矫正实施办法》</w:t>
            </w:r>
          </w:p>
        </w:tc>
      </w:tr>
      <w:tr w14:paraId="43DB6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6" w:type="dxa"/>
            <w:vMerge w:val="continue"/>
            <w:vAlign w:val="center"/>
          </w:tcPr>
          <w:p w14:paraId="34BD8021"/>
        </w:tc>
        <w:tc>
          <w:tcPr>
            <w:tcW w:w="1785" w:type="dxa"/>
            <w:vAlign w:val="center"/>
          </w:tcPr>
          <w:p w14:paraId="6661BD18">
            <w:pPr>
              <w:pStyle w:val="13"/>
            </w:pPr>
            <w:r>
              <w:t>生态效益指标</w:t>
            </w:r>
          </w:p>
        </w:tc>
        <w:tc>
          <w:tcPr>
            <w:tcW w:w="2835" w:type="dxa"/>
            <w:vAlign w:val="center"/>
          </w:tcPr>
          <w:p w14:paraId="68EB2BD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任务计划完成率</w:t>
            </w:r>
          </w:p>
        </w:tc>
        <w:tc>
          <w:tcPr>
            <w:tcW w:w="2715" w:type="dxa"/>
            <w:vAlign w:val="center"/>
          </w:tcPr>
          <w:p w14:paraId="3837A49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任务计划完成率</w:t>
            </w:r>
          </w:p>
        </w:tc>
        <w:tc>
          <w:tcPr>
            <w:tcW w:w="1680" w:type="dxa"/>
            <w:vAlign w:val="center"/>
          </w:tcPr>
          <w:p w14:paraId="1954AE46">
            <w:pPr>
              <w:pStyle w:val="13"/>
              <w:ind w:firstLine="0" w:firstLineChars="0"/>
            </w:pPr>
            <w:r>
              <w:t>≥95百分之</w:t>
            </w:r>
          </w:p>
        </w:tc>
        <w:tc>
          <w:tcPr>
            <w:tcW w:w="2671" w:type="dxa"/>
            <w:vAlign w:val="center"/>
          </w:tcPr>
          <w:p w14:paraId="40AEC222">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县文件</w:t>
            </w:r>
          </w:p>
        </w:tc>
      </w:tr>
      <w:tr w14:paraId="53ED5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6" w:type="dxa"/>
            <w:vMerge w:val="continue"/>
            <w:vAlign w:val="center"/>
          </w:tcPr>
          <w:p w14:paraId="673BDF6C"/>
        </w:tc>
        <w:tc>
          <w:tcPr>
            <w:tcW w:w="1785" w:type="dxa"/>
            <w:vAlign w:val="center"/>
          </w:tcPr>
          <w:p w14:paraId="598BC005">
            <w:pPr>
              <w:pStyle w:val="13"/>
            </w:pPr>
            <w:r>
              <w:t>可持续影响指标</w:t>
            </w:r>
          </w:p>
        </w:tc>
        <w:tc>
          <w:tcPr>
            <w:tcW w:w="2835" w:type="dxa"/>
            <w:vAlign w:val="top"/>
          </w:tcPr>
          <w:p w14:paraId="581A8BC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保障工作效率</w:t>
            </w:r>
          </w:p>
        </w:tc>
        <w:tc>
          <w:tcPr>
            <w:tcW w:w="2715" w:type="dxa"/>
            <w:vAlign w:val="top"/>
          </w:tcPr>
          <w:p w14:paraId="7E34B4F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工作效率明显提高</w:t>
            </w:r>
          </w:p>
        </w:tc>
        <w:tc>
          <w:tcPr>
            <w:tcW w:w="1680" w:type="dxa"/>
            <w:vAlign w:val="center"/>
          </w:tcPr>
          <w:p w14:paraId="01B33809">
            <w:pPr>
              <w:pStyle w:val="13"/>
              <w:ind w:firstLine="0" w:firstLineChars="0"/>
            </w:pPr>
            <w:r>
              <w:t>≥95百分之</w:t>
            </w:r>
          </w:p>
        </w:tc>
        <w:tc>
          <w:tcPr>
            <w:tcW w:w="2671" w:type="dxa"/>
            <w:vAlign w:val="top"/>
          </w:tcPr>
          <w:p w14:paraId="5BC0EFB2">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县文件</w:t>
            </w:r>
          </w:p>
        </w:tc>
      </w:tr>
      <w:tr w14:paraId="50D0F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6" w:type="dxa"/>
            <w:vAlign w:val="center"/>
          </w:tcPr>
          <w:p w14:paraId="3BC65678">
            <w:pPr>
              <w:pStyle w:val="12"/>
            </w:pPr>
            <w:r>
              <w:t>满意度指标</w:t>
            </w:r>
          </w:p>
        </w:tc>
        <w:tc>
          <w:tcPr>
            <w:tcW w:w="1785" w:type="dxa"/>
            <w:vAlign w:val="center"/>
          </w:tcPr>
          <w:p w14:paraId="64AFA327">
            <w:pPr>
              <w:pStyle w:val="13"/>
              <w:keepNext w:val="0"/>
              <w:keepLines w:val="0"/>
              <w:pageBreakBefore w:val="0"/>
              <w:widowControl w:val="0"/>
              <w:kinsoku/>
              <w:wordWrap/>
              <w:overflowPunct/>
              <w:topLinePunct w:val="0"/>
              <w:autoSpaceDE/>
              <w:autoSpaceDN/>
              <w:bidi w:val="0"/>
              <w:adjustRightInd/>
              <w:snapToGrid/>
              <w:spacing w:line="240" w:lineRule="exact"/>
              <w:textAlignment w:val="auto"/>
            </w:pPr>
            <w:r>
              <w:t>服务对象满意度指标</w:t>
            </w:r>
          </w:p>
        </w:tc>
        <w:tc>
          <w:tcPr>
            <w:tcW w:w="2835" w:type="dxa"/>
            <w:vAlign w:val="center"/>
          </w:tcPr>
          <w:p w14:paraId="6E553BDE">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群众满意度</w:t>
            </w:r>
          </w:p>
        </w:tc>
        <w:tc>
          <w:tcPr>
            <w:tcW w:w="2715" w:type="dxa"/>
            <w:vAlign w:val="center"/>
          </w:tcPr>
          <w:p w14:paraId="0B2581C5">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群众满意度</w:t>
            </w:r>
          </w:p>
        </w:tc>
        <w:tc>
          <w:tcPr>
            <w:tcW w:w="1680" w:type="dxa"/>
            <w:vAlign w:val="center"/>
          </w:tcPr>
          <w:p w14:paraId="6E0BF3B5">
            <w:pPr>
              <w:pStyle w:val="13"/>
              <w:ind w:firstLine="0" w:firstLineChars="0"/>
            </w:pPr>
            <w:r>
              <w:t>≥90百分之</w:t>
            </w:r>
          </w:p>
        </w:tc>
        <w:tc>
          <w:tcPr>
            <w:tcW w:w="2671" w:type="dxa"/>
            <w:vAlign w:val="center"/>
          </w:tcPr>
          <w:p w14:paraId="2EC8E22D">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县文件</w:t>
            </w:r>
          </w:p>
        </w:tc>
      </w:tr>
    </w:tbl>
    <w:p w14:paraId="08C911F6"/>
    <w:p w14:paraId="06D3049D">
      <w:pPr>
        <w:keepNext w:val="0"/>
        <w:keepLines w:val="0"/>
        <w:pageBreakBefore w:val="0"/>
        <w:widowControl w:val="0"/>
        <w:kinsoku/>
        <w:wordWrap/>
        <w:overflowPunct/>
        <w:topLinePunct w:val="0"/>
        <w:autoSpaceDE/>
        <w:autoSpaceDN/>
        <w:bidi w:val="0"/>
        <w:adjustRightInd/>
        <w:snapToGrid/>
        <w:spacing w:line="580" w:lineRule="exact"/>
        <w:textAlignment w:val="auto"/>
        <w:rPr>
          <w:rFonts w:ascii="宋体" w:cs="宋体"/>
          <w:b/>
          <w:bCs/>
          <w:sz w:val="32"/>
          <w:szCs w:val="32"/>
        </w:rPr>
      </w:pPr>
    </w:p>
    <w:p w14:paraId="122433B8">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仿宋" w:hAnsi="仿宋" w:eastAsia="仿宋" w:cs="仿宋_GB2312"/>
          <w:sz w:val="32"/>
          <w:szCs w:val="32"/>
        </w:rPr>
        <w:sectPr>
          <w:pgSz w:w="16838" w:h="11906" w:orient="landscape"/>
          <w:pgMar w:top="1587" w:right="1134" w:bottom="1361" w:left="1134" w:header="851" w:footer="992" w:gutter="0"/>
          <w:pgNumType w:fmt="decimal"/>
          <w:cols w:space="0" w:num="1"/>
          <w:rtlGutter w:val="0"/>
          <w:docGrid w:type="lines" w:linePitch="312" w:charSpace="0"/>
        </w:sectPr>
      </w:pPr>
    </w:p>
    <w:p w14:paraId="42C4DDEC">
      <w:pPr>
        <w:ind w:firstLine="640" w:firstLineChars="200"/>
        <w:rPr>
          <w:rFonts w:ascii="宋体" w:cs="宋体"/>
          <w:b/>
          <w:bCs/>
          <w:sz w:val="32"/>
          <w:szCs w:val="32"/>
        </w:rPr>
      </w:pPr>
      <w:r>
        <w:rPr>
          <w:rFonts w:hint="eastAsia" w:ascii="宋体" w:hAnsi="宋体" w:cs="宋体"/>
          <w:b/>
          <w:bCs/>
          <w:sz w:val="32"/>
          <w:szCs w:val="32"/>
        </w:rPr>
        <w:t>六、政府采购情况</w:t>
      </w:r>
    </w:p>
    <w:p w14:paraId="70ACBC4C">
      <w:pPr>
        <w:ind w:firstLine="630"/>
        <w:rPr>
          <w:rFonts w:hint="eastAsia" w:ascii="仿宋" w:hAnsi="仿宋" w:eastAsia="仿宋" w:cs="仿宋_GB2312"/>
          <w:sz w:val="32"/>
          <w:szCs w:val="32"/>
        </w:rPr>
      </w:pPr>
      <w:r>
        <w:rPr>
          <w:rFonts w:ascii="仿宋" w:hAnsi="仿宋" w:eastAsia="仿宋" w:cs="仿宋_GB2312"/>
          <w:sz w:val="32"/>
          <w:szCs w:val="32"/>
        </w:rPr>
        <w:t>20</w:t>
      </w:r>
      <w:r>
        <w:rPr>
          <w:rFonts w:hint="eastAsia" w:ascii="仿宋" w:hAnsi="仿宋" w:eastAsia="仿宋" w:cs="仿宋_GB2312"/>
          <w:sz w:val="32"/>
          <w:szCs w:val="32"/>
        </w:rPr>
        <w:t>2</w:t>
      </w:r>
      <w:r>
        <w:rPr>
          <w:rFonts w:hint="eastAsia" w:ascii="仿宋" w:hAnsi="仿宋" w:eastAsia="仿宋" w:cs="仿宋_GB2312"/>
          <w:sz w:val="32"/>
          <w:szCs w:val="32"/>
          <w:lang w:val="en-US" w:eastAsia="zh-CN"/>
        </w:rPr>
        <w:t>2</w:t>
      </w:r>
      <w:r>
        <w:rPr>
          <w:rFonts w:hint="eastAsia" w:ascii="仿宋" w:hAnsi="仿宋" w:eastAsia="仿宋" w:cs="仿宋_GB2312"/>
          <w:sz w:val="32"/>
          <w:szCs w:val="32"/>
        </w:rPr>
        <w:t>年</w:t>
      </w:r>
      <w:r>
        <w:rPr>
          <w:rFonts w:hint="eastAsia" w:ascii="仿宋" w:hAnsi="仿宋" w:eastAsia="仿宋" w:cs="仿宋_GB2312"/>
          <w:sz w:val="32"/>
          <w:szCs w:val="32"/>
          <w:lang w:eastAsia="zh-CN"/>
        </w:rPr>
        <w:t>，宁晋县司法局安排</w:t>
      </w:r>
      <w:r>
        <w:rPr>
          <w:rFonts w:hint="eastAsia" w:ascii="仿宋" w:hAnsi="仿宋" w:eastAsia="仿宋" w:cs="仿宋_GB2312"/>
          <w:sz w:val="32"/>
          <w:szCs w:val="32"/>
        </w:rPr>
        <w:t>政府采购预算为0万</w:t>
      </w:r>
      <w:r>
        <w:rPr>
          <w:rFonts w:hint="eastAsia" w:ascii="仿宋" w:hAnsi="仿宋" w:eastAsia="仿宋" w:cs="仿宋_GB2312"/>
          <w:sz w:val="32"/>
          <w:szCs w:val="32"/>
          <w:lang w:eastAsia="zh-CN"/>
        </w:rPr>
        <w:t>元</w:t>
      </w:r>
      <w:r>
        <w:rPr>
          <w:rFonts w:hint="eastAsia" w:ascii="仿宋" w:hAnsi="仿宋" w:eastAsia="仿宋" w:cs="仿宋_GB2312"/>
          <w:sz w:val="32"/>
          <w:szCs w:val="32"/>
        </w:rPr>
        <w:t>，无采购项目。</w:t>
      </w:r>
    </w:p>
    <w:p w14:paraId="28150BFB">
      <w:pPr>
        <w:spacing w:before="0" w:after="0" w:line="240" w:lineRule="auto"/>
        <w:ind w:firstLine="0"/>
        <w:jc w:val="center"/>
        <w:outlineLvl w:val="9"/>
        <w:rPr>
          <w:rFonts w:hint="eastAsia" w:ascii="仿宋" w:hAnsi="仿宋" w:eastAsia="仿宋" w:cs="仿宋_GB2312"/>
          <w:sz w:val="32"/>
          <w:szCs w:val="32"/>
        </w:rPr>
      </w:pPr>
      <w:r>
        <w:rPr>
          <w:rFonts w:ascii="方正小标宋_GBK" w:hAnsi="方正小标宋_GBK" w:eastAsia="方正小标宋_GBK" w:cs="方正小标宋_GBK"/>
          <w:color w:val="000000"/>
          <w:sz w:val="36"/>
        </w:rPr>
        <w:t>部门政府采购预算</w:t>
      </w:r>
    </w:p>
    <w:tbl>
      <w:tblPr>
        <w:tblStyle w:val="5"/>
        <w:tblpPr w:leftFromText="180" w:rightFromText="180" w:vertAnchor="text" w:horzAnchor="page" w:tblpX="1523" w:tblpY="208"/>
        <w:tblOverlap w:val="never"/>
        <w:tblW w:w="14389" w:type="dxa"/>
        <w:tblInd w:w="0" w:type="dxa"/>
        <w:tblLayout w:type="fixed"/>
        <w:tblCellMar>
          <w:top w:w="0" w:type="dxa"/>
          <w:left w:w="108" w:type="dxa"/>
          <w:bottom w:w="0" w:type="dxa"/>
          <w:right w:w="108" w:type="dxa"/>
        </w:tblCellMar>
      </w:tblPr>
      <w:tblGrid>
        <w:gridCol w:w="3640"/>
        <w:gridCol w:w="1020"/>
        <w:gridCol w:w="1764"/>
        <w:gridCol w:w="990"/>
        <w:gridCol w:w="726"/>
        <w:gridCol w:w="700"/>
        <w:gridCol w:w="920"/>
        <w:gridCol w:w="1260"/>
        <w:gridCol w:w="1260"/>
        <w:gridCol w:w="1140"/>
        <w:gridCol w:w="969"/>
      </w:tblGrid>
      <w:tr w14:paraId="63258ABB">
        <w:tblPrEx>
          <w:tblCellMar>
            <w:top w:w="0" w:type="dxa"/>
            <w:left w:w="108" w:type="dxa"/>
            <w:bottom w:w="0" w:type="dxa"/>
            <w:right w:w="108" w:type="dxa"/>
          </w:tblCellMar>
        </w:tblPrEx>
        <w:trPr>
          <w:trHeight w:val="402" w:hRule="atLeast"/>
        </w:trPr>
        <w:tc>
          <w:tcPr>
            <w:tcW w:w="9760" w:type="dxa"/>
            <w:gridSpan w:val="7"/>
            <w:tcBorders>
              <w:top w:val="nil"/>
              <w:left w:val="nil"/>
              <w:bottom w:val="nil"/>
              <w:right w:val="nil"/>
            </w:tcBorders>
            <w:vAlign w:val="center"/>
          </w:tcPr>
          <w:p w14:paraId="3C6F5953">
            <w:pPr>
              <w:widowControl/>
              <w:jc w:val="left"/>
              <w:rPr>
                <w:rFonts w:ascii="仿宋" w:hAnsi="仿宋" w:eastAsia="仿宋" w:cs="宋体"/>
                <w:kern w:val="0"/>
                <w:sz w:val="32"/>
                <w:szCs w:val="32"/>
              </w:rPr>
            </w:pPr>
            <w:r>
              <w:rPr>
                <w:rFonts w:hint="eastAsia" w:ascii="仿宋" w:hAnsi="仿宋" w:eastAsia="仿宋" w:cs="宋体"/>
                <w:kern w:val="0"/>
                <w:sz w:val="32"/>
                <w:szCs w:val="32"/>
              </w:rPr>
              <w:t>部门编码及名称：</w:t>
            </w:r>
            <w:r>
              <w:rPr>
                <w:rFonts w:ascii="仿宋" w:hAnsi="仿宋" w:eastAsia="仿宋" w:cs="宋体"/>
                <w:kern w:val="0"/>
                <w:sz w:val="32"/>
                <w:szCs w:val="32"/>
              </w:rPr>
              <w:t>[315]</w:t>
            </w:r>
            <w:r>
              <w:rPr>
                <w:rFonts w:hint="eastAsia" w:ascii="仿宋" w:hAnsi="仿宋" w:eastAsia="仿宋" w:cs="宋体"/>
                <w:kern w:val="0"/>
                <w:sz w:val="32"/>
                <w:szCs w:val="32"/>
              </w:rPr>
              <w:t>宁晋县司法局</w:t>
            </w:r>
          </w:p>
        </w:tc>
        <w:tc>
          <w:tcPr>
            <w:tcW w:w="4629" w:type="dxa"/>
            <w:gridSpan w:val="4"/>
            <w:tcBorders>
              <w:top w:val="nil"/>
              <w:left w:val="nil"/>
              <w:bottom w:val="nil"/>
              <w:right w:val="nil"/>
            </w:tcBorders>
            <w:vAlign w:val="center"/>
          </w:tcPr>
          <w:p w14:paraId="1C3435D5">
            <w:pPr>
              <w:widowControl/>
              <w:jc w:val="right"/>
              <w:rPr>
                <w:rFonts w:ascii="仿宋" w:hAnsi="仿宋" w:eastAsia="仿宋" w:cs="宋体"/>
                <w:kern w:val="0"/>
                <w:sz w:val="32"/>
                <w:szCs w:val="32"/>
              </w:rPr>
            </w:pPr>
            <w:r>
              <w:rPr>
                <w:rFonts w:hint="eastAsia" w:ascii="仿宋" w:hAnsi="仿宋" w:eastAsia="仿宋" w:cs="宋体"/>
                <w:kern w:val="0"/>
                <w:sz w:val="32"/>
                <w:szCs w:val="32"/>
              </w:rPr>
              <w:t>单位：万元</w:t>
            </w:r>
          </w:p>
        </w:tc>
      </w:tr>
      <w:tr w14:paraId="37C54214">
        <w:tblPrEx>
          <w:tblCellMar>
            <w:top w:w="0" w:type="dxa"/>
            <w:left w:w="108" w:type="dxa"/>
            <w:bottom w:w="0" w:type="dxa"/>
            <w:right w:w="108" w:type="dxa"/>
          </w:tblCellMar>
        </w:tblPrEx>
        <w:trPr>
          <w:trHeight w:val="319" w:hRule="atLeast"/>
        </w:trPr>
        <w:tc>
          <w:tcPr>
            <w:tcW w:w="4660" w:type="dxa"/>
            <w:gridSpan w:val="2"/>
            <w:tcBorders>
              <w:top w:val="single" w:color="auto" w:sz="4" w:space="0"/>
              <w:left w:val="single" w:color="auto" w:sz="4" w:space="0"/>
              <w:bottom w:val="single" w:color="auto" w:sz="4" w:space="0"/>
              <w:right w:val="single" w:color="auto" w:sz="4" w:space="0"/>
            </w:tcBorders>
            <w:vAlign w:val="center"/>
          </w:tcPr>
          <w:p w14:paraId="0908FAE1">
            <w:pPr>
              <w:widowControl/>
              <w:jc w:val="center"/>
              <w:rPr>
                <w:rFonts w:ascii="仿宋" w:hAnsi="仿宋" w:eastAsia="仿宋" w:cs="宋体"/>
                <w:bCs/>
                <w:kern w:val="0"/>
                <w:szCs w:val="21"/>
              </w:rPr>
            </w:pPr>
            <w:r>
              <w:rPr>
                <w:rFonts w:hint="eastAsia" w:ascii="仿宋" w:hAnsi="仿宋" w:eastAsia="仿宋" w:cs="宋体"/>
                <w:bCs/>
                <w:kern w:val="0"/>
                <w:szCs w:val="21"/>
              </w:rPr>
              <w:t>政府采购项目来源</w:t>
            </w:r>
          </w:p>
        </w:tc>
        <w:tc>
          <w:tcPr>
            <w:tcW w:w="1764" w:type="dxa"/>
            <w:vMerge w:val="restart"/>
            <w:tcBorders>
              <w:top w:val="single" w:color="auto" w:sz="4" w:space="0"/>
              <w:left w:val="single" w:color="auto" w:sz="4" w:space="0"/>
              <w:bottom w:val="single" w:color="auto" w:sz="4" w:space="0"/>
              <w:right w:val="single" w:color="auto" w:sz="4" w:space="0"/>
            </w:tcBorders>
            <w:vAlign w:val="center"/>
          </w:tcPr>
          <w:p w14:paraId="178541D8">
            <w:pPr>
              <w:widowControl/>
              <w:jc w:val="center"/>
              <w:rPr>
                <w:rFonts w:ascii="仿宋" w:hAnsi="仿宋" w:eastAsia="仿宋" w:cs="宋体"/>
                <w:bCs/>
                <w:kern w:val="0"/>
                <w:szCs w:val="21"/>
              </w:rPr>
            </w:pPr>
            <w:r>
              <w:rPr>
                <w:rFonts w:hint="eastAsia" w:ascii="仿宋" w:hAnsi="仿宋" w:eastAsia="仿宋" w:cs="宋体"/>
                <w:bCs/>
                <w:kern w:val="0"/>
                <w:szCs w:val="21"/>
              </w:rPr>
              <w:t>采购物品名称</w:t>
            </w:r>
          </w:p>
        </w:tc>
        <w:tc>
          <w:tcPr>
            <w:tcW w:w="990" w:type="dxa"/>
            <w:vMerge w:val="restart"/>
            <w:tcBorders>
              <w:top w:val="single" w:color="auto" w:sz="4" w:space="0"/>
              <w:left w:val="single" w:color="auto" w:sz="4" w:space="0"/>
              <w:bottom w:val="single" w:color="auto" w:sz="4" w:space="0"/>
              <w:right w:val="single" w:color="auto" w:sz="4" w:space="0"/>
            </w:tcBorders>
            <w:vAlign w:val="center"/>
          </w:tcPr>
          <w:p w14:paraId="5CF24325">
            <w:pPr>
              <w:widowControl/>
              <w:jc w:val="center"/>
              <w:rPr>
                <w:rFonts w:ascii="仿宋" w:hAnsi="仿宋" w:eastAsia="仿宋" w:cs="宋体"/>
                <w:bCs/>
                <w:kern w:val="0"/>
                <w:szCs w:val="21"/>
              </w:rPr>
            </w:pPr>
            <w:r>
              <w:rPr>
                <w:rFonts w:hint="eastAsia" w:ascii="仿宋" w:hAnsi="仿宋" w:eastAsia="仿宋" w:cs="宋体"/>
                <w:bCs/>
                <w:kern w:val="0"/>
                <w:szCs w:val="21"/>
              </w:rPr>
              <w:t>政府采购目录序号</w:t>
            </w:r>
          </w:p>
        </w:tc>
        <w:tc>
          <w:tcPr>
            <w:tcW w:w="726" w:type="dxa"/>
            <w:vMerge w:val="restart"/>
            <w:tcBorders>
              <w:top w:val="single" w:color="auto" w:sz="4" w:space="0"/>
              <w:left w:val="single" w:color="auto" w:sz="4" w:space="0"/>
              <w:bottom w:val="single" w:color="auto" w:sz="4" w:space="0"/>
              <w:right w:val="single" w:color="auto" w:sz="4" w:space="0"/>
            </w:tcBorders>
            <w:vAlign w:val="center"/>
          </w:tcPr>
          <w:p w14:paraId="367EB9B4">
            <w:pPr>
              <w:widowControl/>
              <w:jc w:val="center"/>
              <w:rPr>
                <w:rFonts w:ascii="仿宋" w:hAnsi="仿宋" w:eastAsia="仿宋" w:cs="宋体"/>
                <w:bCs/>
                <w:kern w:val="0"/>
                <w:szCs w:val="21"/>
              </w:rPr>
            </w:pPr>
            <w:r>
              <w:rPr>
                <w:rFonts w:hint="eastAsia" w:ascii="仿宋" w:hAnsi="仿宋" w:eastAsia="仿宋" w:cs="宋体"/>
                <w:bCs/>
                <w:kern w:val="0"/>
                <w:szCs w:val="21"/>
              </w:rPr>
              <w:t>单位</w:t>
            </w:r>
          </w:p>
        </w:tc>
        <w:tc>
          <w:tcPr>
            <w:tcW w:w="700" w:type="dxa"/>
            <w:vMerge w:val="restart"/>
            <w:tcBorders>
              <w:top w:val="single" w:color="auto" w:sz="4" w:space="0"/>
              <w:left w:val="single" w:color="auto" w:sz="4" w:space="0"/>
              <w:bottom w:val="single" w:color="auto" w:sz="4" w:space="0"/>
              <w:right w:val="single" w:color="auto" w:sz="4" w:space="0"/>
            </w:tcBorders>
            <w:vAlign w:val="center"/>
          </w:tcPr>
          <w:p w14:paraId="67833209">
            <w:pPr>
              <w:widowControl/>
              <w:jc w:val="center"/>
              <w:rPr>
                <w:rFonts w:ascii="仿宋" w:hAnsi="仿宋" w:eastAsia="仿宋" w:cs="宋体"/>
                <w:bCs/>
                <w:kern w:val="0"/>
                <w:szCs w:val="21"/>
              </w:rPr>
            </w:pPr>
            <w:r>
              <w:rPr>
                <w:rFonts w:hint="eastAsia" w:ascii="仿宋" w:hAnsi="仿宋" w:eastAsia="仿宋" w:cs="宋体"/>
                <w:bCs/>
                <w:kern w:val="0"/>
                <w:szCs w:val="21"/>
              </w:rPr>
              <w:t>数量</w:t>
            </w:r>
          </w:p>
        </w:tc>
        <w:tc>
          <w:tcPr>
            <w:tcW w:w="920" w:type="dxa"/>
            <w:vMerge w:val="restart"/>
            <w:tcBorders>
              <w:top w:val="single" w:color="auto" w:sz="4" w:space="0"/>
              <w:left w:val="single" w:color="auto" w:sz="4" w:space="0"/>
              <w:bottom w:val="single" w:color="auto" w:sz="4" w:space="0"/>
              <w:right w:val="single" w:color="auto" w:sz="4" w:space="0"/>
            </w:tcBorders>
            <w:vAlign w:val="center"/>
          </w:tcPr>
          <w:p w14:paraId="0646E21E">
            <w:pPr>
              <w:widowControl/>
              <w:jc w:val="center"/>
              <w:rPr>
                <w:rFonts w:ascii="仿宋" w:hAnsi="仿宋" w:eastAsia="仿宋" w:cs="宋体"/>
                <w:bCs/>
                <w:kern w:val="0"/>
                <w:szCs w:val="21"/>
              </w:rPr>
            </w:pPr>
            <w:r>
              <w:rPr>
                <w:rFonts w:hint="eastAsia" w:ascii="仿宋" w:hAnsi="仿宋" w:eastAsia="仿宋" w:cs="宋体"/>
                <w:bCs/>
                <w:kern w:val="0"/>
                <w:szCs w:val="21"/>
              </w:rPr>
              <w:t>单价</w:t>
            </w:r>
          </w:p>
        </w:tc>
        <w:tc>
          <w:tcPr>
            <w:tcW w:w="4629" w:type="dxa"/>
            <w:gridSpan w:val="4"/>
            <w:tcBorders>
              <w:top w:val="single" w:color="auto" w:sz="4" w:space="0"/>
              <w:left w:val="nil"/>
              <w:bottom w:val="single" w:color="auto" w:sz="4" w:space="0"/>
              <w:right w:val="single" w:color="auto" w:sz="4" w:space="0"/>
            </w:tcBorders>
            <w:vAlign w:val="center"/>
          </w:tcPr>
          <w:p w14:paraId="4403E27E">
            <w:pPr>
              <w:widowControl/>
              <w:jc w:val="center"/>
              <w:rPr>
                <w:rFonts w:ascii="仿宋" w:hAnsi="仿宋" w:eastAsia="仿宋" w:cs="宋体"/>
                <w:bCs/>
                <w:kern w:val="0"/>
                <w:szCs w:val="21"/>
              </w:rPr>
            </w:pPr>
            <w:r>
              <w:rPr>
                <w:rFonts w:hint="eastAsia" w:ascii="仿宋" w:hAnsi="仿宋" w:eastAsia="仿宋" w:cs="宋体"/>
                <w:bCs/>
                <w:kern w:val="0"/>
                <w:szCs w:val="21"/>
              </w:rPr>
              <w:t>政府采购金额</w:t>
            </w:r>
          </w:p>
        </w:tc>
      </w:tr>
      <w:tr w14:paraId="5EA5A025">
        <w:tblPrEx>
          <w:tblCellMar>
            <w:top w:w="0" w:type="dxa"/>
            <w:left w:w="108" w:type="dxa"/>
            <w:bottom w:w="0" w:type="dxa"/>
            <w:right w:w="108" w:type="dxa"/>
          </w:tblCellMar>
        </w:tblPrEx>
        <w:trPr>
          <w:trHeight w:val="319" w:hRule="atLeast"/>
        </w:trPr>
        <w:tc>
          <w:tcPr>
            <w:tcW w:w="3640" w:type="dxa"/>
            <w:vMerge w:val="restart"/>
            <w:tcBorders>
              <w:top w:val="nil"/>
              <w:left w:val="single" w:color="auto" w:sz="4" w:space="0"/>
              <w:bottom w:val="single" w:color="auto" w:sz="4" w:space="0"/>
              <w:right w:val="single" w:color="auto" w:sz="4" w:space="0"/>
            </w:tcBorders>
            <w:vAlign w:val="center"/>
          </w:tcPr>
          <w:p w14:paraId="4AB05CC1">
            <w:pPr>
              <w:widowControl/>
              <w:jc w:val="center"/>
              <w:rPr>
                <w:rFonts w:ascii="仿宋" w:hAnsi="仿宋" w:eastAsia="仿宋" w:cs="宋体"/>
                <w:bCs/>
                <w:kern w:val="0"/>
                <w:szCs w:val="21"/>
              </w:rPr>
            </w:pPr>
            <w:r>
              <w:rPr>
                <w:rFonts w:hint="eastAsia" w:ascii="仿宋" w:hAnsi="仿宋" w:eastAsia="仿宋" w:cs="宋体"/>
                <w:bCs/>
                <w:kern w:val="0"/>
                <w:szCs w:val="21"/>
              </w:rPr>
              <w:t>功能分类科目</w:t>
            </w:r>
          </w:p>
        </w:tc>
        <w:tc>
          <w:tcPr>
            <w:tcW w:w="1020" w:type="dxa"/>
            <w:vMerge w:val="restart"/>
            <w:tcBorders>
              <w:top w:val="nil"/>
              <w:left w:val="single" w:color="auto" w:sz="4" w:space="0"/>
              <w:bottom w:val="single" w:color="auto" w:sz="4" w:space="0"/>
              <w:right w:val="single" w:color="auto" w:sz="4" w:space="0"/>
            </w:tcBorders>
            <w:vAlign w:val="center"/>
          </w:tcPr>
          <w:p w14:paraId="16374776">
            <w:pPr>
              <w:widowControl/>
              <w:jc w:val="center"/>
              <w:rPr>
                <w:rFonts w:ascii="仿宋" w:hAnsi="仿宋" w:eastAsia="仿宋" w:cs="宋体"/>
                <w:bCs/>
                <w:kern w:val="0"/>
                <w:szCs w:val="21"/>
              </w:rPr>
            </w:pPr>
            <w:r>
              <w:rPr>
                <w:rFonts w:hint="eastAsia" w:ascii="仿宋" w:hAnsi="仿宋" w:eastAsia="仿宋" w:cs="宋体"/>
                <w:bCs/>
                <w:kern w:val="0"/>
                <w:szCs w:val="21"/>
              </w:rPr>
              <w:t>预算资金</w:t>
            </w:r>
          </w:p>
        </w:tc>
        <w:tc>
          <w:tcPr>
            <w:tcW w:w="1764" w:type="dxa"/>
            <w:vMerge w:val="continue"/>
            <w:tcBorders>
              <w:top w:val="single" w:color="auto" w:sz="4" w:space="0"/>
              <w:left w:val="single" w:color="auto" w:sz="4" w:space="0"/>
              <w:bottom w:val="single" w:color="auto" w:sz="4" w:space="0"/>
              <w:right w:val="single" w:color="auto" w:sz="4" w:space="0"/>
            </w:tcBorders>
            <w:vAlign w:val="center"/>
          </w:tcPr>
          <w:p w14:paraId="6F6DA5EA">
            <w:pPr>
              <w:widowControl/>
              <w:jc w:val="left"/>
              <w:rPr>
                <w:rFonts w:ascii="仿宋" w:hAnsi="仿宋" w:eastAsia="仿宋" w:cs="宋体"/>
                <w:bCs/>
                <w:kern w:val="0"/>
                <w:szCs w:val="21"/>
              </w:rPr>
            </w:pPr>
          </w:p>
        </w:tc>
        <w:tc>
          <w:tcPr>
            <w:tcW w:w="990" w:type="dxa"/>
            <w:vMerge w:val="continue"/>
            <w:tcBorders>
              <w:top w:val="single" w:color="auto" w:sz="4" w:space="0"/>
              <w:left w:val="single" w:color="auto" w:sz="4" w:space="0"/>
              <w:bottom w:val="single" w:color="auto" w:sz="4" w:space="0"/>
              <w:right w:val="single" w:color="auto" w:sz="4" w:space="0"/>
            </w:tcBorders>
            <w:vAlign w:val="center"/>
          </w:tcPr>
          <w:p w14:paraId="430052EB">
            <w:pPr>
              <w:widowControl/>
              <w:jc w:val="left"/>
              <w:rPr>
                <w:rFonts w:ascii="仿宋" w:hAnsi="仿宋" w:eastAsia="仿宋" w:cs="宋体"/>
                <w:bCs/>
                <w:kern w:val="0"/>
                <w:szCs w:val="21"/>
              </w:rPr>
            </w:pPr>
          </w:p>
        </w:tc>
        <w:tc>
          <w:tcPr>
            <w:tcW w:w="726" w:type="dxa"/>
            <w:vMerge w:val="continue"/>
            <w:tcBorders>
              <w:top w:val="single" w:color="auto" w:sz="4" w:space="0"/>
              <w:left w:val="single" w:color="auto" w:sz="4" w:space="0"/>
              <w:bottom w:val="single" w:color="auto" w:sz="4" w:space="0"/>
              <w:right w:val="single" w:color="auto" w:sz="4" w:space="0"/>
            </w:tcBorders>
            <w:vAlign w:val="center"/>
          </w:tcPr>
          <w:p w14:paraId="17057E3F">
            <w:pPr>
              <w:widowControl/>
              <w:jc w:val="left"/>
              <w:rPr>
                <w:rFonts w:ascii="仿宋" w:hAnsi="仿宋" w:eastAsia="仿宋" w:cs="宋体"/>
                <w:bCs/>
                <w:kern w:val="0"/>
                <w:szCs w:val="21"/>
              </w:rPr>
            </w:pPr>
          </w:p>
        </w:tc>
        <w:tc>
          <w:tcPr>
            <w:tcW w:w="700" w:type="dxa"/>
            <w:vMerge w:val="continue"/>
            <w:tcBorders>
              <w:top w:val="single" w:color="auto" w:sz="4" w:space="0"/>
              <w:left w:val="single" w:color="auto" w:sz="4" w:space="0"/>
              <w:bottom w:val="single" w:color="auto" w:sz="4" w:space="0"/>
              <w:right w:val="single" w:color="auto" w:sz="4" w:space="0"/>
            </w:tcBorders>
            <w:vAlign w:val="center"/>
          </w:tcPr>
          <w:p w14:paraId="36E7B998">
            <w:pPr>
              <w:widowControl/>
              <w:jc w:val="left"/>
              <w:rPr>
                <w:rFonts w:ascii="仿宋" w:hAnsi="仿宋" w:eastAsia="仿宋" w:cs="宋体"/>
                <w:bCs/>
                <w:kern w:val="0"/>
                <w:szCs w:val="21"/>
              </w:rPr>
            </w:pPr>
          </w:p>
        </w:tc>
        <w:tc>
          <w:tcPr>
            <w:tcW w:w="920" w:type="dxa"/>
            <w:vMerge w:val="continue"/>
            <w:tcBorders>
              <w:top w:val="single" w:color="auto" w:sz="4" w:space="0"/>
              <w:left w:val="single" w:color="auto" w:sz="4" w:space="0"/>
              <w:bottom w:val="single" w:color="auto" w:sz="4" w:space="0"/>
              <w:right w:val="single" w:color="auto" w:sz="4" w:space="0"/>
            </w:tcBorders>
            <w:vAlign w:val="center"/>
          </w:tcPr>
          <w:p w14:paraId="697330B4">
            <w:pPr>
              <w:widowControl/>
              <w:jc w:val="left"/>
              <w:rPr>
                <w:rFonts w:ascii="仿宋" w:hAnsi="仿宋" w:eastAsia="仿宋" w:cs="宋体"/>
                <w:bCs/>
                <w:kern w:val="0"/>
                <w:szCs w:val="21"/>
              </w:rPr>
            </w:pPr>
          </w:p>
        </w:tc>
        <w:tc>
          <w:tcPr>
            <w:tcW w:w="1260" w:type="dxa"/>
            <w:vMerge w:val="restart"/>
            <w:tcBorders>
              <w:top w:val="nil"/>
              <w:left w:val="single" w:color="auto" w:sz="4" w:space="0"/>
              <w:bottom w:val="single" w:color="auto" w:sz="4" w:space="0"/>
              <w:right w:val="single" w:color="auto" w:sz="4" w:space="0"/>
            </w:tcBorders>
            <w:vAlign w:val="center"/>
          </w:tcPr>
          <w:p w14:paraId="5CB5B29B">
            <w:pPr>
              <w:widowControl/>
              <w:jc w:val="center"/>
              <w:rPr>
                <w:rFonts w:ascii="仿宋" w:hAnsi="仿宋" w:eastAsia="仿宋" w:cs="宋体"/>
                <w:bCs/>
                <w:kern w:val="0"/>
                <w:szCs w:val="21"/>
              </w:rPr>
            </w:pPr>
            <w:r>
              <w:rPr>
                <w:rFonts w:hint="eastAsia" w:ascii="仿宋" w:hAnsi="仿宋" w:eastAsia="仿宋" w:cs="宋体"/>
                <w:bCs/>
                <w:kern w:val="0"/>
                <w:szCs w:val="21"/>
              </w:rPr>
              <w:t>总计</w:t>
            </w:r>
          </w:p>
        </w:tc>
        <w:tc>
          <w:tcPr>
            <w:tcW w:w="3369" w:type="dxa"/>
            <w:gridSpan w:val="3"/>
            <w:tcBorders>
              <w:top w:val="single" w:color="auto" w:sz="4" w:space="0"/>
              <w:left w:val="nil"/>
              <w:bottom w:val="single" w:color="auto" w:sz="4" w:space="0"/>
              <w:right w:val="single" w:color="auto" w:sz="4" w:space="0"/>
            </w:tcBorders>
            <w:vAlign w:val="center"/>
          </w:tcPr>
          <w:p w14:paraId="39AAE332">
            <w:pPr>
              <w:widowControl/>
              <w:jc w:val="center"/>
              <w:rPr>
                <w:rFonts w:ascii="仿宋" w:hAnsi="仿宋" w:eastAsia="仿宋" w:cs="宋体"/>
                <w:bCs/>
                <w:kern w:val="0"/>
                <w:szCs w:val="21"/>
              </w:rPr>
            </w:pPr>
            <w:r>
              <w:rPr>
                <w:rFonts w:hint="eastAsia" w:ascii="仿宋" w:hAnsi="仿宋" w:eastAsia="仿宋" w:cs="宋体"/>
                <w:bCs/>
                <w:kern w:val="0"/>
                <w:szCs w:val="21"/>
              </w:rPr>
              <w:t>当年部门预算安排资金</w:t>
            </w:r>
          </w:p>
        </w:tc>
      </w:tr>
      <w:tr w14:paraId="4750E725">
        <w:tblPrEx>
          <w:tblCellMar>
            <w:top w:w="0" w:type="dxa"/>
            <w:left w:w="108" w:type="dxa"/>
            <w:bottom w:w="0" w:type="dxa"/>
            <w:right w:w="108" w:type="dxa"/>
          </w:tblCellMar>
        </w:tblPrEx>
        <w:trPr>
          <w:trHeight w:val="499" w:hRule="atLeast"/>
        </w:trPr>
        <w:tc>
          <w:tcPr>
            <w:tcW w:w="3640" w:type="dxa"/>
            <w:vMerge w:val="continue"/>
            <w:tcBorders>
              <w:top w:val="nil"/>
              <w:left w:val="single" w:color="auto" w:sz="4" w:space="0"/>
              <w:bottom w:val="single" w:color="auto" w:sz="4" w:space="0"/>
              <w:right w:val="single" w:color="auto" w:sz="4" w:space="0"/>
            </w:tcBorders>
            <w:vAlign w:val="center"/>
          </w:tcPr>
          <w:p w14:paraId="68DEB316">
            <w:pPr>
              <w:widowControl/>
              <w:jc w:val="left"/>
              <w:rPr>
                <w:rFonts w:ascii="仿宋" w:hAnsi="仿宋" w:eastAsia="仿宋" w:cs="宋体"/>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7E50BCC8">
            <w:pPr>
              <w:widowControl/>
              <w:jc w:val="left"/>
              <w:rPr>
                <w:rFonts w:ascii="仿宋" w:hAnsi="仿宋" w:eastAsia="仿宋" w:cs="宋体"/>
                <w:bCs/>
                <w:kern w:val="0"/>
                <w:szCs w:val="21"/>
              </w:rPr>
            </w:pPr>
          </w:p>
        </w:tc>
        <w:tc>
          <w:tcPr>
            <w:tcW w:w="1764" w:type="dxa"/>
            <w:vMerge w:val="continue"/>
            <w:tcBorders>
              <w:top w:val="single" w:color="auto" w:sz="4" w:space="0"/>
              <w:left w:val="single" w:color="auto" w:sz="4" w:space="0"/>
              <w:bottom w:val="single" w:color="auto" w:sz="4" w:space="0"/>
              <w:right w:val="single" w:color="auto" w:sz="4" w:space="0"/>
            </w:tcBorders>
            <w:vAlign w:val="center"/>
          </w:tcPr>
          <w:p w14:paraId="3C22744C">
            <w:pPr>
              <w:widowControl/>
              <w:jc w:val="left"/>
              <w:rPr>
                <w:rFonts w:ascii="仿宋" w:hAnsi="仿宋" w:eastAsia="仿宋" w:cs="宋体"/>
                <w:bCs/>
                <w:kern w:val="0"/>
                <w:szCs w:val="21"/>
              </w:rPr>
            </w:pPr>
          </w:p>
        </w:tc>
        <w:tc>
          <w:tcPr>
            <w:tcW w:w="990" w:type="dxa"/>
            <w:vMerge w:val="continue"/>
            <w:tcBorders>
              <w:top w:val="single" w:color="auto" w:sz="4" w:space="0"/>
              <w:left w:val="single" w:color="auto" w:sz="4" w:space="0"/>
              <w:bottom w:val="single" w:color="auto" w:sz="4" w:space="0"/>
              <w:right w:val="single" w:color="auto" w:sz="4" w:space="0"/>
            </w:tcBorders>
            <w:vAlign w:val="center"/>
          </w:tcPr>
          <w:p w14:paraId="7CA8E51C">
            <w:pPr>
              <w:widowControl/>
              <w:jc w:val="left"/>
              <w:rPr>
                <w:rFonts w:ascii="仿宋" w:hAnsi="仿宋" w:eastAsia="仿宋" w:cs="宋体"/>
                <w:bCs/>
                <w:kern w:val="0"/>
                <w:szCs w:val="21"/>
              </w:rPr>
            </w:pPr>
          </w:p>
        </w:tc>
        <w:tc>
          <w:tcPr>
            <w:tcW w:w="726" w:type="dxa"/>
            <w:vMerge w:val="continue"/>
            <w:tcBorders>
              <w:top w:val="single" w:color="auto" w:sz="4" w:space="0"/>
              <w:left w:val="single" w:color="auto" w:sz="4" w:space="0"/>
              <w:bottom w:val="single" w:color="auto" w:sz="4" w:space="0"/>
              <w:right w:val="single" w:color="auto" w:sz="4" w:space="0"/>
            </w:tcBorders>
            <w:vAlign w:val="center"/>
          </w:tcPr>
          <w:p w14:paraId="4A0A510E">
            <w:pPr>
              <w:widowControl/>
              <w:jc w:val="left"/>
              <w:rPr>
                <w:rFonts w:ascii="仿宋" w:hAnsi="仿宋" w:eastAsia="仿宋" w:cs="宋体"/>
                <w:bCs/>
                <w:kern w:val="0"/>
                <w:szCs w:val="21"/>
              </w:rPr>
            </w:pPr>
          </w:p>
        </w:tc>
        <w:tc>
          <w:tcPr>
            <w:tcW w:w="700" w:type="dxa"/>
            <w:vMerge w:val="continue"/>
            <w:tcBorders>
              <w:top w:val="single" w:color="auto" w:sz="4" w:space="0"/>
              <w:left w:val="single" w:color="auto" w:sz="4" w:space="0"/>
              <w:bottom w:val="single" w:color="auto" w:sz="4" w:space="0"/>
              <w:right w:val="single" w:color="auto" w:sz="4" w:space="0"/>
            </w:tcBorders>
            <w:vAlign w:val="center"/>
          </w:tcPr>
          <w:p w14:paraId="3B93D91B">
            <w:pPr>
              <w:widowControl/>
              <w:jc w:val="left"/>
              <w:rPr>
                <w:rFonts w:ascii="仿宋" w:hAnsi="仿宋" w:eastAsia="仿宋" w:cs="宋体"/>
                <w:bCs/>
                <w:kern w:val="0"/>
                <w:szCs w:val="21"/>
              </w:rPr>
            </w:pPr>
          </w:p>
        </w:tc>
        <w:tc>
          <w:tcPr>
            <w:tcW w:w="920" w:type="dxa"/>
            <w:vMerge w:val="continue"/>
            <w:tcBorders>
              <w:top w:val="single" w:color="auto" w:sz="4" w:space="0"/>
              <w:left w:val="single" w:color="auto" w:sz="4" w:space="0"/>
              <w:bottom w:val="single" w:color="auto" w:sz="4" w:space="0"/>
              <w:right w:val="single" w:color="auto" w:sz="4" w:space="0"/>
            </w:tcBorders>
            <w:vAlign w:val="center"/>
          </w:tcPr>
          <w:p w14:paraId="3853A76D">
            <w:pPr>
              <w:widowControl/>
              <w:jc w:val="left"/>
              <w:rPr>
                <w:rFonts w:ascii="仿宋" w:hAnsi="仿宋" w:eastAsia="仿宋" w:cs="宋体"/>
                <w:bCs/>
                <w:kern w:val="0"/>
                <w:szCs w:val="21"/>
              </w:rPr>
            </w:pPr>
          </w:p>
        </w:tc>
        <w:tc>
          <w:tcPr>
            <w:tcW w:w="1260" w:type="dxa"/>
            <w:vMerge w:val="continue"/>
            <w:tcBorders>
              <w:top w:val="nil"/>
              <w:left w:val="single" w:color="auto" w:sz="4" w:space="0"/>
              <w:bottom w:val="single" w:color="auto" w:sz="4" w:space="0"/>
              <w:right w:val="single" w:color="auto" w:sz="4" w:space="0"/>
            </w:tcBorders>
            <w:vAlign w:val="center"/>
          </w:tcPr>
          <w:p w14:paraId="6BD6371C">
            <w:pPr>
              <w:widowControl/>
              <w:jc w:val="left"/>
              <w:rPr>
                <w:rFonts w:ascii="仿宋" w:hAnsi="仿宋" w:eastAsia="仿宋" w:cs="宋体"/>
                <w:bCs/>
                <w:kern w:val="0"/>
                <w:szCs w:val="21"/>
              </w:rPr>
            </w:pPr>
          </w:p>
        </w:tc>
        <w:tc>
          <w:tcPr>
            <w:tcW w:w="1260" w:type="dxa"/>
            <w:tcBorders>
              <w:top w:val="nil"/>
              <w:left w:val="nil"/>
              <w:bottom w:val="single" w:color="auto" w:sz="4" w:space="0"/>
              <w:right w:val="single" w:color="auto" w:sz="4" w:space="0"/>
            </w:tcBorders>
            <w:vAlign w:val="center"/>
          </w:tcPr>
          <w:p w14:paraId="7862CA3B">
            <w:pPr>
              <w:widowControl/>
              <w:jc w:val="center"/>
              <w:rPr>
                <w:rFonts w:ascii="仿宋" w:hAnsi="仿宋" w:eastAsia="仿宋" w:cs="宋体"/>
                <w:bCs/>
                <w:kern w:val="0"/>
                <w:szCs w:val="21"/>
              </w:rPr>
            </w:pPr>
            <w:r>
              <w:rPr>
                <w:rFonts w:hint="eastAsia" w:ascii="仿宋" w:hAnsi="仿宋" w:eastAsia="仿宋" w:cs="宋体"/>
                <w:bCs/>
                <w:kern w:val="0"/>
                <w:szCs w:val="21"/>
              </w:rPr>
              <w:t>合计</w:t>
            </w:r>
          </w:p>
        </w:tc>
        <w:tc>
          <w:tcPr>
            <w:tcW w:w="1140" w:type="dxa"/>
            <w:tcBorders>
              <w:top w:val="nil"/>
              <w:left w:val="nil"/>
              <w:bottom w:val="single" w:color="auto" w:sz="4" w:space="0"/>
              <w:right w:val="single" w:color="auto" w:sz="4" w:space="0"/>
            </w:tcBorders>
            <w:vAlign w:val="center"/>
          </w:tcPr>
          <w:p w14:paraId="42F9D90A">
            <w:pPr>
              <w:widowControl/>
              <w:jc w:val="center"/>
              <w:rPr>
                <w:rFonts w:ascii="仿宋" w:hAnsi="仿宋" w:eastAsia="仿宋" w:cs="宋体"/>
                <w:bCs/>
                <w:kern w:val="0"/>
                <w:szCs w:val="21"/>
              </w:rPr>
            </w:pPr>
            <w:r>
              <w:rPr>
                <w:rFonts w:hint="eastAsia" w:ascii="仿宋" w:hAnsi="仿宋" w:eastAsia="仿宋" w:cs="宋体"/>
                <w:bCs/>
                <w:kern w:val="0"/>
                <w:szCs w:val="21"/>
              </w:rPr>
              <w:t>一般公共预算拨款</w:t>
            </w:r>
          </w:p>
        </w:tc>
        <w:tc>
          <w:tcPr>
            <w:tcW w:w="969" w:type="dxa"/>
            <w:tcBorders>
              <w:top w:val="nil"/>
              <w:left w:val="nil"/>
              <w:bottom w:val="single" w:color="auto" w:sz="4" w:space="0"/>
              <w:right w:val="single" w:color="auto" w:sz="4" w:space="0"/>
            </w:tcBorders>
            <w:vAlign w:val="center"/>
          </w:tcPr>
          <w:p w14:paraId="5992698B">
            <w:pPr>
              <w:widowControl/>
              <w:jc w:val="center"/>
              <w:rPr>
                <w:rFonts w:ascii="仿宋" w:hAnsi="仿宋" w:eastAsia="仿宋" w:cs="宋体"/>
                <w:bCs/>
                <w:kern w:val="0"/>
                <w:szCs w:val="21"/>
              </w:rPr>
            </w:pPr>
            <w:r>
              <w:rPr>
                <w:rFonts w:hint="eastAsia" w:ascii="仿宋" w:hAnsi="仿宋" w:eastAsia="仿宋" w:cs="宋体"/>
                <w:bCs/>
                <w:kern w:val="0"/>
                <w:szCs w:val="21"/>
              </w:rPr>
              <w:t>其他来源收入</w:t>
            </w:r>
          </w:p>
        </w:tc>
      </w:tr>
      <w:tr w14:paraId="5286D586">
        <w:tblPrEx>
          <w:tblCellMar>
            <w:top w:w="0" w:type="dxa"/>
            <w:left w:w="108" w:type="dxa"/>
            <w:bottom w:w="0" w:type="dxa"/>
            <w:right w:w="108" w:type="dxa"/>
          </w:tblCellMar>
        </w:tblPrEx>
        <w:trPr>
          <w:trHeight w:val="499" w:hRule="atLeast"/>
        </w:trPr>
        <w:tc>
          <w:tcPr>
            <w:tcW w:w="3640" w:type="dxa"/>
            <w:tcBorders>
              <w:top w:val="nil"/>
              <w:left w:val="single" w:color="auto" w:sz="4" w:space="0"/>
              <w:bottom w:val="single" w:color="auto" w:sz="4" w:space="0"/>
              <w:right w:val="single" w:color="auto" w:sz="4" w:space="0"/>
            </w:tcBorders>
            <w:vAlign w:val="center"/>
          </w:tcPr>
          <w:p w14:paraId="7FB6DAB9">
            <w:pPr>
              <w:widowControl/>
              <w:jc w:val="center"/>
              <w:rPr>
                <w:rFonts w:ascii="仿宋" w:hAnsi="仿宋" w:eastAsia="仿宋" w:cs="宋体"/>
                <w:bCs/>
                <w:kern w:val="0"/>
                <w:szCs w:val="21"/>
              </w:rPr>
            </w:pPr>
            <w:r>
              <w:rPr>
                <w:rFonts w:hint="eastAsia" w:ascii="仿宋" w:hAnsi="仿宋" w:eastAsia="仿宋" w:cs="宋体"/>
                <w:bCs/>
                <w:kern w:val="0"/>
                <w:szCs w:val="21"/>
              </w:rPr>
              <w:t>合　计</w:t>
            </w:r>
          </w:p>
        </w:tc>
        <w:tc>
          <w:tcPr>
            <w:tcW w:w="1020" w:type="dxa"/>
            <w:tcBorders>
              <w:top w:val="nil"/>
              <w:left w:val="nil"/>
              <w:bottom w:val="single" w:color="auto" w:sz="4" w:space="0"/>
              <w:right w:val="single" w:color="auto" w:sz="4" w:space="0"/>
            </w:tcBorders>
            <w:vAlign w:val="center"/>
          </w:tcPr>
          <w:p w14:paraId="372455AC">
            <w:pPr>
              <w:widowControl/>
              <w:jc w:val="right"/>
              <w:rPr>
                <w:rFonts w:ascii="仿宋" w:hAnsi="仿宋" w:eastAsia="仿宋" w:cs="宋体"/>
                <w:bCs/>
                <w:kern w:val="0"/>
                <w:szCs w:val="21"/>
              </w:rPr>
            </w:pPr>
          </w:p>
        </w:tc>
        <w:tc>
          <w:tcPr>
            <w:tcW w:w="1764" w:type="dxa"/>
            <w:tcBorders>
              <w:top w:val="nil"/>
              <w:left w:val="nil"/>
              <w:bottom w:val="single" w:color="auto" w:sz="4" w:space="0"/>
              <w:right w:val="single" w:color="auto" w:sz="4" w:space="0"/>
            </w:tcBorders>
            <w:vAlign w:val="center"/>
          </w:tcPr>
          <w:p w14:paraId="0FE9F06F">
            <w:pPr>
              <w:widowControl/>
              <w:jc w:val="left"/>
              <w:rPr>
                <w:rFonts w:ascii="仿宋" w:hAnsi="仿宋" w:eastAsia="仿宋" w:cs="宋体"/>
                <w:bCs/>
                <w:kern w:val="0"/>
                <w:szCs w:val="21"/>
              </w:rPr>
            </w:pPr>
            <w:r>
              <w:rPr>
                <w:rFonts w:hint="eastAsia" w:ascii="仿宋" w:hAnsi="仿宋" w:eastAsia="仿宋" w:cs="宋体"/>
                <w:bCs/>
                <w:kern w:val="0"/>
                <w:szCs w:val="21"/>
              </w:rPr>
              <w:t>　</w:t>
            </w:r>
          </w:p>
        </w:tc>
        <w:tc>
          <w:tcPr>
            <w:tcW w:w="990" w:type="dxa"/>
            <w:tcBorders>
              <w:top w:val="nil"/>
              <w:left w:val="nil"/>
              <w:bottom w:val="single" w:color="auto" w:sz="4" w:space="0"/>
              <w:right w:val="single" w:color="auto" w:sz="4" w:space="0"/>
            </w:tcBorders>
            <w:vAlign w:val="center"/>
          </w:tcPr>
          <w:p w14:paraId="57F34C13">
            <w:pPr>
              <w:widowControl/>
              <w:jc w:val="left"/>
              <w:rPr>
                <w:rFonts w:ascii="仿宋" w:hAnsi="仿宋" w:eastAsia="仿宋" w:cs="宋体"/>
                <w:bCs/>
                <w:kern w:val="0"/>
                <w:szCs w:val="21"/>
              </w:rPr>
            </w:pPr>
            <w:r>
              <w:rPr>
                <w:rFonts w:hint="eastAsia" w:ascii="仿宋" w:hAnsi="仿宋" w:eastAsia="仿宋" w:cs="宋体"/>
                <w:bCs/>
                <w:kern w:val="0"/>
                <w:szCs w:val="21"/>
              </w:rPr>
              <w:t>　</w:t>
            </w:r>
          </w:p>
        </w:tc>
        <w:tc>
          <w:tcPr>
            <w:tcW w:w="726" w:type="dxa"/>
            <w:tcBorders>
              <w:top w:val="nil"/>
              <w:left w:val="nil"/>
              <w:bottom w:val="single" w:color="auto" w:sz="4" w:space="0"/>
              <w:right w:val="single" w:color="auto" w:sz="4" w:space="0"/>
            </w:tcBorders>
            <w:vAlign w:val="center"/>
          </w:tcPr>
          <w:p w14:paraId="3A98E41A">
            <w:pPr>
              <w:widowControl/>
              <w:jc w:val="center"/>
              <w:rPr>
                <w:rFonts w:ascii="仿宋" w:hAnsi="仿宋" w:eastAsia="仿宋" w:cs="宋体"/>
                <w:bCs/>
                <w:kern w:val="0"/>
                <w:szCs w:val="21"/>
              </w:rPr>
            </w:pPr>
            <w:r>
              <w:rPr>
                <w:rFonts w:hint="eastAsia" w:ascii="仿宋" w:hAnsi="仿宋" w:eastAsia="仿宋" w:cs="宋体"/>
                <w:bCs/>
                <w:kern w:val="0"/>
                <w:szCs w:val="21"/>
              </w:rPr>
              <w:t>　</w:t>
            </w:r>
          </w:p>
        </w:tc>
        <w:tc>
          <w:tcPr>
            <w:tcW w:w="700" w:type="dxa"/>
            <w:tcBorders>
              <w:top w:val="nil"/>
              <w:left w:val="nil"/>
              <w:bottom w:val="single" w:color="auto" w:sz="4" w:space="0"/>
              <w:right w:val="single" w:color="auto" w:sz="4" w:space="0"/>
            </w:tcBorders>
            <w:vAlign w:val="center"/>
          </w:tcPr>
          <w:p w14:paraId="45324D8C">
            <w:pPr>
              <w:widowControl/>
              <w:jc w:val="center"/>
              <w:rPr>
                <w:rFonts w:ascii="仿宋" w:hAnsi="仿宋" w:eastAsia="仿宋" w:cs="宋体"/>
                <w:bCs/>
                <w:kern w:val="0"/>
                <w:szCs w:val="21"/>
              </w:rPr>
            </w:pPr>
            <w:r>
              <w:rPr>
                <w:rFonts w:hint="eastAsia" w:ascii="仿宋" w:hAnsi="仿宋" w:eastAsia="仿宋" w:cs="宋体"/>
                <w:bCs/>
                <w:kern w:val="0"/>
                <w:szCs w:val="21"/>
              </w:rPr>
              <w:t>　</w:t>
            </w:r>
          </w:p>
        </w:tc>
        <w:tc>
          <w:tcPr>
            <w:tcW w:w="920" w:type="dxa"/>
            <w:tcBorders>
              <w:top w:val="nil"/>
              <w:left w:val="nil"/>
              <w:bottom w:val="single" w:color="auto" w:sz="4" w:space="0"/>
              <w:right w:val="single" w:color="auto" w:sz="4" w:space="0"/>
            </w:tcBorders>
            <w:vAlign w:val="center"/>
          </w:tcPr>
          <w:p w14:paraId="21E75434">
            <w:pPr>
              <w:widowControl/>
              <w:jc w:val="right"/>
              <w:rPr>
                <w:rFonts w:ascii="仿宋" w:hAnsi="仿宋" w:eastAsia="仿宋" w:cs="宋体"/>
                <w:bCs/>
                <w:kern w:val="0"/>
                <w:szCs w:val="21"/>
              </w:rPr>
            </w:pPr>
            <w:r>
              <w:rPr>
                <w:rFonts w:hint="eastAsia" w:ascii="仿宋" w:hAnsi="仿宋" w:eastAsia="仿宋" w:cs="宋体"/>
                <w:bCs/>
                <w:kern w:val="0"/>
                <w:szCs w:val="21"/>
              </w:rPr>
              <w:t>　</w:t>
            </w:r>
          </w:p>
        </w:tc>
        <w:tc>
          <w:tcPr>
            <w:tcW w:w="1260" w:type="dxa"/>
            <w:tcBorders>
              <w:top w:val="nil"/>
              <w:left w:val="nil"/>
              <w:bottom w:val="single" w:color="auto" w:sz="4" w:space="0"/>
              <w:right w:val="single" w:color="auto" w:sz="4" w:space="0"/>
            </w:tcBorders>
            <w:vAlign w:val="center"/>
          </w:tcPr>
          <w:p w14:paraId="7A7F10E5">
            <w:pPr>
              <w:widowControl/>
              <w:jc w:val="right"/>
              <w:rPr>
                <w:rFonts w:ascii="仿宋" w:hAnsi="仿宋" w:eastAsia="仿宋" w:cs="宋体"/>
                <w:bCs/>
                <w:kern w:val="0"/>
                <w:szCs w:val="21"/>
              </w:rPr>
            </w:pPr>
          </w:p>
        </w:tc>
        <w:tc>
          <w:tcPr>
            <w:tcW w:w="1260" w:type="dxa"/>
            <w:tcBorders>
              <w:top w:val="nil"/>
              <w:left w:val="nil"/>
              <w:bottom w:val="single" w:color="auto" w:sz="4" w:space="0"/>
              <w:right w:val="single" w:color="auto" w:sz="4" w:space="0"/>
            </w:tcBorders>
            <w:vAlign w:val="center"/>
          </w:tcPr>
          <w:p w14:paraId="48EC867A">
            <w:pPr>
              <w:widowControl/>
              <w:jc w:val="right"/>
              <w:rPr>
                <w:rFonts w:ascii="仿宋" w:hAnsi="仿宋" w:eastAsia="仿宋" w:cs="宋体"/>
                <w:bCs/>
                <w:kern w:val="0"/>
                <w:szCs w:val="21"/>
              </w:rPr>
            </w:pPr>
          </w:p>
        </w:tc>
        <w:tc>
          <w:tcPr>
            <w:tcW w:w="1140" w:type="dxa"/>
            <w:tcBorders>
              <w:top w:val="nil"/>
              <w:left w:val="nil"/>
              <w:bottom w:val="single" w:color="auto" w:sz="4" w:space="0"/>
              <w:right w:val="single" w:color="auto" w:sz="4" w:space="0"/>
            </w:tcBorders>
            <w:vAlign w:val="center"/>
          </w:tcPr>
          <w:p w14:paraId="56A7AA48">
            <w:pPr>
              <w:widowControl/>
              <w:jc w:val="right"/>
              <w:rPr>
                <w:rFonts w:ascii="仿宋" w:hAnsi="仿宋" w:eastAsia="仿宋" w:cs="宋体"/>
                <w:bCs/>
                <w:kern w:val="0"/>
                <w:szCs w:val="21"/>
              </w:rPr>
            </w:pPr>
          </w:p>
        </w:tc>
        <w:tc>
          <w:tcPr>
            <w:tcW w:w="969" w:type="dxa"/>
            <w:tcBorders>
              <w:top w:val="nil"/>
              <w:left w:val="nil"/>
              <w:bottom w:val="single" w:color="auto" w:sz="4" w:space="0"/>
              <w:right w:val="single" w:color="auto" w:sz="4" w:space="0"/>
            </w:tcBorders>
            <w:vAlign w:val="center"/>
          </w:tcPr>
          <w:p w14:paraId="6D73FEC7">
            <w:pPr>
              <w:widowControl/>
              <w:jc w:val="right"/>
              <w:rPr>
                <w:rFonts w:ascii="仿宋" w:hAnsi="仿宋" w:eastAsia="仿宋" w:cs="宋体"/>
                <w:b/>
                <w:bCs/>
                <w:kern w:val="0"/>
                <w:szCs w:val="21"/>
              </w:rPr>
            </w:pPr>
          </w:p>
        </w:tc>
      </w:tr>
      <w:tr w14:paraId="60B92809">
        <w:tblPrEx>
          <w:tblCellMar>
            <w:top w:w="0" w:type="dxa"/>
            <w:left w:w="108" w:type="dxa"/>
            <w:bottom w:w="0" w:type="dxa"/>
            <w:right w:w="108" w:type="dxa"/>
          </w:tblCellMar>
        </w:tblPrEx>
        <w:trPr>
          <w:trHeight w:val="499" w:hRule="atLeast"/>
        </w:trPr>
        <w:tc>
          <w:tcPr>
            <w:tcW w:w="3640" w:type="dxa"/>
            <w:tcBorders>
              <w:top w:val="nil"/>
              <w:left w:val="single" w:color="auto" w:sz="4" w:space="0"/>
              <w:bottom w:val="single" w:color="auto" w:sz="4" w:space="0"/>
              <w:right w:val="single" w:color="auto" w:sz="4" w:space="0"/>
            </w:tcBorders>
            <w:vAlign w:val="center"/>
          </w:tcPr>
          <w:p w14:paraId="4F938BA6">
            <w:pPr>
              <w:widowControl/>
              <w:jc w:val="left"/>
              <w:rPr>
                <w:rFonts w:ascii="仿宋" w:hAnsi="仿宋" w:eastAsia="仿宋" w:cs="宋体"/>
                <w:bCs/>
                <w:kern w:val="0"/>
                <w:szCs w:val="21"/>
              </w:rPr>
            </w:pPr>
            <w:r>
              <w:rPr>
                <w:rFonts w:ascii="仿宋" w:hAnsi="仿宋" w:eastAsia="仿宋" w:cs="宋体"/>
                <w:bCs/>
                <w:kern w:val="0"/>
                <w:szCs w:val="21"/>
              </w:rPr>
              <w:t>204060</w:t>
            </w:r>
            <w:r>
              <w:rPr>
                <w:rFonts w:hint="eastAsia" w:ascii="仿宋" w:hAnsi="仿宋" w:eastAsia="仿宋" w:cs="宋体"/>
                <w:bCs/>
                <w:kern w:val="0"/>
                <w:szCs w:val="21"/>
              </w:rPr>
              <w:t>4</w:t>
            </w:r>
          </w:p>
        </w:tc>
        <w:tc>
          <w:tcPr>
            <w:tcW w:w="1020" w:type="dxa"/>
            <w:tcBorders>
              <w:top w:val="nil"/>
              <w:left w:val="nil"/>
              <w:bottom w:val="single" w:color="auto" w:sz="4" w:space="0"/>
              <w:right w:val="single" w:color="auto" w:sz="4" w:space="0"/>
            </w:tcBorders>
            <w:vAlign w:val="center"/>
          </w:tcPr>
          <w:p w14:paraId="2B72A33A">
            <w:pPr>
              <w:widowControl/>
              <w:jc w:val="right"/>
              <w:rPr>
                <w:rFonts w:ascii="仿宋" w:hAnsi="仿宋" w:eastAsia="仿宋" w:cs="宋体"/>
                <w:bCs/>
                <w:kern w:val="0"/>
                <w:szCs w:val="21"/>
              </w:rPr>
            </w:pPr>
          </w:p>
        </w:tc>
        <w:tc>
          <w:tcPr>
            <w:tcW w:w="1764" w:type="dxa"/>
            <w:tcBorders>
              <w:top w:val="nil"/>
              <w:left w:val="nil"/>
              <w:bottom w:val="single" w:color="auto" w:sz="4" w:space="0"/>
              <w:right w:val="single" w:color="auto" w:sz="4" w:space="0"/>
            </w:tcBorders>
            <w:vAlign w:val="center"/>
          </w:tcPr>
          <w:p w14:paraId="42C7238B">
            <w:pPr>
              <w:widowControl/>
              <w:jc w:val="left"/>
              <w:rPr>
                <w:rFonts w:ascii="仿宋" w:hAnsi="仿宋" w:eastAsia="仿宋" w:cs="宋体"/>
                <w:bCs/>
                <w:kern w:val="0"/>
                <w:szCs w:val="21"/>
              </w:rPr>
            </w:pPr>
          </w:p>
        </w:tc>
        <w:tc>
          <w:tcPr>
            <w:tcW w:w="990" w:type="dxa"/>
            <w:tcBorders>
              <w:top w:val="nil"/>
              <w:left w:val="nil"/>
              <w:bottom w:val="single" w:color="auto" w:sz="4" w:space="0"/>
              <w:right w:val="single" w:color="auto" w:sz="4" w:space="0"/>
            </w:tcBorders>
            <w:vAlign w:val="center"/>
          </w:tcPr>
          <w:p w14:paraId="0DC3015B">
            <w:pPr>
              <w:widowControl/>
              <w:jc w:val="left"/>
              <w:rPr>
                <w:rFonts w:ascii="仿宋" w:hAnsi="仿宋" w:eastAsia="仿宋" w:cs="宋体"/>
                <w:bCs/>
                <w:kern w:val="0"/>
                <w:szCs w:val="21"/>
              </w:rPr>
            </w:pPr>
          </w:p>
        </w:tc>
        <w:tc>
          <w:tcPr>
            <w:tcW w:w="726" w:type="dxa"/>
            <w:tcBorders>
              <w:top w:val="nil"/>
              <w:left w:val="nil"/>
              <w:bottom w:val="single" w:color="auto" w:sz="4" w:space="0"/>
              <w:right w:val="single" w:color="auto" w:sz="4" w:space="0"/>
            </w:tcBorders>
            <w:vAlign w:val="center"/>
          </w:tcPr>
          <w:p w14:paraId="270914B0">
            <w:pPr>
              <w:widowControl/>
              <w:jc w:val="center"/>
              <w:rPr>
                <w:rFonts w:ascii="仿宋" w:hAnsi="仿宋" w:eastAsia="仿宋" w:cs="宋体"/>
                <w:bCs/>
                <w:kern w:val="0"/>
                <w:szCs w:val="21"/>
              </w:rPr>
            </w:pPr>
          </w:p>
        </w:tc>
        <w:tc>
          <w:tcPr>
            <w:tcW w:w="700" w:type="dxa"/>
            <w:tcBorders>
              <w:top w:val="nil"/>
              <w:left w:val="nil"/>
              <w:bottom w:val="single" w:color="auto" w:sz="4" w:space="0"/>
              <w:right w:val="single" w:color="auto" w:sz="4" w:space="0"/>
            </w:tcBorders>
            <w:vAlign w:val="center"/>
          </w:tcPr>
          <w:p w14:paraId="5FE19D9E">
            <w:pPr>
              <w:widowControl/>
              <w:jc w:val="center"/>
              <w:rPr>
                <w:rFonts w:ascii="仿宋" w:hAnsi="仿宋" w:eastAsia="仿宋" w:cs="宋体"/>
                <w:bCs/>
                <w:kern w:val="0"/>
                <w:szCs w:val="21"/>
              </w:rPr>
            </w:pPr>
          </w:p>
        </w:tc>
        <w:tc>
          <w:tcPr>
            <w:tcW w:w="920" w:type="dxa"/>
            <w:tcBorders>
              <w:top w:val="nil"/>
              <w:left w:val="nil"/>
              <w:bottom w:val="single" w:color="auto" w:sz="4" w:space="0"/>
              <w:right w:val="single" w:color="auto" w:sz="4" w:space="0"/>
            </w:tcBorders>
            <w:vAlign w:val="center"/>
          </w:tcPr>
          <w:p w14:paraId="5F628DE8">
            <w:pPr>
              <w:widowControl/>
              <w:jc w:val="right"/>
              <w:rPr>
                <w:rFonts w:ascii="仿宋" w:hAnsi="仿宋" w:eastAsia="仿宋" w:cs="宋体"/>
                <w:bCs/>
                <w:kern w:val="0"/>
                <w:szCs w:val="21"/>
              </w:rPr>
            </w:pPr>
          </w:p>
        </w:tc>
        <w:tc>
          <w:tcPr>
            <w:tcW w:w="1260" w:type="dxa"/>
            <w:tcBorders>
              <w:top w:val="nil"/>
              <w:left w:val="nil"/>
              <w:bottom w:val="single" w:color="auto" w:sz="4" w:space="0"/>
              <w:right w:val="single" w:color="auto" w:sz="4" w:space="0"/>
            </w:tcBorders>
            <w:vAlign w:val="center"/>
          </w:tcPr>
          <w:p w14:paraId="10437630">
            <w:pPr>
              <w:widowControl/>
              <w:jc w:val="right"/>
              <w:rPr>
                <w:rFonts w:ascii="仿宋" w:hAnsi="仿宋" w:eastAsia="仿宋" w:cs="宋体"/>
                <w:bCs/>
                <w:kern w:val="0"/>
                <w:szCs w:val="21"/>
              </w:rPr>
            </w:pPr>
          </w:p>
        </w:tc>
        <w:tc>
          <w:tcPr>
            <w:tcW w:w="1260" w:type="dxa"/>
            <w:tcBorders>
              <w:top w:val="nil"/>
              <w:left w:val="nil"/>
              <w:bottom w:val="single" w:color="auto" w:sz="4" w:space="0"/>
              <w:right w:val="single" w:color="auto" w:sz="4" w:space="0"/>
            </w:tcBorders>
            <w:vAlign w:val="center"/>
          </w:tcPr>
          <w:p w14:paraId="06C8D623">
            <w:pPr>
              <w:widowControl/>
              <w:jc w:val="right"/>
              <w:rPr>
                <w:rFonts w:ascii="仿宋" w:hAnsi="仿宋" w:eastAsia="仿宋" w:cs="宋体"/>
                <w:bCs/>
                <w:kern w:val="0"/>
                <w:szCs w:val="21"/>
              </w:rPr>
            </w:pPr>
          </w:p>
        </w:tc>
        <w:tc>
          <w:tcPr>
            <w:tcW w:w="1140" w:type="dxa"/>
            <w:tcBorders>
              <w:top w:val="nil"/>
              <w:left w:val="nil"/>
              <w:bottom w:val="single" w:color="auto" w:sz="4" w:space="0"/>
              <w:right w:val="single" w:color="auto" w:sz="4" w:space="0"/>
            </w:tcBorders>
            <w:vAlign w:val="center"/>
          </w:tcPr>
          <w:p w14:paraId="339D9CD9">
            <w:pPr>
              <w:widowControl/>
              <w:jc w:val="right"/>
              <w:rPr>
                <w:rFonts w:ascii="仿宋" w:hAnsi="仿宋" w:eastAsia="仿宋" w:cs="宋体"/>
                <w:bCs/>
                <w:kern w:val="0"/>
                <w:szCs w:val="21"/>
              </w:rPr>
            </w:pPr>
          </w:p>
        </w:tc>
        <w:tc>
          <w:tcPr>
            <w:tcW w:w="969" w:type="dxa"/>
            <w:tcBorders>
              <w:top w:val="nil"/>
              <w:left w:val="nil"/>
              <w:bottom w:val="single" w:color="auto" w:sz="4" w:space="0"/>
              <w:right w:val="single" w:color="auto" w:sz="4" w:space="0"/>
            </w:tcBorders>
            <w:vAlign w:val="center"/>
          </w:tcPr>
          <w:p w14:paraId="4B9B556D">
            <w:pPr>
              <w:widowControl/>
              <w:jc w:val="right"/>
              <w:rPr>
                <w:rFonts w:ascii="仿宋" w:hAnsi="仿宋" w:eastAsia="仿宋" w:cs="宋体"/>
                <w:b/>
                <w:bCs/>
                <w:kern w:val="0"/>
                <w:szCs w:val="21"/>
              </w:rPr>
            </w:pPr>
          </w:p>
        </w:tc>
      </w:tr>
      <w:tr w14:paraId="1175ABE4">
        <w:tblPrEx>
          <w:tblCellMar>
            <w:top w:w="0" w:type="dxa"/>
            <w:left w:w="108" w:type="dxa"/>
            <w:bottom w:w="0" w:type="dxa"/>
            <w:right w:w="108" w:type="dxa"/>
          </w:tblCellMar>
        </w:tblPrEx>
        <w:trPr>
          <w:trHeight w:val="499" w:hRule="atLeast"/>
        </w:trPr>
        <w:tc>
          <w:tcPr>
            <w:tcW w:w="14389" w:type="dxa"/>
            <w:gridSpan w:val="11"/>
            <w:tcBorders>
              <w:top w:val="nil"/>
              <w:left w:val="single" w:color="auto" w:sz="4" w:space="0"/>
              <w:bottom w:val="single" w:color="auto" w:sz="4" w:space="0"/>
              <w:right w:val="single" w:color="auto" w:sz="4" w:space="0"/>
            </w:tcBorders>
            <w:vAlign w:val="center"/>
          </w:tcPr>
          <w:p w14:paraId="493351D2">
            <w:pPr>
              <w:widowControl/>
              <w:ind w:right="105"/>
              <w:jc w:val="left"/>
              <w:rPr>
                <w:rFonts w:ascii="仿宋" w:hAnsi="仿宋" w:eastAsia="仿宋" w:cs="宋体"/>
                <w:b/>
                <w:bCs/>
                <w:kern w:val="0"/>
                <w:szCs w:val="21"/>
              </w:rPr>
            </w:pPr>
            <w:r>
              <w:rPr>
                <w:rFonts w:hint="eastAsia" w:ascii="仿宋" w:hAnsi="仿宋" w:eastAsia="仿宋" w:cs="宋体"/>
                <w:b/>
                <w:bCs/>
                <w:kern w:val="0"/>
                <w:szCs w:val="21"/>
              </w:rPr>
              <w:t>202</w:t>
            </w:r>
            <w:r>
              <w:rPr>
                <w:rFonts w:hint="eastAsia" w:ascii="仿宋" w:hAnsi="仿宋" w:eastAsia="仿宋" w:cs="宋体"/>
                <w:b/>
                <w:bCs/>
                <w:kern w:val="0"/>
                <w:szCs w:val="21"/>
                <w:lang w:val="en-US" w:eastAsia="zh-CN"/>
              </w:rPr>
              <w:t>2</w:t>
            </w:r>
            <w:r>
              <w:rPr>
                <w:rFonts w:hint="eastAsia" w:ascii="仿宋" w:hAnsi="仿宋" w:eastAsia="仿宋" w:cs="宋体"/>
                <w:b/>
                <w:bCs/>
                <w:kern w:val="0"/>
                <w:szCs w:val="21"/>
              </w:rPr>
              <w:t>年度无政府采购项目，以空表列示。</w:t>
            </w:r>
          </w:p>
        </w:tc>
      </w:tr>
    </w:tbl>
    <w:p w14:paraId="10F17CE1">
      <w:pPr>
        <w:ind w:firstLine="630"/>
        <w:rPr>
          <w:rFonts w:hint="eastAsia" w:ascii="仿宋" w:hAnsi="仿宋" w:eastAsia="仿宋" w:cs="仿宋_GB2312"/>
          <w:sz w:val="32"/>
          <w:szCs w:val="32"/>
        </w:rPr>
      </w:pPr>
    </w:p>
    <w:p w14:paraId="5DC77AB1">
      <w:pPr>
        <w:ind w:firstLine="630"/>
        <w:rPr>
          <w:rFonts w:ascii="仿宋" w:hAnsi="仿宋" w:eastAsia="仿宋" w:cs="仿宋_GB2312"/>
          <w:szCs w:val="21"/>
        </w:rPr>
      </w:pPr>
    </w:p>
    <w:p w14:paraId="01625454">
      <w:pPr>
        <w:widowControl/>
        <w:jc w:val="left"/>
        <w:rPr>
          <w:rFonts w:ascii="宋体" w:cs="宋体"/>
          <w:b/>
          <w:bCs/>
          <w:sz w:val="32"/>
          <w:szCs w:val="32"/>
        </w:rPr>
        <w:sectPr>
          <w:pgSz w:w="16838" w:h="11906" w:orient="landscape"/>
          <w:pgMar w:top="1797" w:right="1440" w:bottom="1797" w:left="1440" w:header="851" w:footer="992" w:gutter="0"/>
          <w:pgNumType w:fmt="decimal"/>
          <w:cols w:space="425" w:num="1"/>
          <w:docGrid w:type="linesAndChars" w:linePitch="312" w:charSpace="0"/>
        </w:sectPr>
      </w:pPr>
    </w:p>
    <w:p w14:paraId="2D2783C3">
      <w:pPr>
        <w:widowControl/>
        <w:ind w:firstLine="161" w:firstLineChars="50"/>
        <w:jc w:val="left"/>
        <w:rPr>
          <w:rFonts w:ascii="宋体" w:cs="宋体"/>
          <w:b/>
          <w:bCs/>
          <w:sz w:val="32"/>
          <w:szCs w:val="32"/>
        </w:rPr>
      </w:pPr>
      <w:r>
        <w:rPr>
          <w:rFonts w:hint="eastAsia" w:ascii="宋体" w:hAnsi="宋体" w:cs="宋体"/>
          <w:b/>
          <w:bCs/>
          <w:sz w:val="32"/>
          <w:szCs w:val="32"/>
        </w:rPr>
        <w:t>七、国有资产情况：</w:t>
      </w:r>
    </w:p>
    <w:p w14:paraId="03FC0BB4">
      <w:pPr>
        <w:ind w:firstLine="640" w:firstLineChars="200"/>
        <w:jc w:val="left"/>
        <w:rPr>
          <w:rFonts w:hint="eastAsia" w:ascii="仿宋" w:hAnsi="仿宋" w:eastAsia="仿宋"/>
          <w:color w:val="000000"/>
          <w:sz w:val="32"/>
          <w:szCs w:val="32"/>
          <w:lang w:eastAsia="zh-CN"/>
        </w:rPr>
      </w:pPr>
      <w:r>
        <w:rPr>
          <w:rFonts w:hint="eastAsia" w:ascii="仿宋" w:hAnsi="仿宋" w:eastAsia="仿宋"/>
          <w:color w:val="000000"/>
          <w:sz w:val="32"/>
          <w:szCs w:val="32"/>
        </w:rPr>
        <w:t>宁晋县司法局（含所属单位）上年末固定资产金额为513.1</w:t>
      </w:r>
      <w:r>
        <w:rPr>
          <w:rFonts w:hint="eastAsia" w:ascii="仿宋" w:hAnsi="仿宋" w:eastAsia="仿宋"/>
          <w:color w:val="000000"/>
          <w:sz w:val="32"/>
          <w:szCs w:val="32"/>
          <w:lang w:val="en-US" w:eastAsia="zh-CN"/>
        </w:rPr>
        <w:t>7</w:t>
      </w:r>
      <w:r>
        <w:rPr>
          <w:rFonts w:hint="eastAsia" w:ascii="仿宋" w:hAnsi="仿宋" w:eastAsia="仿宋"/>
          <w:color w:val="000000"/>
          <w:sz w:val="32"/>
          <w:szCs w:val="32"/>
        </w:rPr>
        <w:t>万元（详见下表）</w:t>
      </w:r>
      <w:r>
        <w:rPr>
          <w:rFonts w:hint="eastAsia" w:ascii="仿宋" w:hAnsi="仿宋" w:eastAsia="仿宋"/>
          <w:color w:val="000000"/>
          <w:sz w:val="32"/>
          <w:szCs w:val="32"/>
          <w:lang w:eastAsia="zh-CN"/>
        </w:rPr>
        <w:t>。本年度拟购置固定资产总额为0.00万元。</w:t>
      </w:r>
    </w:p>
    <w:p w14:paraId="5D14C0F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p w14:paraId="4C79AF6C">
      <w:pPr>
        <w:ind w:firstLine="480" w:firstLineChars="200"/>
        <w:jc w:val="left"/>
        <w:rPr>
          <w:rFonts w:hint="default" w:ascii="仿宋" w:hAnsi="仿宋" w:eastAsia="宋体"/>
          <w:color w:val="000000"/>
          <w:sz w:val="32"/>
          <w:szCs w:val="32"/>
          <w:lang w:val="en-US" w:eastAsia="zh-CN"/>
        </w:rPr>
      </w:pPr>
      <w:r>
        <w:rPr>
          <w:sz w:val="24"/>
          <w:szCs w:val="24"/>
        </w:rPr>
        <w:t>315宁晋县司法局</w:t>
      </w:r>
      <w:r>
        <w:rPr>
          <w:rFonts w:hint="eastAsia"/>
          <w:sz w:val="24"/>
          <w:szCs w:val="24"/>
          <w:lang w:val="en-US" w:eastAsia="zh-CN"/>
        </w:rPr>
        <w:t xml:space="preserve">  </w:t>
      </w:r>
      <w:r>
        <w:rPr>
          <w:rFonts w:hint="eastAsia"/>
          <w:lang w:val="en-US" w:eastAsia="zh-CN"/>
        </w:rPr>
        <w:t xml:space="preserve">                                                                                  </w:t>
      </w:r>
      <w:r>
        <w:rPr>
          <w:rFonts w:hint="eastAsia"/>
          <w:sz w:val="24"/>
          <w:szCs w:val="24"/>
          <w:lang w:val="en-US" w:eastAsia="zh-CN"/>
        </w:rPr>
        <w:t xml:space="preserve"> </w:t>
      </w:r>
      <w:r>
        <w:rPr>
          <w:sz w:val="24"/>
          <w:szCs w:val="24"/>
        </w:rPr>
        <w:t>截止时间：202</w:t>
      </w:r>
      <w:r>
        <w:rPr>
          <w:rFonts w:hint="eastAsia"/>
          <w:sz w:val="24"/>
          <w:szCs w:val="24"/>
          <w:lang w:val="en-US" w:eastAsia="zh-CN"/>
        </w:rPr>
        <w:t>1</w:t>
      </w:r>
      <w:r>
        <w:rPr>
          <w:sz w:val="24"/>
          <w:szCs w:val="24"/>
        </w:rPr>
        <w:t>-12-31</w:t>
      </w:r>
    </w:p>
    <w:tbl>
      <w:tblPr>
        <w:tblStyle w:val="5"/>
        <w:tblW w:w="13701" w:type="dxa"/>
        <w:tblInd w:w="346" w:type="dxa"/>
        <w:tblLayout w:type="fixed"/>
        <w:tblCellMar>
          <w:top w:w="0" w:type="dxa"/>
          <w:left w:w="108" w:type="dxa"/>
          <w:bottom w:w="0" w:type="dxa"/>
          <w:right w:w="108" w:type="dxa"/>
        </w:tblCellMar>
      </w:tblPr>
      <w:tblGrid>
        <w:gridCol w:w="5586"/>
        <w:gridCol w:w="3780"/>
        <w:gridCol w:w="4335"/>
      </w:tblGrid>
      <w:tr w14:paraId="65B094E8">
        <w:tblPrEx>
          <w:tblCellMar>
            <w:top w:w="0" w:type="dxa"/>
            <w:left w:w="108" w:type="dxa"/>
            <w:bottom w:w="0" w:type="dxa"/>
            <w:right w:w="108" w:type="dxa"/>
          </w:tblCellMar>
        </w:tblPrEx>
        <w:trPr>
          <w:trHeight w:val="702" w:hRule="atLeast"/>
        </w:trPr>
        <w:tc>
          <w:tcPr>
            <w:tcW w:w="5586" w:type="dxa"/>
            <w:tcBorders>
              <w:top w:val="single" w:color="auto" w:sz="4" w:space="0"/>
              <w:left w:val="single" w:color="auto" w:sz="4" w:space="0"/>
              <w:bottom w:val="single" w:color="auto" w:sz="4" w:space="0"/>
              <w:right w:val="single" w:color="auto" w:sz="4" w:space="0"/>
            </w:tcBorders>
            <w:vAlign w:val="center"/>
          </w:tcPr>
          <w:p w14:paraId="22ED75D8">
            <w:pPr>
              <w:widowControl/>
              <w:jc w:val="center"/>
              <w:rPr>
                <w:rFonts w:ascii="仿宋" w:hAnsi="仿宋" w:eastAsia="仿宋" w:cs="宋体"/>
                <w:b/>
                <w:bCs/>
                <w:kern w:val="0"/>
                <w:sz w:val="24"/>
                <w:szCs w:val="24"/>
              </w:rPr>
            </w:pPr>
            <w:r>
              <w:rPr>
                <w:rFonts w:hint="eastAsia" w:ascii="仿宋" w:hAnsi="仿宋" w:eastAsia="仿宋" w:cs="宋体"/>
                <w:b/>
                <w:bCs/>
                <w:kern w:val="0"/>
                <w:sz w:val="24"/>
                <w:szCs w:val="24"/>
              </w:rPr>
              <w:t>项</w:t>
            </w:r>
            <w:r>
              <w:rPr>
                <w:rFonts w:ascii="仿宋" w:hAnsi="仿宋" w:eastAsia="仿宋" w:cs="宋体"/>
                <w:b/>
                <w:bCs/>
                <w:kern w:val="0"/>
                <w:sz w:val="24"/>
                <w:szCs w:val="24"/>
              </w:rPr>
              <w:t xml:space="preserve">   </w:t>
            </w:r>
            <w:r>
              <w:rPr>
                <w:rFonts w:hint="eastAsia" w:ascii="仿宋" w:hAnsi="仿宋" w:eastAsia="仿宋" w:cs="宋体"/>
                <w:b/>
                <w:bCs/>
                <w:kern w:val="0"/>
                <w:sz w:val="24"/>
                <w:szCs w:val="24"/>
              </w:rPr>
              <w:t>目</w:t>
            </w:r>
          </w:p>
        </w:tc>
        <w:tc>
          <w:tcPr>
            <w:tcW w:w="3780" w:type="dxa"/>
            <w:tcBorders>
              <w:top w:val="single" w:color="auto" w:sz="4" w:space="0"/>
              <w:left w:val="nil"/>
              <w:bottom w:val="single" w:color="auto" w:sz="4" w:space="0"/>
              <w:right w:val="single" w:color="auto" w:sz="4" w:space="0"/>
            </w:tcBorders>
            <w:vAlign w:val="center"/>
          </w:tcPr>
          <w:p w14:paraId="43CE1DF1">
            <w:pPr>
              <w:widowControl/>
              <w:jc w:val="center"/>
              <w:rPr>
                <w:rFonts w:ascii="仿宋" w:hAnsi="仿宋" w:eastAsia="仿宋" w:cs="宋体"/>
                <w:b/>
                <w:bCs/>
                <w:kern w:val="0"/>
                <w:sz w:val="24"/>
                <w:szCs w:val="24"/>
              </w:rPr>
            </w:pPr>
            <w:r>
              <w:rPr>
                <w:rFonts w:hint="eastAsia" w:ascii="仿宋" w:hAnsi="仿宋" w:eastAsia="仿宋" w:cs="宋体"/>
                <w:b/>
                <w:bCs/>
                <w:kern w:val="0"/>
                <w:sz w:val="24"/>
                <w:szCs w:val="24"/>
              </w:rPr>
              <w:t>数</w:t>
            </w:r>
            <w:r>
              <w:rPr>
                <w:rFonts w:ascii="仿宋" w:hAnsi="仿宋" w:eastAsia="仿宋" w:cs="宋体"/>
                <w:b/>
                <w:bCs/>
                <w:kern w:val="0"/>
                <w:sz w:val="24"/>
                <w:szCs w:val="24"/>
              </w:rPr>
              <w:t xml:space="preserve">  </w:t>
            </w:r>
            <w:r>
              <w:rPr>
                <w:rFonts w:hint="eastAsia" w:ascii="仿宋" w:hAnsi="仿宋" w:eastAsia="仿宋" w:cs="宋体"/>
                <w:b/>
                <w:bCs/>
                <w:kern w:val="0"/>
                <w:sz w:val="24"/>
                <w:szCs w:val="24"/>
              </w:rPr>
              <w:t>量</w:t>
            </w:r>
          </w:p>
        </w:tc>
        <w:tc>
          <w:tcPr>
            <w:tcW w:w="4335" w:type="dxa"/>
            <w:tcBorders>
              <w:top w:val="single" w:color="auto" w:sz="4" w:space="0"/>
              <w:left w:val="nil"/>
              <w:bottom w:val="single" w:color="auto" w:sz="4" w:space="0"/>
              <w:right w:val="single" w:color="auto" w:sz="4" w:space="0"/>
            </w:tcBorders>
            <w:vAlign w:val="center"/>
          </w:tcPr>
          <w:p w14:paraId="6D695085">
            <w:pPr>
              <w:widowControl/>
              <w:jc w:val="center"/>
              <w:rPr>
                <w:rFonts w:ascii="仿宋" w:hAnsi="仿宋" w:eastAsia="仿宋" w:cs="宋体"/>
                <w:b/>
                <w:bCs/>
                <w:kern w:val="0"/>
                <w:sz w:val="24"/>
                <w:szCs w:val="24"/>
              </w:rPr>
            </w:pPr>
            <w:r>
              <w:rPr>
                <w:rFonts w:hint="eastAsia" w:ascii="仿宋" w:hAnsi="仿宋" w:eastAsia="仿宋" w:cs="宋体"/>
                <w:b/>
                <w:bCs/>
                <w:kern w:val="0"/>
                <w:sz w:val="24"/>
                <w:szCs w:val="24"/>
              </w:rPr>
              <w:t>价值（金额单位：万元）</w:t>
            </w:r>
          </w:p>
        </w:tc>
      </w:tr>
      <w:tr w14:paraId="05F84DEC">
        <w:tblPrEx>
          <w:tblCellMar>
            <w:top w:w="0" w:type="dxa"/>
            <w:left w:w="108" w:type="dxa"/>
            <w:bottom w:w="0" w:type="dxa"/>
            <w:right w:w="108" w:type="dxa"/>
          </w:tblCellMar>
        </w:tblPrEx>
        <w:trPr>
          <w:trHeight w:val="702" w:hRule="atLeast"/>
        </w:trPr>
        <w:tc>
          <w:tcPr>
            <w:tcW w:w="5586" w:type="dxa"/>
            <w:tcBorders>
              <w:top w:val="nil"/>
              <w:left w:val="single" w:color="auto" w:sz="4" w:space="0"/>
              <w:bottom w:val="single" w:color="auto" w:sz="4" w:space="0"/>
              <w:right w:val="single" w:color="auto" w:sz="4" w:space="0"/>
            </w:tcBorders>
            <w:vAlign w:val="center"/>
          </w:tcPr>
          <w:p w14:paraId="00738BB7">
            <w:pPr>
              <w:widowControl/>
              <w:jc w:val="center"/>
              <w:rPr>
                <w:rFonts w:ascii="仿宋" w:hAnsi="仿宋" w:eastAsia="仿宋" w:cs="宋体"/>
                <w:b/>
                <w:bCs/>
                <w:kern w:val="0"/>
                <w:szCs w:val="21"/>
              </w:rPr>
            </w:pPr>
            <w:r>
              <w:rPr>
                <w:rFonts w:hint="eastAsia" w:ascii="仿宋" w:hAnsi="仿宋" w:eastAsia="仿宋" w:cs="宋体"/>
                <w:b/>
                <w:bCs/>
                <w:kern w:val="0"/>
                <w:szCs w:val="21"/>
              </w:rPr>
              <w:t>固定资产总额</w:t>
            </w:r>
          </w:p>
        </w:tc>
        <w:tc>
          <w:tcPr>
            <w:tcW w:w="3780" w:type="dxa"/>
            <w:tcBorders>
              <w:top w:val="nil"/>
              <w:left w:val="nil"/>
              <w:bottom w:val="single" w:color="auto" w:sz="4" w:space="0"/>
              <w:right w:val="single" w:color="auto" w:sz="4" w:space="0"/>
            </w:tcBorders>
            <w:vAlign w:val="center"/>
          </w:tcPr>
          <w:p w14:paraId="53F7FBFD">
            <w:pPr>
              <w:widowControl/>
              <w:jc w:val="center"/>
              <w:rPr>
                <w:rFonts w:ascii="仿宋" w:hAnsi="仿宋" w:eastAsia="仿宋" w:cs="宋体"/>
                <w:kern w:val="0"/>
                <w:szCs w:val="21"/>
              </w:rPr>
            </w:pPr>
            <w:r>
              <w:rPr>
                <w:rFonts w:ascii="仿宋" w:hAnsi="仿宋" w:eastAsia="仿宋" w:cs="宋体"/>
                <w:kern w:val="0"/>
                <w:szCs w:val="21"/>
              </w:rPr>
              <w:t>——</w:t>
            </w:r>
          </w:p>
        </w:tc>
        <w:tc>
          <w:tcPr>
            <w:tcW w:w="4335" w:type="dxa"/>
            <w:tcBorders>
              <w:top w:val="nil"/>
              <w:left w:val="nil"/>
              <w:bottom w:val="single" w:color="auto" w:sz="4" w:space="0"/>
              <w:right w:val="single" w:color="auto" w:sz="4" w:space="0"/>
            </w:tcBorders>
            <w:vAlign w:val="center"/>
          </w:tcPr>
          <w:p w14:paraId="189367CB">
            <w:pPr>
              <w:widowControl/>
              <w:jc w:val="right"/>
              <w:rPr>
                <w:rFonts w:hint="default" w:ascii="仿宋" w:hAnsi="仿宋" w:eastAsia="仿宋" w:cs="宋体"/>
                <w:kern w:val="0"/>
                <w:sz w:val="24"/>
                <w:szCs w:val="24"/>
                <w:lang w:val="en-US" w:eastAsia="zh-CN"/>
              </w:rPr>
            </w:pPr>
            <w:r>
              <w:rPr>
                <w:rFonts w:hint="eastAsia" w:ascii="仿宋" w:hAnsi="仿宋" w:eastAsia="仿宋" w:cs="宋体"/>
                <w:kern w:val="0"/>
                <w:sz w:val="24"/>
                <w:szCs w:val="24"/>
                <w:lang w:val="en-US" w:eastAsia="zh-CN"/>
              </w:rPr>
              <w:t>513.17</w:t>
            </w:r>
          </w:p>
        </w:tc>
      </w:tr>
      <w:tr w14:paraId="125206FD">
        <w:tblPrEx>
          <w:tblCellMar>
            <w:top w:w="0" w:type="dxa"/>
            <w:left w:w="108" w:type="dxa"/>
            <w:bottom w:w="0" w:type="dxa"/>
            <w:right w:w="108" w:type="dxa"/>
          </w:tblCellMar>
        </w:tblPrEx>
        <w:trPr>
          <w:trHeight w:val="702" w:hRule="atLeast"/>
        </w:trPr>
        <w:tc>
          <w:tcPr>
            <w:tcW w:w="5586" w:type="dxa"/>
            <w:tcBorders>
              <w:top w:val="nil"/>
              <w:left w:val="single" w:color="auto" w:sz="4" w:space="0"/>
              <w:bottom w:val="single" w:color="auto" w:sz="4" w:space="0"/>
              <w:right w:val="single" w:color="auto" w:sz="4" w:space="0"/>
            </w:tcBorders>
            <w:vAlign w:val="center"/>
          </w:tcPr>
          <w:p w14:paraId="075B07BB">
            <w:pPr>
              <w:widowControl/>
              <w:jc w:val="left"/>
              <w:rPr>
                <w:rFonts w:ascii="仿宋" w:hAnsi="仿宋" w:eastAsia="仿宋" w:cs="宋体"/>
                <w:kern w:val="0"/>
                <w:szCs w:val="21"/>
              </w:rPr>
            </w:pPr>
            <w:r>
              <w:rPr>
                <w:rFonts w:ascii="仿宋" w:hAnsi="仿宋" w:eastAsia="仿宋" w:cs="宋体"/>
                <w:kern w:val="0"/>
                <w:szCs w:val="21"/>
              </w:rPr>
              <w:t>1.</w:t>
            </w:r>
            <w:r>
              <w:rPr>
                <w:rFonts w:hint="eastAsia" w:ascii="仿宋" w:hAnsi="仿宋" w:eastAsia="仿宋" w:cs="宋体"/>
                <w:kern w:val="0"/>
                <w:szCs w:val="21"/>
              </w:rPr>
              <w:t>房屋（平方米）</w:t>
            </w:r>
          </w:p>
        </w:tc>
        <w:tc>
          <w:tcPr>
            <w:tcW w:w="3780" w:type="dxa"/>
            <w:tcBorders>
              <w:top w:val="single" w:color="000000" w:sz="4" w:space="0"/>
              <w:left w:val="nil"/>
              <w:bottom w:val="single" w:color="000000" w:sz="4" w:space="0"/>
              <w:right w:val="single" w:color="000000" w:sz="8" w:space="0"/>
            </w:tcBorders>
            <w:vAlign w:val="center"/>
          </w:tcPr>
          <w:p w14:paraId="47230737">
            <w:pPr>
              <w:widowControl/>
              <w:jc w:val="right"/>
              <w:rPr>
                <w:rFonts w:ascii="仿宋" w:hAnsi="仿宋" w:eastAsia="仿宋" w:cs="宋体"/>
                <w:color w:val="000000"/>
                <w:kern w:val="0"/>
                <w:szCs w:val="21"/>
              </w:rPr>
            </w:pPr>
            <w:r>
              <w:rPr>
                <w:rFonts w:ascii="仿宋" w:hAnsi="仿宋" w:eastAsia="仿宋" w:cs="宋体"/>
                <w:color w:val="000000"/>
                <w:kern w:val="0"/>
                <w:szCs w:val="21"/>
              </w:rPr>
              <w:t>1754.6</w:t>
            </w:r>
            <w:r>
              <w:rPr>
                <w:rFonts w:hint="eastAsia" w:ascii="仿宋" w:hAnsi="仿宋" w:eastAsia="仿宋" w:cs="宋体"/>
                <w:color w:val="000000"/>
                <w:kern w:val="0"/>
                <w:szCs w:val="21"/>
                <w:lang w:val="en-US" w:eastAsia="zh-CN"/>
              </w:rPr>
              <w:t>2</w:t>
            </w:r>
          </w:p>
        </w:tc>
        <w:tc>
          <w:tcPr>
            <w:tcW w:w="4335" w:type="dxa"/>
            <w:tcBorders>
              <w:top w:val="single" w:color="000000" w:sz="4" w:space="0"/>
              <w:left w:val="nil"/>
              <w:bottom w:val="single" w:color="000000" w:sz="4" w:space="0"/>
              <w:right w:val="single" w:color="000000" w:sz="4" w:space="0"/>
            </w:tcBorders>
            <w:vAlign w:val="center"/>
          </w:tcPr>
          <w:p w14:paraId="0F128E42">
            <w:pPr>
              <w:widowControl/>
              <w:jc w:val="right"/>
              <w:rPr>
                <w:rFonts w:ascii="仿宋" w:hAnsi="仿宋" w:eastAsia="仿宋" w:cs="宋体"/>
                <w:color w:val="000000"/>
                <w:kern w:val="0"/>
                <w:szCs w:val="21"/>
              </w:rPr>
            </w:pPr>
            <w:r>
              <w:rPr>
                <w:rFonts w:ascii="仿宋" w:hAnsi="仿宋" w:eastAsia="仿宋" w:cs="宋体"/>
                <w:color w:val="000000"/>
                <w:kern w:val="0"/>
                <w:szCs w:val="21"/>
              </w:rPr>
              <w:t>79.83</w:t>
            </w:r>
          </w:p>
        </w:tc>
      </w:tr>
      <w:tr w14:paraId="28B83273">
        <w:tblPrEx>
          <w:tblCellMar>
            <w:top w:w="0" w:type="dxa"/>
            <w:left w:w="108" w:type="dxa"/>
            <w:bottom w:w="0" w:type="dxa"/>
            <w:right w:w="108" w:type="dxa"/>
          </w:tblCellMar>
        </w:tblPrEx>
        <w:trPr>
          <w:trHeight w:val="702" w:hRule="atLeast"/>
        </w:trPr>
        <w:tc>
          <w:tcPr>
            <w:tcW w:w="5586" w:type="dxa"/>
            <w:tcBorders>
              <w:top w:val="nil"/>
              <w:left w:val="single" w:color="auto" w:sz="4" w:space="0"/>
              <w:bottom w:val="single" w:color="auto" w:sz="4" w:space="0"/>
              <w:right w:val="single" w:color="auto" w:sz="4" w:space="0"/>
            </w:tcBorders>
            <w:vAlign w:val="center"/>
          </w:tcPr>
          <w:p w14:paraId="5B247055">
            <w:pPr>
              <w:widowControl/>
              <w:ind w:firstLine="420" w:firstLineChars="200"/>
              <w:jc w:val="left"/>
              <w:rPr>
                <w:rFonts w:ascii="仿宋" w:hAnsi="仿宋" w:eastAsia="仿宋" w:cs="宋体"/>
                <w:kern w:val="0"/>
                <w:szCs w:val="21"/>
              </w:rPr>
            </w:pPr>
            <w:r>
              <w:rPr>
                <w:rFonts w:hint="eastAsia" w:ascii="仿宋" w:hAnsi="仿宋" w:eastAsia="仿宋" w:cs="宋体"/>
                <w:kern w:val="0"/>
                <w:szCs w:val="21"/>
              </w:rPr>
              <w:t>其中：办公用房</w:t>
            </w:r>
          </w:p>
        </w:tc>
        <w:tc>
          <w:tcPr>
            <w:tcW w:w="3780" w:type="dxa"/>
            <w:tcBorders>
              <w:top w:val="nil"/>
              <w:left w:val="nil"/>
              <w:bottom w:val="single" w:color="000000" w:sz="4" w:space="0"/>
              <w:right w:val="single" w:color="000000" w:sz="8" w:space="0"/>
            </w:tcBorders>
            <w:vAlign w:val="center"/>
          </w:tcPr>
          <w:p w14:paraId="6BE0C1DD">
            <w:pPr>
              <w:widowControl/>
              <w:jc w:val="right"/>
              <w:rPr>
                <w:rFonts w:ascii="仿宋" w:hAnsi="仿宋" w:eastAsia="仿宋" w:cs="宋体"/>
                <w:color w:val="000000"/>
                <w:kern w:val="0"/>
                <w:szCs w:val="21"/>
              </w:rPr>
            </w:pPr>
            <w:r>
              <w:rPr>
                <w:rFonts w:ascii="仿宋" w:hAnsi="仿宋" w:eastAsia="仿宋" w:cs="宋体"/>
                <w:color w:val="000000"/>
                <w:kern w:val="0"/>
                <w:szCs w:val="21"/>
              </w:rPr>
              <w:t>1754.6</w:t>
            </w:r>
            <w:r>
              <w:rPr>
                <w:rFonts w:hint="eastAsia" w:ascii="仿宋" w:hAnsi="仿宋" w:eastAsia="仿宋" w:cs="宋体"/>
                <w:color w:val="000000"/>
                <w:kern w:val="0"/>
                <w:szCs w:val="21"/>
                <w:lang w:val="en-US" w:eastAsia="zh-CN"/>
              </w:rPr>
              <w:t>2</w:t>
            </w:r>
          </w:p>
        </w:tc>
        <w:tc>
          <w:tcPr>
            <w:tcW w:w="4335" w:type="dxa"/>
            <w:tcBorders>
              <w:top w:val="nil"/>
              <w:left w:val="nil"/>
              <w:bottom w:val="single" w:color="000000" w:sz="4" w:space="0"/>
              <w:right w:val="single" w:color="000000" w:sz="4" w:space="0"/>
            </w:tcBorders>
            <w:vAlign w:val="center"/>
          </w:tcPr>
          <w:p w14:paraId="48846089">
            <w:pPr>
              <w:widowControl/>
              <w:jc w:val="right"/>
              <w:rPr>
                <w:rFonts w:ascii="仿宋" w:hAnsi="仿宋" w:eastAsia="仿宋" w:cs="宋体"/>
                <w:color w:val="000000"/>
                <w:kern w:val="0"/>
                <w:szCs w:val="21"/>
              </w:rPr>
            </w:pPr>
            <w:r>
              <w:rPr>
                <w:rFonts w:ascii="仿宋" w:hAnsi="仿宋" w:eastAsia="仿宋" w:cs="宋体"/>
                <w:color w:val="000000"/>
                <w:kern w:val="0"/>
                <w:szCs w:val="21"/>
              </w:rPr>
              <w:t>79.83</w:t>
            </w:r>
          </w:p>
        </w:tc>
      </w:tr>
      <w:tr w14:paraId="2D30D5D0">
        <w:tblPrEx>
          <w:tblCellMar>
            <w:top w:w="0" w:type="dxa"/>
            <w:left w:w="108" w:type="dxa"/>
            <w:bottom w:w="0" w:type="dxa"/>
            <w:right w:w="108" w:type="dxa"/>
          </w:tblCellMar>
        </w:tblPrEx>
        <w:trPr>
          <w:trHeight w:val="702" w:hRule="atLeast"/>
        </w:trPr>
        <w:tc>
          <w:tcPr>
            <w:tcW w:w="5586" w:type="dxa"/>
            <w:tcBorders>
              <w:top w:val="nil"/>
              <w:left w:val="single" w:color="auto" w:sz="4" w:space="0"/>
              <w:bottom w:val="single" w:color="auto" w:sz="4" w:space="0"/>
              <w:right w:val="single" w:color="auto" w:sz="4" w:space="0"/>
            </w:tcBorders>
            <w:vAlign w:val="center"/>
          </w:tcPr>
          <w:p w14:paraId="3CD5F5CC">
            <w:pPr>
              <w:widowControl/>
              <w:jc w:val="left"/>
              <w:rPr>
                <w:rFonts w:ascii="仿宋" w:hAnsi="仿宋" w:eastAsia="仿宋" w:cs="宋体"/>
                <w:kern w:val="0"/>
                <w:szCs w:val="21"/>
              </w:rPr>
            </w:pPr>
            <w:r>
              <w:rPr>
                <w:rFonts w:ascii="仿宋" w:hAnsi="仿宋" w:eastAsia="仿宋" w:cs="宋体"/>
                <w:kern w:val="0"/>
                <w:szCs w:val="21"/>
              </w:rPr>
              <w:t>2.</w:t>
            </w:r>
            <w:r>
              <w:rPr>
                <w:rFonts w:hint="eastAsia" w:ascii="仿宋" w:hAnsi="仿宋" w:eastAsia="仿宋" w:cs="宋体"/>
                <w:kern w:val="0"/>
                <w:szCs w:val="21"/>
              </w:rPr>
              <w:t>车辆（台、辆）</w:t>
            </w:r>
          </w:p>
        </w:tc>
        <w:tc>
          <w:tcPr>
            <w:tcW w:w="3780" w:type="dxa"/>
            <w:tcBorders>
              <w:top w:val="single" w:color="auto" w:sz="4" w:space="0"/>
              <w:left w:val="nil"/>
              <w:bottom w:val="single" w:color="auto" w:sz="4" w:space="0"/>
              <w:right w:val="single" w:color="auto" w:sz="4" w:space="0"/>
            </w:tcBorders>
            <w:vAlign w:val="center"/>
          </w:tcPr>
          <w:p w14:paraId="6E02F368">
            <w:pPr>
              <w:widowControl/>
              <w:jc w:val="right"/>
              <w:rPr>
                <w:rFonts w:ascii="仿宋" w:hAnsi="仿宋" w:eastAsia="仿宋" w:cs="宋体"/>
                <w:kern w:val="0"/>
                <w:szCs w:val="21"/>
              </w:rPr>
            </w:pPr>
            <w:r>
              <w:rPr>
                <w:rFonts w:ascii="仿宋" w:hAnsi="仿宋" w:eastAsia="仿宋" w:cs="宋体"/>
                <w:kern w:val="0"/>
                <w:szCs w:val="21"/>
              </w:rPr>
              <w:t>13</w:t>
            </w:r>
          </w:p>
        </w:tc>
        <w:tc>
          <w:tcPr>
            <w:tcW w:w="4335" w:type="dxa"/>
            <w:tcBorders>
              <w:top w:val="nil"/>
              <w:left w:val="nil"/>
              <w:bottom w:val="single" w:color="000000" w:sz="4" w:space="0"/>
              <w:right w:val="single" w:color="000000" w:sz="4" w:space="0"/>
            </w:tcBorders>
            <w:vAlign w:val="center"/>
          </w:tcPr>
          <w:p w14:paraId="577E4DD8">
            <w:pPr>
              <w:widowControl/>
              <w:ind w:right="105"/>
              <w:jc w:val="right"/>
              <w:rPr>
                <w:rFonts w:hint="eastAsia" w:ascii="仿宋" w:hAnsi="仿宋" w:eastAsia="仿宋" w:cs="宋体"/>
                <w:color w:val="000000"/>
                <w:kern w:val="0"/>
                <w:szCs w:val="21"/>
                <w:lang w:val="en-US" w:eastAsia="zh-CN"/>
              </w:rPr>
            </w:pPr>
            <w:r>
              <w:rPr>
                <w:rFonts w:hint="eastAsia" w:ascii="仿宋" w:hAnsi="仿宋" w:eastAsia="仿宋" w:cs="宋体"/>
                <w:color w:val="000000"/>
                <w:kern w:val="0"/>
                <w:szCs w:val="21"/>
                <w:lang w:val="en-US" w:eastAsia="zh-CN"/>
              </w:rPr>
              <w:t xml:space="preserve"> 90.39</w:t>
            </w:r>
          </w:p>
        </w:tc>
      </w:tr>
      <w:tr w14:paraId="0A23829F">
        <w:tblPrEx>
          <w:tblCellMar>
            <w:top w:w="0" w:type="dxa"/>
            <w:left w:w="108" w:type="dxa"/>
            <w:bottom w:w="0" w:type="dxa"/>
            <w:right w:w="108" w:type="dxa"/>
          </w:tblCellMar>
        </w:tblPrEx>
        <w:trPr>
          <w:trHeight w:val="702" w:hRule="atLeast"/>
        </w:trPr>
        <w:tc>
          <w:tcPr>
            <w:tcW w:w="5586" w:type="dxa"/>
            <w:tcBorders>
              <w:top w:val="nil"/>
              <w:left w:val="single" w:color="auto" w:sz="4" w:space="0"/>
              <w:bottom w:val="single" w:color="auto" w:sz="4" w:space="0"/>
              <w:right w:val="single" w:color="auto" w:sz="4" w:space="0"/>
            </w:tcBorders>
            <w:vAlign w:val="center"/>
          </w:tcPr>
          <w:p w14:paraId="7BD9C7AA">
            <w:pPr>
              <w:widowControl/>
              <w:jc w:val="left"/>
              <w:rPr>
                <w:rFonts w:ascii="仿宋" w:hAnsi="仿宋" w:eastAsia="仿宋" w:cs="宋体"/>
                <w:kern w:val="0"/>
                <w:szCs w:val="21"/>
              </w:rPr>
            </w:pPr>
            <w:r>
              <w:rPr>
                <w:rFonts w:ascii="仿宋" w:hAnsi="仿宋" w:eastAsia="仿宋" w:cs="宋体"/>
                <w:kern w:val="0"/>
                <w:szCs w:val="21"/>
              </w:rPr>
              <w:t>3.</w:t>
            </w:r>
            <w:r>
              <w:rPr>
                <w:rFonts w:hint="eastAsia" w:ascii="仿宋" w:hAnsi="仿宋" w:eastAsia="仿宋" w:cs="宋体"/>
                <w:kern w:val="0"/>
                <w:szCs w:val="21"/>
              </w:rPr>
              <w:t>单价在</w:t>
            </w:r>
            <w:r>
              <w:rPr>
                <w:rFonts w:ascii="仿宋" w:hAnsi="仿宋" w:eastAsia="仿宋" w:cs="宋体"/>
                <w:kern w:val="0"/>
                <w:szCs w:val="21"/>
              </w:rPr>
              <w:t>50</w:t>
            </w:r>
            <w:r>
              <w:rPr>
                <w:rFonts w:hint="eastAsia" w:ascii="仿宋" w:hAnsi="仿宋" w:eastAsia="仿宋" w:cs="宋体"/>
                <w:kern w:val="0"/>
                <w:szCs w:val="21"/>
              </w:rPr>
              <w:t>万元以上的设备（台、套）</w:t>
            </w:r>
          </w:p>
        </w:tc>
        <w:tc>
          <w:tcPr>
            <w:tcW w:w="3780" w:type="dxa"/>
            <w:tcBorders>
              <w:top w:val="nil"/>
              <w:left w:val="nil"/>
              <w:bottom w:val="single" w:color="auto" w:sz="4" w:space="0"/>
              <w:right w:val="single" w:color="auto" w:sz="4" w:space="0"/>
            </w:tcBorders>
            <w:vAlign w:val="center"/>
          </w:tcPr>
          <w:p w14:paraId="3CC1FC84">
            <w:pPr>
              <w:widowControl/>
              <w:jc w:val="left"/>
              <w:rPr>
                <w:rFonts w:ascii="仿宋" w:hAnsi="仿宋" w:eastAsia="仿宋" w:cs="宋体"/>
                <w:kern w:val="0"/>
                <w:szCs w:val="21"/>
              </w:rPr>
            </w:pPr>
            <w:r>
              <w:rPr>
                <w:rFonts w:hint="eastAsia" w:ascii="仿宋" w:hAnsi="仿宋" w:eastAsia="仿宋" w:cs="宋体"/>
                <w:kern w:val="0"/>
                <w:szCs w:val="21"/>
              </w:rPr>
              <w:t>　</w:t>
            </w:r>
          </w:p>
        </w:tc>
        <w:tc>
          <w:tcPr>
            <w:tcW w:w="4335" w:type="dxa"/>
            <w:tcBorders>
              <w:top w:val="single" w:color="auto" w:sz="4" w:space="0"/>
              <w:left w:val="nil"/>
              <w:bottom w:val="single" w:color="auto" w:sz="4" w:space="0"/>
              <w:right w:val="single" w:color="auto" w:sz="4" w:space="0"/>
            </w:tcBorders>
            <w:vAlign w:val="center"/>
          </w:tcPr>
          <w:p w14:paraId="28222A24">
            <w:pPr>
              <w:widowControl/>
              <w:jc w:val="left"/>
              <w:rPr>
                <w:rFonts w:ascii="仿宋" w:hAnsi="仿宋" w:eastAsia="仿宋" w:cs="宋体"/>
                <w:kern w:val="0"/>
                <w:szCs w:val="21"/>
              </w:rPr>
            </w:pPr>
            <w:r>
              <w:rPr>
                <w:rFonts w:hint="eastAsia" w:ascii="仿宋" w:hAnsi="仿宋" w:eastAsia="仿宋" w:cs="宋体"/>
                <w:kern w:val="0"/>
                <w:szCs w:val="21"/>
              </w:rPr>
              <w:t>　</w:t>
            </w:r>
          </w:p>
        </w:tc>
      </w:tr>
      <w:tr w14:paraId="137E7B68">
        <w:tblPrEx>
          <w:tblCellMar>
            <w:top w:w="0" w:type="dxa"/>
            <w:left w:w="108" w:type="dxa"/>
            <w:bottom w:w="0" w:type="dxa"/>
            <w:right w:w="108" w:type="dxa"/>
          </w:tblCellMar>
        </w:tblPrEx>
        <w:trPr>
          <w:trHeight w:val="702" w:hRule="atLeast"/>
        </w:trPr>
        <w:tc>
          <w:tcPr>
            <w:tcW w:w="5586" w:type="dxa"/>
            <w:tcBorders>
              <w:top w:val="nil"/>
              <w:left w:val="single" w:color="auto" w:sz="4" w:space="0"/>
              <w:bottom w:val="single" w:color="auto" w:sz="4" w:space="0"/>
              <w:right w:val="single" w:color="auto" w:sz="4" w:space="0"/>
            </w:tcBorders>
            <w:vAlign w:val="center"/>
          </w:tcPr>
          <w:p w14:paraId="7D1D5D82">
            <w:pPr>
              <w:widowControl/>
              <w:jc w:val="left"/>
              <w:rPr>
                <w:rFonts w:ascii="仿宋" w:hAnsi="仿宋" w:eastAsia="仿宋" w:cs="宋体"/>
                <w:kern w:val="0"/>
                <w:szCs w:val="21"/>
              </w:rPr>
            </w:pPr>
            <w:r>
              <w:rPr>
                <w:rFonts w:ascii="仿宋" w:hAnsi="仿宋" w:eastAsia="仿宋" w:cs="宋体"/>
                <w:kern w:val="0"/>
                <w:szCs w:val="21"/>
              </w:rPr>
              <w:t>4.</w:t>
            </w:r>
            <w:r>
              <w:rPr>
                <w:rFonts w:hint="eastAsia" w:ascii="仿宋" w:hAnsi="仿宋" w:eastAsia="仿宋" w:cs="宋体"/>
                <w:kern w:val="0"/>
                <w:szCs w:val="21"/>
              </w:rPr>
              <w:t>其他固定资产</w:t>
            </w:r>
          </w:p>
        </w:tc>
        <w:tc>
          <w:tcPr>
            <w:tcW w:w="3780" w:type="dxa"/>
            <w:tcBorders>
              <w:top w:val="nil"/>
              <w:left w:val="nil"/>
              <w:bottom w:val="single" w:color="auto" w:sz="4" w:space="0"/>
              <w:right w:val="single" w:color="auto" w:sz="4" w:space="0"/>
            </w:tcBorders>
            <w:vAlign w:val="center"/>
          </w:tcPr>
          <w:p w14:paraId="10E0CDAC">
            <w:pPr>
              <w:widowControl/>
              <w:jc w:val="center"/>
              <w:rPr>
                <w:rFonts w:ascii="仿宋" w:hAnsi="仿宋" w:eastAsia="仿宋" w:cs="宋体"/>
                <w:kern w:val="0"/>
                <w:szCs w:val="21"/>
              </w:rPr>
            </w:pPr>
            <w:r>
              <w:rPr>
                <w:rFonts w:ascii="仿宋" w:hAnsi="仿宋" w:eastAsia="仿宋" w:cs="宋体"/>
                <w:kern w:val="0"/>
                <w:szCs w:val="21"/>
              </w:rPr>
              <w:t>——</w:t>
            </w:r>
          </w:p>
        </w:tc>
        <w:tc>
          <w:tcPr>
            <w:tcW w:w="4335" w:type="dxa"/>
            <w:tcBorders>
              <w:top w:val="single" w:color="000000" w:sz="4" w:space="0"/>
              <w:left w:val="nil"/>
              <w:bottom w:val="single" w:color="000000" w:sz="4" w:space="0"/>
              <w:right w:val="single" w:color="000000" w:sz="4" w:space="0"/>
            </w:tcBorders>
            <w:vAlign w:val="center"/>
          </w:tcPr>
          <w:p w14:paraId="23988147">
            <w:pPr>
              <w:widowControl/>
              <w:jc w:val="right"/>
              <w:rPr>
                <w:rFonts w:hint="default" w:ascii="仿宋" w:hAnsi="仿宋" w:eastAsia="仿宋" w:cs="宋体"/>
                <w:color w:val="000000"/>
                <w:kern w:val="0"/>
                <w:szCs w:val="21"/>
                <w:lang w:val="en-US" w:eastAsia="zh-CN"/>
              </w:rPr>
            </w:pPr>
            <w:r>
              <w:rPr>
                <w:rFonts w:hint="eastAsia" w:ascii="仿宋" w:hAnsi="仿宋" w:eastAsia="仿宋" w:cs="宋体"/>
                <w:color w:val="000000"/>
                <w:kern w:val="0"/>
                <w:szCs w:val="21"/>
                <w:lang w:val="en-US" w:eastAsia="zh-CN"/>
              </w:rPr>
              <w:t>342.95</w:t>
            </w:r>
          </w:p>
        </w:tc>
      </w:tr>
    </w:tbl>
    <w:p w14:paraId="51180A2C">
      <w:pPr>
        <w:jc w:val="left"/>
        <w:rPr>
          <w:rFonts w:ascii="仿宋" w:hAnsi="仿宋" w:eastAsia="仿宋" w:cs="宋体"/>
          <w:color w:val="000000"/>
          <w:sz w:val="22"/>
        </w:rPr>
      </w:pPr>
    </w:p>
    <w:p w14:paraId="2D1E7CA2">
      <w:pPr>
        <w:pStyle w:val="8"/>
        <w:ind w:left="0" w:leftChars="0" w:firstLine="643" w:firstLineChars="200"/>
        <w:rPr>
          <w:rFonts w:ascii="宋体" w:cs="宋体"/>
          <w:b/>
          <w:bCs/>
          <w:sz w:val="32"/>
          <w:szCs w:val="32"/>
        </w:rPr>
      </w:pPr>
      <w:r>
        <w:rPr>
          <w:rFonts w:hint="eastAsia" w:ascii="宋体" w:hAnsi="宋体" w:cs="宋体"/>
          <w:b/>
          <w:bCs/>
          <w:sz w:val="32"/>
          <w:szCs w:val="32"/>
        </w:rPr>
        <w:t>八、名词解释</w:t>
      </w:r>
    </w:p>
    <w:p w14:paraId="5BAC56F5">
      <w:pPr>
        <w:ind w:firstLine="640" w:firstLineChars="200"/>
        <w:rPr>
          <w:rFonts w:ascii="仿宋" w:hAnsi="仿宋" w:eastAsia="仿宋"/>
          <w:sz w:val="32"/>
          <w:szCs w:val="32"/>
        </w:rPr>
      </w:pPr>
      <w:r>
        <w:rPr>
          <w:rFonts w:ascii="仿宋" w:hAnsi="仿宋" w:eastAsia="仿宋"/>
          <w:color w:val="000000"/>
          <w:sz w:val="32"/>
          <w:szCs w:val="32"/>
        </w:rPr>
        <w:t>1、一般公共预算拨款收入：指</w:t>
      </w:r>
      <w:r>
        <w:rPr>
          <w:rFonts w:hint="eastAsia" w:ascii="仿宋" w:hAnsi="仿宋" w:eastAsia="仿宋"/>
          <w:color w:val="000000"/>
          <w:sz w:val="32"/>
          <w:szCs w:val="32"/>
        </w:rPr>
        <w:t>本</w:t>
      </w:r>
      <w:r>
        <w:rPr>
          <w:rFonts w:ascii="仿宋" w:hAnsi="仿宋" w:eastAsia="仿宋"/>
          <w:color w:val="000000"/>
          <w:sz w:val="32"/>
          <w:szCs w:val="32"/>
        </w:rPr>
        <w:t>级财政当年拨付的资金。</w:t>
      </w:r>
    </w:p>
    <w:p w14:paraId="77E7C904">
      <w:pPr>
        <w:ind w:firstLine="640" w:firstLineChars="200"/>
        <w:rPr>
          <w:rFonts w:ascii="仿宋" w:hAnsi="仿宋" w:eastAsia="仿宋"/>
          <w:sz w:val="32"/>
          <w:szCs w:val="32"/>
        </w:rPr>
      </w:pPr>
      <w:r>
        <w:rPr>
          <w:rFonts w:ascii="仿宋" w:hAnsi="仿宋" w:eastAsia="仿宋"/>
          <w:color w:val="000000"/>
          <w:sz w:val="32"/>
          <w:szCs w:val="32"/>
        </w:rPr>
        <w:t>2、事业收入：指事业单位开展专业业务活动及辅助活动所取得的收入。</w:t>
      </w:r>
    </w:p>
    <w:p w14:paraId="4DF34C29">
      <w:pPr>
        <w:ind w:firstLine="640" w:firstLineChars="200"/>
        <w:rPr>
          <w:rFonts w:ascii="仿宋" w:hAnsi="仿宋" w:eastAsia="仿宋"/>
          <w:sz w:val="32"/>
          <w:szCs w:val="32"/>
        </w:rPr>
      </w:pPr>
      <w:r>
        <w:rPr>
          <w:rFonts w:ascii="仿宋" w:hAnsi="仿宋" w:eastAsia="仿宋"/>
          <w:color w:val="000000"/>
          <w:sz w:val="32"/>
          <w:szCs w:val="32"/>
        </w:rPr>
        <w:t>3、其他收入：指除“一般公共预算拨款收入”、“事业收入”等以外的收入。主要是按规定动用的租房收入、存款利息收入等。</w:t>
      </w:r>
    </w:p>
    <w:p w14:paraId="7CFA04BC">
      <w:pPr>
        <w:ind w:firstLine="640" w:firstLineChars="200"/>
        <w:rPr>
          <w:rFonts w:ascii="仿宋" w:hAnsi="仿宋" w:eastAsia="仿宋"/>
          <w:sz w:val="32"/>
          <w:szCs w:val="32"/>
        </w:rPr>
      </w:pPr>
      <w:r>
        <w:rPr>
          <w:rFonts w:ascii="仿宋" w:hAnsi="仿宋" w:eastAsia="仿宋"/>
          <w:color w:val="000000"/>
          <w:sz w:val="32"/>
          <w:szCs w:val="32"/>
        </w:rPr>
        <w:t>4、基本支出：指为保障机构正常运转、完成日常工作任务而发生的人员支出和公用支出。</w:t>
      </w:r>
    </w:p>
    <w:p w14:paraId="69AAE019">
      <w:pPr>
        <w:ind w:firstLine="640" w:firstLineChars="200"/>
        <w:rPr>
          <w:rFonts w:ascii="仿宋" w:hAnsi="仿宋" w:eastAsia="仿宋"/>
          <w:sz w:val="32"/>
          <w:szCs w:val="32"/>
        </w:rPr>
      </w:pPr>
      <w:r>
        <w:rPr>
          <w:rFonts w:ascii="仿宋" w:hAnsi="仿宋" w:eastAsia="仿宋"/>
          <w:color w:val="000000"/>
          <w:sz w:val="32"/>
          <w:szCs w:val="32"/>
        </w:rPr>
        <w:t>5、项目支出：指在基本支出之外为完成特定行政任务和事业发展目标所发生的支出。</w:t>
      </w:r>
    </w:p>
    <w:p w14:paraId="5A02425C">
      <w:pPr>
        <w:ind w:firstLine="640" w:firstLineChars="200"/>
        <w:rPr>
          <w:rFonts w:ascii="仿宋" w:hAnsi="仿宋" w:eastAsia="仿宋"/>
          <w:sz w:val="32"/>
          <w:szCs w:val="32"/>
        </w:rPr>
      </w:pPr>
      <w:r>
        <w:rPr>
          <w:rFonts w:ascii="仿宋" w:hAnsi="仿宋" w:eastAsia="仿宋"/>
          <w:color w:val="000000"/>
          <w:sz w:val="32"/>
          <w:szCs w:val="32"/>
        </w:rPr>
        <w:t>6、上缴上级支出：指下级单位上缴上级的支出。</w:t>
      </w:r>
    </w:p>
    <w:p w14:paraId="2E7FF47A">
      <w:pPr>
        <w:ind w:firstLine="640" w:firstLineChars="200"/>
        <w:rPr>
          <w:rFonts w:ascii="仿宋" w:hAnsi="仿宋" w:eastAsia="仿宋"/>
          <w:sz w:val="32"/>
          <w:szCs w:val="32"/>
        </w:rPr>
      </w:pPr>
      <w:r>
        <w:rPr>
          <w:rFonts w:ascii="仿宋" w:hAnsi="仿宋" w:eastAsia="仿宋"/>
          <w:color w:val="000000"/>
          <w:sz w:val="32"/>
          <w:szCs w:val="32"/>
        </w:rPr>
        <w:t>7、“三公”经费：纳入</w:t>
      </w:r>
      <w:r>
        <w:rPr>
          <w:rFonts w:hint="eastAsia" w:ascii="仿宋" w:hAnsi="仿宋" w:eastAsia="仿宋"/>
          <w:color w:val="000000"/>
          <w:sz w:val="32"/>
          <w:szCs w:val="32"/>
        </w:rPr>
        <w:t>本</w:t>
      </w:r>
      <w:r>
        <w:rPr>
          <w:rFonts w:ascii="仿宋" w:hAnsi="仿宋" w:eastAsia="仿宋"/>
          <w:color w:val="000000"/>
          <w:sz w:val="32"/>
          <w:szCs w:val="32"/>
        </w:rPr>
        <w:t>级财政预算管理的“三公”经费，是指</w:t>
      </w:r>
      <w:r>
        <w:rPr>
          <w:rFonts w:hint="eastAsia" w:ascii="仿宋" w:hAnsi="仿宋" w:eastAsia="仿宋"/>
          <w:color w:val="000000"/>
          <w:sz w:val="32"/>
          <w:szCs w:val="32"/>
        </w:rPr>
        <w:t>县</w:t>
      </w:r>
      <w:r>
        <w:rPr>
          <w:rFonts w:ascii="仿宋" w:hAnsi="仿宋" w:eastAsia="仿宋"/>
          <w:color w:val="000000"/>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97675A8">
      <w:pPr>
        <w:ind w:firstLine="640" w:firstLineChars="200"/>
        <w:rPr>
          <w:rFonts w:ascii="仿宋" w:hAnsi="仿宋" w:eastAsia="仿宋"/>
          <w:sz w:val="32"/>
          <w:szCs w:val="32"/>
        </w:rPr>
      </w:pPr>
      <w:r>
        <w:rPr>
          <w:rFonts w:ascii="仿宋" w:hAnsi="仿宋" w:eastAsia="仿宋"/>
          <w:color w:val="000000"/>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05C589A5">
      <w:pPr>
        <w:ind w:firstLine="640" w:firstLineChars="200"/>
        <w:rPr>
          <w:rFonts w:ascii="仿宋" w:hAnsi="仿宋" w:eastAsia="仿宋"/>
          <w:sz w:val="32"/>
          <w:szCs w:val="32"/>
        </w:rPr>
      </w:pPr>
      <w:r>
        <w:rPr>
          <w:rFonts w:ascii="仿宋" w:hAnsi="仿宋" w:eastAsia="仿宋"/>
          <w:color w:val="000000"/>
          <w:sz w:val="32"/>
          <w:szCs w:val="32"/>
        </w:rPr>
        <w:t>9、上年结转：指以前年度尚未完成、结转到本年仍按原规定用途继续使用的资金。</w:t>
      </w:r>
    </w:p>
    <w:p w14:paraId="124D54A2">
      <w:pPr>
        <w:ind w:firstLine="640" w:firstLineChars="200"/>
        <w:rPr>
          <w:rFonts w:ascii="仿宋" w:hAnsi="仿宋" w:eastAsia="仿宋"/>
          <w:sz w:val="32"/>
          <w:szCs w:val="32"/>
        </w:rPr>
      </w:pPr>
      <w:r>
        <w:rPr>
          <w:rFonts w:ascii="仿宋" w:hAnsi="仿宋" w:eastAsia="仿宋"/>
          <w:color w:val="000000"/>
          <w:sz w:val="32"/>
          <w:szCs w:val="32"/>
        </w:rPr>
        <w:t>10、事业单位经营支出：指事业单位在专业业务活动及其辅助活动之外开展非独立核算经营活动发生的支出。</w:t>
      </w:r>
    </w:p>
    <w:p w14:paraId="7F8B95EE">
      <w:pPr>
        <w:numPr>
          <w:ilvl w:val="0"/>
          <w:numId w:val="0"/>
        </w:numPr>
        <w:ind w:firstLine="643" w:firstLineChars="200"/>
        <w:rPr>
          <w:rFonts w:ascii="宋体" w:cs="宋体"/>
          <w:b/>
          <w:bCs/>
          <w:kern w:val="0"/>
          <w:sz w:val="32"/>
          <w:szCs w:val="32"/>
        </w:rPr>
      </w:pPr>
      <w:r>
        <w:rPr>
          <w:rFonts w:hint="eastAsia" w:ascii="宋体" w:hAnsi="宋体" w:cs="宋体"/>
          <w:b/>
          <w:bCs/>
          <w:kern w:val="0"/>
          <w:sz w:val="32"/>
          <w:szCs w:val="32"/>
          <w:lang w:eastAsia="zh-CN"/>
        </w:rPr>
        <w:t>九、</w:t>
      </w:r>
      <w:r>
        <w:rPr>
          <w:rFonts w:hint="eastAsia" w:ascii="宋体" w:hAnsi="宋体" w:cs="宋体"/>
          <w:b/>
          <w:bCs/>
          <w:kern w:val="0"/>
          <w:sz w:val="32"/>
          <w:szCs w:val="32"/>
        </w:rPr>
        <w:t>其他需要说明的事项</w:t>
      </w:r>
    </w:p>
    <w:p w14:paraId="31E08E9B">
      <w:pPr>
        <w:ind w:firstLine="640" w:firstLineChars="200"/>
        <w:rPr>
          <w:rFonts w:ascii="方正小标宋_GBK" w:hAnsi="方正小标宋_GBK" w:eastAsia="方正小标宋_GBK" w:cs="方正小标宋_GBK"/>
          <w:color w:val="000000"/>
          <w:sz w:val="72"/>
        </w:rPr>
        <w:sectPr>
          <w:pgSz w:w="16838" w:h="11906" w:orient="landscape"/>
          <w:pgMar w:top="1800" w:right="1440" w:bottom="1800" w:left="1440" w:header="851" w:footer="992" w:gutter="0"/>
          <w:pgNumType w:fmt="decimal"/>
          <w:cols w:space="425" w:num="1"/>
          <w:docGrid w:type="lines" w:linePitch="312" w:charSpace="0"/>
        </w:sectPr>
      </w:pPr>
      <w:r>
        <w:rPr>
          <w:rFonts w:ascii="仿宋" w:hAnsi="仿宋" w:eastAsia="仿宋"/>
          <w:color w:val="000000"/>
          <w:sz w:val="32"/>
          <w:szCs w:val="32"/>
        </w:rPr>
        <w:t>我部门无其他需要说明的事项。</w:t>
      </w:r>
      <w:r>
        <w:rPr>
          <w:rFonts w:ascii="仿宋" w:hAnsi="仿宋" w:eastAsia="仿宋" w:cs="仿宋_GB2312"/>
          <w:sz w:val="32"/>
          <w:szCs w:val="32"/>
        </w:rPr>
        <w:t xml:space="preserve"> </w:t>
      </w:r>
    </w:p>
    <w:p w14:paraId="2832F1B0">
      <w:pPr>
        <w:jc w:val="both"/>
        <w:rPr>
          <w:rFonts w:ascii="方正小标宋_GBK" w:hAnsi="方正小标宋_GBK" w:eastAsia="方正小标宋_GBK" w:cs="方正小标宋_GBK"/>
          <w:color w:val="000000"/>
          <w:sz w:val="72"/>
        </w:rPr>
      </w:pPr>
    </w:p>
    <w:sectPr>
      <w:pgSz w:w="16838" w:h="11906" w:orient="landscape"/>
      <w:pgMar w:top="1800" w:right="1440" w:bottom="1800" w:left="144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B58347">
    <w:pPr>
      <w:pStyle w:val="2"/>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B036E2">
    <w:pPr>
      <w:jc w:val="left"/>
    </w:pPr>
    <w:r>
      <w:rPr>
        <w:sz w:val="24"/>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2F09701">
                          <w:pPr>
                            <w:jc w:val="left"/>
                          </w:pPr>
                          <w:r>
                            <w:fldChar w:fldCharType="begin"/>
                          </w:r>
                          <w:r>
                            <w:instrText xml:space="preserve">PAGE "page number"</w:instrText>
                          </w:r>
                          <w:r>
                            <w:fldChar w:fldCharType="separate"/>
                          </w:r>
                          <w:r>
                            <w:t>page number</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CWTNKnIAQAAmQMAAA4AAAAAAAAAAQAgAAAAHgEAAGRycy9lMm9Eb2Mu&#10;eG1sUEsFBgAAAAAGAAYAWQEAAFgFAAAAAA==&#10;">
              <v:fill on="f" focussize="0,0"/>
              <v:stroke on="f"/>
              <v:imagedata o:title=""/>
              <o:lock v:ext="edit" aspectratio="f"/>
              <v:textbox inset="0mm,0mm,0mm,0mm" style="mso-fit-shape-to-text:t;">
                <w:txbxContent>
                  <w:p w14:paraId="12F09701">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C05A55">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3C5749B">
                          <w:pPr>
                            <w:pStyle w:val="2"/>
                            <w:rPr>
                              <w:rFonts w:hint="eastAsia" w:ascii="仿宋" w:hAnsi="仿宋" w:eastAsia="仿宋" w:cs="仿宋"/>
                              <w:sz w:val="24"/>
                              <w:szCs w:val="24"/>
                            </w:rPr>
                          </w:pP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  \* MERGEFORMAT </w:instrText>
                          </w:r>
                          <w:r>
                            <w:rPr>
                              <w:rFonts w:hint="eastAsia" w:ascii="仿宋" w:hAnsi="仿宋" w:eastAsia="仿宋" w:cs="仿宋"/>
                              <w:sz w:val="24"/>
                              <w:szCs w:val="24"/>
                            </w:rPr>
                            <w:fldChar w:fldCharType="separate"/>
                          </w:r>
                          <w:r>
                            <w:rPr>
                              <w:rFonts w:hint="eastAsia" w:ascii="仿宋" w:hAnsi="仿宋" w:eastAsia="仿宋" w:cs="仿宋"/>
                              <w:sz w:val="24"/>
                              <w:szCs w:val="24"/>
                            </w:rPr>
                            <w:t>1</w:t>
                          </w:r>
                          <w:r>
                            <w:rPr>
                              <w:rFonts w:hint="eastAsia" w:ascii="仿宋" w:hAnsi="仿宋" w:eastAsia="仿宋" w:cs="仿宋"/>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13C5749B">
                    <w:pPr>
                      <w:pStyle w:val="2"/>
                      <w:rPr>
                        <w:rFonts w:hint="eastAsia" w:ascii="仿宋" w:hAnsi="仿宋" w:eastAsia="仿宋" w:cs="仿宋"/>
                        <w:sz w:val="24"/>
                        <w:szCs w:val="24"/>
                      </w:rPr>
                    </w:pP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  \* MERGEFORMAT </w:instrText>
                    </w:r>
                    <w:r>
                      <w:rPr>
                        <w:rFonts w:hint="eastAsia" w:ascii="仿宋" w:hAnsi="仿宋" w:eastAsia="仿宋" w:cs="仿宋"/>
                        <w:sz w:val="24"/>
                        <w:szCs w:val="24"/>
                      </w:rPr>
                      <w:fldChar w:fldCharType="separate"/>
                    </w:r>
                    <w:r>
                      <w:rPr>
                        <w:rFonts w:hint="eastAsia" w:ascii="仿宋" w:hAnsi="仿宋" w:eastAsia="仿宋" w:cs="仿宋"/>
                        <w:sz w:val="24"/>
                        <w:szCs w:val="24"/>
                      </w:rPr>
                      <w:t>1</w:t>
                    </w:r>
                    <w:r>
                      <w:rPr>
                        <w:rFonts w:hint="eastAsia" w:ascii="仿宋" w:hAnsi="仿宋" w:eastAsia="仿宋" w:cs="仿宋"/>
                        <w:sz w:val="24"/>
                        <w:szCs w:val="24"/>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C37DA7">
    <w:pPr>
      <w:jc w:val="right"/>
    </w:pPr>
    <w:r>
      <w:rPr>
        <w:sz w:val="24"/>
      </w:rPr>
      <mc:AlternateContent>
        <mc:Choice Requires="wps">
          <w:drawing>
            <wp:anchor distT="0" distB="0" distL="114300" distR="114300" simplePos="0" relativeHeight="251663360" behindDoc="0" locked="0" layoutInCell="1" allowOverlap="1">
              <wp:simplePos x="0" y="0"/>
              <wp:positionH relativeFrom="margin">
                <wp:align>left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DC6DBC0">
                          <w:pPr>
                            <w:jc w:val="right"/>
                          </w:pPr>
                          <w:r>
                            <w:fldChar w:fldCharType="begin"/>
                          </w:r>
                          <w:r>
                            <w:instrText xml:space="preserve">PAGE "page number"</w:instrText>
                          </w:r>
                          <w:r>
                            <w:fldChar w:fldCharType="separate"/>
                          </w:r>
                          <w:r>
                            <w:t>page number</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left;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1DC6DBC0">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7BCDDA">
    <w:pPr>
      <w:jc w:val="left"/>
    </w:pPr>
    <w:r>
      <w:rPr>
        <w:sz w:val="24"/>
      </w:rPr>
      <mc:AlternateContent>
        <mc:Choice Requires="wps">
          <w:drawing>
            <wp:anchor distT="0" distB="0" distL="114300" distR="114300" simplePos="0" relativeHeight="251664384" behindDoc="0" locked="0" layoutInCell="1" allowOverlap="1">
              <wp:simplePos x="0" y="0"/>
              <wp:positionH relativeFrom="margin">
                <wp:align>left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F0489BD">
                          <w:pPr>
                            <w:jc w:val="left"/>
                          </w:pPr>
                          <w:r>
                            <w:fldChar w:fldCharType="begin"/>
                          </w:r>
                          <w:r>
                            <w:instrText xml:space="preserve">PAGE "page number"</w:instrText>
                          </w:r>
                          <w:r>
                            <w:fldChar w:fldCharType="separate"/>
                          </w:r>
                          <w:r>
                            <w:t>page number</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left;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F+UJskBAACZAwAADgAAAGRycy9lMm9Eb2MueG1srVPNjtMwEL4j8Q6W&#10;79TZaoW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DUX5QmyQEAAJkDAAAOAAAAAAAAAAEAIAAAAB4BAABkcnMvZTJvRG9j&#10;LnhtbFBLBQYAAAAABgAGAFkBAABZBQAAAAA=&#10;">
              <v:fill on="f" focussize="0,0"/>
              <v:stroke on="f"/>
              <v:imagedata o:title=""/>
              <o:lock v:ext="edit" aspectratio="f"/>
              <v:textbox inset="0mm,0mm,0mm,0mm" style="mso-fit-shape-to-text:t;">
                <w:txbxContent>
                  <w:p w14:paraId="5F0489BD">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D42BAB">
    <w:pPr>
      <w:jc w:val="right"/>
    </w:pPr>
    <w:r>
      <w:rPr>
        <w:sz w:val="24"/>
      </w:rPr>
      <mc:AlternateContent>
        <mc:Choice Requires="wps">
          <w:drawing>
            <wp:anchor distT="0" distB="0" distL="114300" distR="114300" simplePos="0" relativeHeight="25166540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EA46E48">
                          <w:pPr>
                            <w:jc w:val="right"/>
                          </w:pPr>
                          <w:r>
                            <w:fldChar w:fldCharType="begin"/>
                          </w:r>
                          <w:r>
                            <w:instrText xml:space="preserve">PAGE "page number"</w:instrText>
                          </w:r>
                          <w:r>
                            <w:fldChar w:fldCharType="separate"/>
                          </w:r>
                          <w:r>
                            <w:t>page number</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14:paraId="5EA46E48">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336B0F">
    <w:pPr>
      <w:jc w:val="left"/>
    </w:pPr>
    <w:r>
      <w:rPr>
        <w:sz w:val="24"/>
      </w:rPr>
      <mc:AlternateContent>
        <mc:Choice Requires="wps">
          <w:drawing>
            <wp:anchor distT="0" distB="0" distL="114300" distR="114300" simplePos="0" relativeHeight="251666432" behindDoc="0" locked="0" layoutInCell="1" allowOverlap="1">
              <wp:simplePos x="0" y="0"/>
              <wp:positionH relativeFrom="margin">
                <wp:align>right</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A1EE23C">
                          <w:pPr>
                            <w:jc w:val="left"/>
                          </w:pPr>
                          <w:r>
                            <w:fldChar w:fldCharType="begin"/>
                          </w:r>
                          <w:r>
                            <w:instrText xml:space="preserve">PAGE "page number"</w:instrText>
                          </w:r>
                          <w:r>
                            <w:fldChar w:fldCharType="separate"/>
                          </w:r>
                          <w:r>
                            <w:t>page number</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DSS+knIAQAAmQMAAA4AAAAAAAAAAQAgAAAAHgEAAGRycy9lMm9Eb2Mu&#10;eG1sUEsFBgAAAAAGAAYAWQEAAFgFAAAAAA==&#10;">
              <v:fill on="f" focussize="0,0"/>
              <v:stroke on="f"/>
              <v:imagedata o:title=""/>
              <o:lock v:ext="edit" aspectratio="f"/>
              <v:textbox inset="0mm,0mm,0mm,0mm" style="mso-fit-shape-to-text:t;">
                <w:txbxContent>
                  <w:p w14:paraId="0A1EE23C">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01AB4A">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868A2A4">
                          <w:pPr>
                            <w:jc w:val="right"/>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PAGE "page number"</w:instrText>
                          </w:r>
                          <w:r>
                            <w:rPr>
                              <w:rFonts w:hint="eastAsia" w:ascii="宋体" w:hAnsi="宋体" w:eastAsia="宋体" w:cs="宋体"/>
                            </w:rPr>
                            <w:fldChar w:fldCharType="separate"/>
                          </w:r>
                          <w:r>
                            <w:rPr>
                              <w:rFonts w:hint="eastAsia" w:ascii="宋体" w:hAnsi="宋体" w:eastAsia="宋体" w:cs="宋体"/>
                            </w:rPr>
                            <w:t>page number</w:t>
                          </w:r>
                          <w:r>
                            <w:rPr>
                              <w:rFonts w:hint="eastAsia" w:ascii="宋体" w:hAnsi="宋体" w:eastAsia="宋体" w:cs="宋体"/>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MT0TX7IAQAAmQMAAA4AAAAAAAAAAQAgAAAAHgEAAGRycy9lMm9Eb2Mu&#10;eG1sUEsFBgAAAAAGAAYAWQEAAFgFAAAAAA==&#10;">
              <v:fill on="f" focussize="0,0"/>
              <v:stroke on="f"/>
              <v:imagedata o:title=""/>
              <o:lock v:ext="edit" aspectratio="f"/>
              <v:textbox inset="0mm,0mm,0mm,0mm" style="mso-fit-shape-to-text:t;">
                <w:txbxContent>
                  <w:p w14:paraId="4868A2A4">
                    <w:pPr>
                      <w:jc w:val="right"/>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PAGE "page number"</w:instrText>
                    </w:r>
                    <w:r>
                      <w:rPr>
                        <w:rFonts w:hint="eastAsia" w:ascii="宋体" w:hAnsi="宋体" w:eastAsia="宋体" w:cs="宋体"/>
                      </w:rPr>
                      <w:fldChar w:fldCharType="separate"/>
                    </w:r>
                    <w:r>
                      <w:rPr>
                        <w:rFonts w:hint="eastAsia" w:ascii="宋体" w:hAnsi="宋体" w:eastAsia="宋体" w:cs="宋体"/>
                      </w:rPr>
                      <w:t>page number</w:t>
                    </w:r>
                    <w:r>
                      <w:rPr>
                        <w:rFonts w:hint="eastAsia" w:ascii="宋体" w:hAnsi="宋体" w:eastAsia="宋体" w:cs="宋体"/>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FE53B8">
    <w:pPr>
      <w:jc w:val="left"/>
    </w:pPr>
    <w:r>
      <w:rPr>
        <w:sz w:val="24"/>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CA4465A">
                          <w:pPr>
                            <w:jc w:val="left"/>
                          </w:pPr>
                          <w:r>
                            <w:fldChar w:fldCharType="begin"/>
                          </w:r>
                          <w:r>
                            <w:instrText xml:space="preserve">PAGE "page number"</w:instrText>
                          </w:r>
                          <w:r>
                            <w:fldChar w:fldCharType="separate"/>
                          </w:r>
                          <w:r>
                            <w:t>page number</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DkjEckBAACZAwAADgAAAGRycy9lMm9Eb2MueG1srVPNjtMwEL4j8Q6W&#10;79TZSou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kOSMRyQEAAJkDAAAOAAAAAAAAAAEAIAAAAB4BAABkcnMvZTJvRG9j&#10;LnhtbFBLBQYAAAAABgAGAFkBAABZBQAAAAA=&#10;">
              <v:fill on="f" focussize="0,0"/>
              <v:stroke on="f"/>
              <v:imagedata o:title=""/>
              <o:lock v:ext="edit" aspectratio="f"/>
              <v:textbox inset="0mm,0mm,0mm,0mm" style="mso-fit-shape-to-text:t;">
                <w:txbxContent>
                  <w:p w14:paraId="4CA4465A">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19636C">
    <w:pPr>
      <w:jc w:val="right"/>
    </w:pPr>
    <w:r>
      <w:rPr>
        <w:sz w:val="24"/>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3EACAA0">
                          <w:pPr>
                            <w:jc w:val="right"/>
                          </w:pPr>
                          <w:r>
                            <w:fldChar w:fldCharType="begin"/>
                          </w:r>
                          <w:r>
                            <w:instrText xml:space="preserve">PAGE "page number"</w:instrText>
                          </w:r>
                          <w:r>
                            <w:fldChar w:fldCharType="separate"/>
                          </w:r>
                          <w:r>
                            <w:t>page number</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1fWDnscBAACZAwAADgAAAAAAAAABACAAAAAeAQAAZHJzL2Uyb0RvYy54&#10;bWxQSwUGAAAAAAYABgBZAQAAVwUAAAAA&#10;">
              <v:fill on="f" focussize="0,0"/>
              <v:stroke on="f"/>
              <v:imagedata o:title=""/>
              <o:lock v:ext="edit" aspectratio="f"/>
              <v:textbox inset="0mm,0mm,0mm,0mm" style="mso-fit-shape-to-text:t;">
                <w:txbxContent>
                  <w:p w14:paraId="13EACAA0">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01D48FC"/>
    <w:multiLevelType w:val="singleLevel"/>
    <w:tmpl w:val="A01D48FC"/>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lkNTZjZGNiOTBiMzA4YjY4ZGNjMzMwZGFhYWVlZmYifQ=="/>
  </w:docVars>
  <w:rsids>
    <w:rsidRoot w:val="0A860A75"/>
    <w:rsid w:val="00055794"/>
    <w:rsid w:val="00153830"/>
    <w:rsid w:val="010E4EF3"/>
    <w:rsid w:val="01483579"/>
    <w:rsid w:val="016D0C0A"/>
    <w:rsid w:val="022256B4"/>
    <w:rsid w:val="02322381"/>
    <w:rsid w:val="027B62B0"/>
    <w:rsid w:val="02B07C6C"/>
    <w:rsid w:val="02CE01A5"/>
    <w:rsid w:val="031F6CAB"/>
    <w:rsid w:val="035D2BB0"/>
    <w:rsid w:val="03FC35CA"/>
    <w:rsid w:val="04865F11"/>
    <w:rsid w:val="04AD0946"/>
    <w:rsid w:val="0568116E"/>
    <w:rsid w:val="05B830B0"/>
    <w:rsid w:val="06CB2EA9"/>
    <w:rsid w:val="06D2452A"/>
    <w:rsid w:val="06FF2A58"/>
    <w:rsid w:val="072F2D91"/>
    <w:rsid w:val="08360F8F"/>
    <w:rsid w:val="0837028C"/>
    <w:rsid w:val="086E2B2B"/>
    <w:rsid w:val="08761ABC"/>
    <w:rsid w:val="08764A98"/>
    <w:rsid w:val="09DA5691"/>
    <w:rsid w:val="0A7A62EC"/>
    <w:rsid w:val="0A860A75"/>
    <w:rsid w:val="0B006BBB"/>
    <w:rsid w:val="0B22203A"/>
    <w:rsid w:val="0B2D355E"/>
    <w:rsid w:val="0B8E4D61"/>
    <w:rsid w:val="0C2572E2"/>
    <w:rsid w:val="0C4C4E1D"/>
    <w:rsid w:val="0C953DB4"/>
    <w:rsid w:val="0CC75991"/>
    <w:rsid w:val="0CDA36A4"/>
    <w:rsid w:val="0DA62447"/>
    <w:rsid w:val="0DD33F2D"/>
    <w:rsid w:val="0E236AF0"/>
    <w:rsid w:val="0E2C3233"/>
    <w:rsid w:val="0EAA6C9A"/>
    <w:rsid w:val="0EAE0FFC"/>
    <w:rsid w:val="0EC127D2"/>
    <w:rsid w:val="0EEA6479"/>
    <w:rsid w:val="0F072534"/>
    <w:rsid w:val="0F593CC5"/>
    <w:rsid w:val="0F5C2A71"/>
    <w:rsid w:val="0F6C3F17"/>
    <w:rsid w:val="0F6F5FEA"/>
    <w:rsid w:val="0F8A4B8E"/>
    <w:rsid w:val="0FAF5D7E"/>
    <w:rsid w:val="0FE324B6"/>
    <w:rsid w:val="10EB2C8C"/>
    <w:rsid w:val="113B4160"/>
    <w:rsid w:val="116C5E2A"/>
    <w:rsid w:val="11723FBE"/>
    <w:rsid w:val="120A78D4"/>
    <w:rsid w:val="121B14EF"/>
    <w:rsid w:val="123C329C"/>
    <w:rsid w:val="12ED66C8"/>
    <w:rsid w:val="139D3E91"/>
    <w:rsid w:val="13C3675E"/>
    <w:rsid w:val="13ED4678"/>
    <w:rsid w:val="142C0ED0"/>
    <w:rsid w:val="14CF3F99"/>
    <w:rsid w:val="14D80390"/>
    <w:rsid w:val="14DF03F8"/>
    <w:rsid w:val="1617588D"/>
    <w:rsid w:val="17682A22"/>
    <w:rsid w:val="178570A5"/>
    <w:rsid w:val="17C47D9B"/>
    <w:rsid w:val="17DA4B1F"/>
    <w:rsid w:val="17E83AE9"/>
    <w:rsid w:val="18037974"/>
    <w:rsid w:val="187B7AC6"/>
    <w:rsid w:val="18ED5373"/>
    <w:rsid w:val="199226C8"/>
    <w:rsid w:val="19D46F45"/>
    <w:rsid w:val="1A607BD9"/>
    <w:rsid w:val="1A9642FF"/>
    <w:rsid w:val="1AB30664"/>
    <w:rsid w:val="1AB53D4F"/>
    <w:rsid w:val="1ABD2166"/>
    <w:rsid w:val="1ADC683C"/>
    <w:rsid w:val="1AE81F39"/>
    <w:rsid w:val="1B1A30C5"/>
    <w:rsid w:val="1B2021D0"/>
    <w:rsid w:val="1B962F6D"/>
    <w:rsid w:val="1BC85AA0"/>
    <w:rsid w:val="1C306067"/>
    <w:rsid w:val="1CB57CA7"/>
    <w:rsid w:val="1CCC2BD1"/>
    <w:rsid w:val="1CDF7469"/>
    <w:rsid w:val="1D1E11D5"/>
    <w:rsid w:val="1D3837D4"/>
    <w:rsid w:val="1DE24E96"/>
    <w:rsid w:val="1E176D53"/>
    <w:rsid w:val="1E622454"/>
    <w:rsid w:val="1E8C78AD"/>
    <w:rsid w:val="1F2C62D0"/>
    <w:rsid w:val="1F993A9E"/>
    <w:rsid w:val="1FBB1200"/>
    <w:rsid w:val="1FDF4FAF"/>
    <w:rsid w:val="20485605"/>
    <w:rsid w:val="20C8709F"/>
    <w:rsid w:val="20D23ED5"/>
    <w:rsid w:val="20D87576"/>
    <w:rsid w:val="20EB612E"/>
    <w:rsid w:val="21112C4D"/>
    <w:rsid w:val="21526206"/>
    <w:rsid w:val="2155494E"/>
    <w:rsid w:val="222D3305"/>
    <w:rsid w:val="22E44DFB"/>
    <w:rsid w:val="22FB02A6"/>
    <w:rsid w:val="2323324E"/>
    <w:rsid w:val="232B61B0"/>
    <w:rsid w:val="237006B3"/>
    <w:rsid w:val="23825BBA"/>
    <w:rsid w:val="23AF2849"/>
    <w:rsid w:val="23DC0CA1"/>
    <w:rsid w:val="23E83EFF"/>
    <w:rsid w:val="23F36D2C"/>
    <w:rsid w:val="24751455"/>
    <w:rsid w:val="2489682D"/>
    <w:rsid w:val="24D173B6"/>
    <w:rsid w:val="25AD59B2"/>
    <w:rsid w:val="25DE362C"/>
    <w:rsid w:val="25E60A39"/>
    <w:rsid w:val="26282E8A"/>
    <w:rsid w:val="265410A4"/>
    <w:rsid w:val="26546C49"/>
    <w:rsid w:val="26A91DFC"/>
    <w:rsid w:val="26F320C0"/>
    <w:rsid w:val="27197EB8"/>
    <w:rsid w:val="27AB7F6F"/>
    <w:rsid w:val="27DD6975"/>
    <w:rsid w:val="27DF331B"/>
    <w:rsid w:val="28003ED3"/>
    <w:rsid w:val="28C644FD"/>
    <w:rsid w:val="295622D4"/>
    <w:rsid w:val="2999249D"/>
    <w:rsid w:val="29B37077"/>
    <w:rsid w:val="29E06869"/>
    <w:rsid w:val="2A00781C"/>
    <w:rsid w:val="2A361684"/>
    <w:rsid w:val="2AF31486"/>
    <w:rsid w:val="2B173F02"/>
    <w:rsid w:val="2B31394F"/>
    <w:rsid w:val="2B67390C"/>
    <w:rsid w:val="2BD9047F"/>
    <w:rsid w:val="2BE2172F"/>
    <w:rsid w:val="2C3446E1"/>
    <w:rsid w:val="2CB2218F"/>
    <w:rsid w:val="2CE72922"/>
    <w:rsid w:val="2D1D7D25"/>
    <w:rsid w:val="2D5618BE"/>
    <w:rsid w:val="2D682E79"/>
    <w:rsid w:val="2DEF1F04"/>
    <w:rsid w:val="2E0C4F1C"/>
    <w:rsid w:val="2E4F4451"/>
    <w:rsid w:val="2E743646"/>
    <w:rsid w:val="2EAC3BAE"/>
    <w:rsid w:val="2F1A1856"/>
    <w:rsid w:val="2F325F6A"/>
    <w:rsid w:val="2F6A684D"/>
    <w:rsid w:val="2FD81838"/>
    <w:rsid w:val="2FF00315"/>
    <w:rsid w:val="30014FDE"/>
    <w:rsid w:val="305A2C52"/>
    <w:rsid w:val="30E03599"/>
    <w:rsid w:val="318D3C36"/>
    <w:rsid w:val="31A733A7"/>
    <w:rsid w:val="31BB6926"/>
    <w:rsid w:val="31D22AC1"/>
    <w:rsid w:val="31F219DC"/>
    <w:rsid w:val="31FB7CF0"/>
    <w:rsid w:val="322D2B0D"/>
    <w:rsid w:val="32A6623F"/>
    <w:rsid w:val="32F54ABA"/>
    <w:rsid w:val="333B4D8E"/>
    <w:rsid w:val="33AD367A"/>
    <w:rsid w:val="33E754FA"/>
    <w:rsid w:val="34BB2CF1"/>
    <w:rsid w:val="355B568D"/>
    <w:rsid w:val="35B536E8"/>
    <w:rsid w:val="362D762F"/>
    <w:rsid w:val="36535FE1"/>
    <w:rsid w:val="366E2224"/>
    <w:rsid w:val="36E16658"/>
    <w:rsid w:val="36EB2F96"/>
    <w:rsid w:val="37A45972"/>
    <w:rsid w:val="37D97EDF"/>
    <w:rsid w:val="37F81185"/>
    <w:rsid w:val="38CF6444"/>
    <w:rsid w:val="38EA4A6F"/>
    <w:rsid w:val="392F0AEC"/>
    <w:rsid w:val="39CE4CE2"/>
    <w:rsid w:val="3AB00DFA"/>
    <w:rsid w:val="3AE4105E"/>
    <w:rsid w:val="3AF122DB"/>
    <w:rsid w:val="3B482C44"/>
    <w:rsid w:val="3B55765B"/>
    <w:rsid w:val="3BCD002B"/>
    <w:rsid w:val="3C4C27D4"/>
    <w:rsid w:val="3C7704C4"/>
    <w:rsid w:val="3D070B26"/>
    <w:rsid w:val="3E1F7BF6"/>
    <w:rsid w:val="3E2F252C"/>
    <w:rsid w:val="3EF02D12"/>
    <w:rsid w:val="3F1A33A2"/>
    <w:rsid w:val="3F576D25"/>
    <w:rsid w:val="40142EAD"/>
    <w:rsid w:val="40974E8F"/>
    <w:rsid w:val="40C06849"/>
    <w:rsid w:val="41055A95"/>
    <w:rsid w:val="415416A6"/>
    <w:rsid w:val="41BA4EDF"/>
    <w:rsid w:val="41F367E5"/>
    <w:rsid w:val="42906782"/>
    <w:rsid w:val="42DB23BC"/>
    <w:rsid w:val="42DD45BB"/>
    <w:rsid w:val="42E536AC"/>
    <w:rsid w:val="430E1874"/>
    <w:rsid w:val="431B5C5F"/>
    <w:rsid w:val="433D3989"/>
    <w:rsid w:val="43DB2C51"/>
    <w:rsid w:val="44030F25"/>
    <w:rsid w:val="440738D4"/>
    <w:rsid w:val="453579A6"/>
    <w:rsid w:val="454C7355"/>
    <w:rsid w:val="455478C0"/>
    <w:rsid w:val="459D2830"/>
    <w:rsid w:val="45C32AE0"/>
    <w:rsid w:val="462D1592"/>
    <w:rsid w:val="463D5DBD"/>
    <w:rsid w:val="4640798F"/>
    <w:rsid w:val="464233DA"/>
    <w:rsid w:val="46521164"/>
    <w:rsid w:val="46773703"/>
    <w:rsid w:val="46DC2E5C"/>
    <w:rsid w:val="474D0F8E"/>
    <w:rsid w:val="47876268"/>
    <w:rsid w:val="479611E9"/>
    <w:rsid w:val="47A713BA"/>
    <w:rsid w:val="47C061DF"/>
    <w:rsid w:val="48014A93"/>
    <w:rsid w:val="48C77A1C"/>
    <w:rsid w:val="49431DC1"/>
    <w:rsid w:val="49821D89"/>
    <w:rsid w:val="498405D2"/>
    <w:rsid w:val="49C72E5F"/>
    <w:rsid w:val="4A2D4C84"/>
    <w:rsid w:val="4AE45C6A"/>
    <w:rsid w:val="4AF56C1A"/>
    <w:rsid w:val="4AF776AF"/>
    <w:rsid w:val="4B21305C"/>
    <w:rsid w:val="4B2B4BFE"/>
    <w:rsid w:val="4B2B58D0"/>
    <w:rsid w:val="4B4D6605"/>
    <w:rsid w:val="4BC01467"/>
    <w:rsid w:val="4BF6262F"/>
    <w:rsid w:val="4C334E7A"/>
    <w:rsid w:val="4CE07051"/>
    <w:rsid w:val="4CF14D1E"/>
    <w:rsid w:val="4CFA3D70"/>
    <w:rsid w:val="4D2A3925"/>
    <w:rsid w:val="4D8508A1"/>
    <w:rsid w:val="4DAE4ED5"/>
    <w:rsid w:val="4DCD10CD"/>
    <w:rsid w:val="4DF777F6"/>
    <w:rsid w:val="4E133494"/>
    <w:rsid w:val="4E270003"/>
    <w:rsid w:val="4E541C68"/>
    <w:rsid w:val="4EB42E98"/>
    <w:rsid w:val="4F1522A2"/>
    <w:rsid w:val="4F6E0791"/>
    <w:rsid w:val="4F763A6D"/>
    <w:rsid w:val="4FA241F7"/>
    <w:rsid w:val="4FA55357"/>
    <w:rsid w:val="50142228"/>
    <w:rsid w:val="507A4EC6"/>
    <w:rsid w:val="50A658E0"/>
    <w:rsid w:val="50AD423E"/>
    <w:rsid w:val="50DC7A2F"/>
    <w:rsid w:val="515F7A9B"/>
    <w:rsid w:val="51831AA5"/>
    <w:rsid w:val="51DD69E7"/>
    <w:rsid w:val="51E10625"/>
    <w:rsid w:val="52701153"/>
    <w:rsid w:val="52B927DB"/>
    <w:rsid w:val="52FB69A9"/>
    <w:rsid w:val="532C0AF6"/>
    <w:rsid w:val="53350F96"/>
    <w:rsid w:val="53FE63C2"/>
    <w:rsid w:val="54061AC8"/>
    <w:rsid w:val="542073F1"/>
    <w:rsid w:val="54641104"/>
    <w:rsid w:val="5489024C"/>
    <w:rsid w:val="54AA2436"/>
    <w:rsid w:val="55401A87"/>
    <w:rsid w:val="554151E1"/>
    <w:rsid w:val="56956E1A"/>
    <w:rsid w:val="56CB7AF7"/>
    <w:rsid w:val="57583948"/>
    <w:rsid w:val="57732A5B"/>
    <w:rsid w:val="57C85006"/>
    <w:rsid w:val="580C606A"/>
    <w:rsid w:val="58445F1C"/>
    <w:rsid w:val="588A274D"/>
    <w:rsid w:val="58B82260"/>
    <w:rsid w:val="58C048B0"/>
    <w:rsid w:val="58C84AD6"/>
    <w:rsid w:val="58F94086"/>
    <w:rsid w:val="59265895"/>
    <w:rsid w:val="59D42B43"/>
    <w:rsid w:val="5A0F521D"/>
    <w:rsid w:val="5A600155"/>
    <w:rsid w:val="5A622E4A"/>
    <w:rsid w:val="5AF2331F"/>
    <w:rsid w:val="5B171448"/>
    <w:rsid w:val="5B442C55"/>
    <w:rsid w:val="5B823679"/>
    <w:rsid w:val="5C653D22"/>
    <w:rsid w:val="5C7D6E3E"/>
    <w:rsid w:val="5CA021EB"/>
    <w:rsid w:val="5CBB6CB0"/>
    <w:rsid w:val="5CEB03AD"/>
    <w:rsid w:val="5D831C11"/>
    <w:rsid w:val="5D9823F6"/>
    <w:rsid w:val="5DA5519C"/>
    <w:rsid w:val="5E7D465B"/>
    <w:rsid w:val="5EC8475B"/>
    <w:rsid w:val="5F934DE4"/>
    <w:rsid w:val="5FAF380A"/>
    <w:rsid w:val="5FCB1460"/>
    <w:rsid w:val="60290DA9"/>
    <w:rsid w:val="603156DA"/>
    <w:rsid w:val="603829A7"/>
    <w:rsid w:val="603E1878"/>
    <w:rsid w:val="60C339D2"/>
    <w:rsid w:val="61064849"/>
    <w:rsid w:val="612855F5"/>
    <w:rsid w:val="61417A18"/>
    <w:rsid w:val="61524607"/>
    <w:rsid w:val="61881063"/>
    <w:rsid w:val="61D34988"/>
    <w:rsid w:val="621D4B33"/>
    <w:rsid w:val="62B668AA"/>
    <w:rsid w:val="631D0F28"/>
    <w:rsid w:val="634736FF"/>
    <w:rsid w:val="63490AF3"/>
    <w:rsid w:val="63652B04"/>
    <w:rsid w:val="63C930EC"/>
    <w:rsid w:val="63D24EC3"/>
    <w:rsid w:val="641D7E11"/>
    <w:rsid w:val="641D7EC5"/>
    <w:rsid w:val="64DD6DA0"/>
    <w:rsid w:val="65534302"/>
    <w:rsid w:val="664804B3"/>
    <w:rsid w:val="66672626"/>
    <w:rsid w:val="668F36EE"/>
    <w:rsid w:val="66BD2E97"/>
    <w:rsid w:val="66EC3056"/>
    <w:rsid w:val="670642C3"/>
    <w:rsid w:val="67996803"/>
    <w:rsid w:val="67AF5D99"/>
    <w:rsid w:val="67B5481C"/>
    <w:rsid w:val="684B3A20"/>
    <w:rsid w:val="685B09C9"/>
    <w:rsid w:val="68BE3F5B"/>
    <w:rsid w:val="695F222A"/>
    <w:rsid w:val="69EF6B42"/>
    <w:rsid w:val="6A6A477C"/>
    <w:rsid w:val="6A7D3501"/>
    <w:rsid w:val="6B247907"/>
    <w:rsid w:val="6B7134A6"/>
    <w:rsid w:val="6B740E40"/>
    <w:rsid w:val="6B874830"/>
    <w:rsid w:val="6C3D5789"/>
    <w:rsid w:val="6C554A70"/>
    <w:rsid w:val="6C856F1B"/>
    <w:rsid w:val="6CB90C27"/>
    <w:rsid w:val="6D151EFF"/>
    <w:rsid w:val="6D507C88"/>
    <w:rsid w:val="6DD72E46"/>
    <w:rsid w:val="6E2F6DAF"/>
    <w:rsid w:val="6E380CC4"/>
    <w:rsid w:val="6EB2543D"/>
    <w:rsid w:val="6F1362F9"/>
    <w:rsid w:val="6F420724"/>
    <w:rsid w:val="6F452DE7"/>
    <w:rsid w:val="6F4965D9"/>
    <w:rsid w:val="6F866004"/>
    <w:rsid w:val="6FEA1AE5"/>
    <w:rsid w:val="7060428D"/>
    <w:rsid w:val="711C51A1"/>
    <w:rsid w:val="71336A50"/>
    <w:rsid w:val="717768CB"/>
    <w:rsid w:val="71855775"/>
    <w:rsid w:val="71CB2CDA"/>
    <w:rsid w:val="71DF164C"/>
    <w:rsid w:val="72C55E09"/>
    <w:rsid w:val="72C659F1"/>
    <w:rsid w:val="72E55812"/>
    <w:rsid w:val="731D18E2"/>
    <w:rsid w:val="732553CB"/>
    <w:rsid w:val="738F15D3"/>
    <w:rsid w:val="739554E3"/>
    <w:rsid w:val="73B80B5F"/>
    <w:rsid w:val="73CA0A01"/>
    <w:rsid w:val="73F11558"/>
    <w:rsid w:val="74360209"/>
    <w:rsid w:val="74693BA8"/>
    <w:rsid w:val="758F7BEE"/>
    <w:rsid w:val="75E932A5"/>
    <w:rsid w:val="765B603D"/>
    <w:rsid w:val="767223DF"/>
    <w:rsid w:val="76942F82"/>
    <w:rsid w:val="76A54261"/>
    <w:rsid w:val="76B72ED4"/>
    <w:rsid w:val="777C1998"/>
    <w:rsid w:val="779B29EA"/>
    <w:rsid w:val="77AF39EB"/>
    <w:rsid w:val="77CF7216"/>
    <w:rsid w:val="78AE5FC4"/>
    <w:rsid w:val="78D77A7F"/>
    <w:rsid w:val="78FF40FE"/>
    <w:rsid w:val="79063A1D"/>
    <w:rsid w:val="790A0EF6"/>
    <w:rsid w:val="791813B9"/>
    <w:rsid w:val="79B33D4B"/>
    <w:rsid w:val="7A755EEC"/>
    <w:rsid w:val="7A7B558A"/>
    <w:rsid w:val="7AA77918"/>
    <w:rsid w:val="7AEA6C51"/>
    <w:rsid w:val="7B1A6D86"/>
    <w:rsid w:val="7B1E19A0"/>
    <w:rsid w:val="7B23295D"/>
    <w:rsid w:val="7B373BAA"/>
    <w:rsid w:val="7B862E78"/>
    <w:rsid w:val="7B997C76"/>
    <w:rsid w:val="7BD44DAB"/>
    <w:rsid w:val="7C6871E0"/>
    <w:rsid w:val="7D181C1D"/>
    <w:rsid w:val="7D7431CC"/>
    <w:rsid w:val="7D7E2D12"/>
    <w:rsid w:val="7E39488D"/>
    <w:rsid w:val="7E61112E"/>
    <w:rsid w:val="7F133519"/>
    <w:rsid w:val="7F2E4837"/>
    <w:rsid w:val="7F8A7CC8"/>
    <w:rsid w:val="7FC40A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列出段落1"/>
    <w:basedOn w:val="1"/>
    <w:qFormat/>
    <w:uiPriority w:val="99"/>
    <w:pPr>
      <w:ind w:firstLine="420" w:firstLineChars="200"/>
    </w:pPr>
  </w:style>
  <w:style w:type="paragraph" w:customStyle="1" w:styleId="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oter8.xml" Type="http://schemas.openxmlformats.org/officeDocument/2006/relationships/footer"/><Relationship Id="rId11" Target="footer9.xml" Type="http://schemas.openxmlformats.org/officeDocument/2006/relationships/footer"/><Relationship Id="rId12" Target="footer10.xml" Type="http://schemas.openxmlformats.org/officeDocument/2006/relationships/footer"/><Relationship Id="rId13" Target="theme/theme1.xml" Type="http://schemas.openxmlformats.org/officeDocument/2006/relationships/theme"/><Relationship Id="rId14" Target="../customXml/item1.xml" Type="http://schemas.openxmlformats.org/officeDocument/2006/relationships/customXml"/><Relationship Id="rId15" Target="numbering.xml" Type="http://schemas.openxmlformats.org/officeDocument/2006/relationships/numbering"/><Relationship Id="rId16"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footer3.xml" Type="http://schemas.openxmlformats.org/officeDocument/2006/relationships/footer"/><Relationship Id="rId6" Target="footer4.xml" Type="http://schemas.openxmlformats.org/officeDocument/2006/relationships/footer"/><Relationship Id="rId7" Target="footer5.xml" Type="http://schemas.openxmlformats.org/officeDocument/2006/relationships/footer"/><Relationship Id="rId8" Target="footer6.xml" Type="http://schemas.openxmlformats.org/officeDocument/2006/relationships/footer"/><Relationship Id="rId9" Target="footer7.xml" Type="http://schemas.openxmlformats.org/officeDocument/2006/relationships/footer"/></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49</Pages>
  <Words>2460</Words>
  <Characters>3759</Characters>
  <Lines>1</Lines>
  <Paragraphs>1</Paragraphs>
  <TotalTime>1</TotalTime>
  <ScaleCrop>false</ScaleCrop>
  <LinksUpToDate>false</LinksUpToDate>
  <CharactersWithSpaces>3788</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2021-05-21T07:31:00Z</dcterms:created>
  <dc:creator>不见长安</dc:creator>
  <cp:lastModifiedBy>你渴望力量吗？</cp:lastModifiedBy>
  <dcterms:modified xsi:type="dcterms:W3CDTF">2025-02-10T06:53:22Z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679E12C78CEC4651ABBFCD12934FF0CB</vt:lpwstr>
  </property>
  <property fmtid="{D5CDD505-2E9C-101B-9397-08002B2CF9AE}" pid="4" name="KSOTemplateDocerSaveRecord">
    <vt:lpwstr>eyJoZGlkIjoiZDE4NWUwZWQ0ZWY4NGY5MjZkYzU3ZGI3ODMyNmNiNmIiLCJ1c2VySWQiOiI1MTM2NDE5MjQifQ==</vt:lpwstr>
  </property>
</Properties>
</file>