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F3910C">
      <w:pPr>
        <w:jc w:val="center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宁晋县换马店镇人民政府20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21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预算信息公开</w:t>
      </w:r>
    </w:p>
    <w:p w14:paraId="5E93C528"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按照《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中华人民共和国</w:t>
      </w:r>
      <w:r>
        <w:rPr>
          <w:rFonts w:hint="eastAsia" w:ascii="仿宋" w:hAnsi="仿宋" w:eastAsia="仿宋" w:cs="仿宋"/>
          <w:sz w:val="30"/>
          <w:szCs w:val="30"/>
        </w:rPr>
        <w:t>预算法》、《地方预决算公开操作规程》和《河北省省级预算公开办法》规定，现将20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21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预算公开如下：</w:t>
      </w:r>
    </w:p>
    <w:p w14:paraId="3664D41B">
      <w:p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一、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职责及机构设置情况</w:t>
      </w:r>
      <w:bookmarkStart w:id="3" w:name="_GoBack"/>
      <w:bookmarkEnd w:id="3"/>
    </w:p>
    <w:p w14:paraId="09D2AFF2">
      <w:pPr>
        <w:spacing w:line="560" w:lineRule="exact"/>
        <w:ind w:firstLine="602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 xml:space="preserve">    </w:t>
      </w: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b/>
          <w:sz w:val="30"/>
          <w:szCs w:val="30"/>
        </w:rPr>
        <w:t>职责：</w:t>
      </w:r>
      <w:r>
        <w:rPr>
          <w:rFonts w:hint="eastAsia" w:ascii="仿宋" w:hAnsi="仿宋" w:eastAsia="仿宋" w:cs="仿宋"/>
          <w:sz w:val="30"/>
          <w:szCs w:val="30"/>
        </w:rPr>
        <w:t>镇党委的主要职责：贯彻落实党的路线、方针、政策和上级党组织的指示、决定，执行镇党党代会决议；抓好自身建设和所属党组织的指示、决定，执行镇党代会决议；找好自身建设和所属党组织的思想、组织和作风建设；领导镇经济建设，制定经济和社会发展规划并组织实施；领导本镇政权机关和群众组织，支持和保证他们依照国家法律、法规及各自章程充分行使职权；领导本镇的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社会主义民主法治建设</w:t>
      </w:r>
      <w:r>
        <w:rPr>
          <w:rFonts w:hint="eastAsia" w:ascii="仿宋" w:hAnsi="仿宋" w:eastAsia="仿宋" w:cs="仿宋"/>
          <w:sz w:val="30"/>
          <w:szCs w:val="30"/>
        </w:rPr>
        <w:t>和精神文明建设，做好社会治安综合治理及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卫生计生</w:t>
      </w:r>
      <w:r>
        <w:rPr>
          <w:rFonts w:hint="eastAsia" w:ascii="仿宋" w:hAnsi="仿宋" w:eastAsia="仿宋" w:cs="仿宋"/>
          <w:sz w:val="30"/>
          <w:szCs w:val="30"/>
        </w:rPr>
        <w:t>工作；负责上级有关部门派驻镇单位的党组织建设，监督、支持和协调上级有关部门派驻镇单位的工作；按照干部管理权限，负责对干部教育、培养、选拔、考核和监督工作；领导农村基层党组织建设和农村基层工作；完成上级党组织交办的其他任务。</w:t>
      </w:r>
    </w:p>
    <w:p w14:paraId="4CC62DEF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镇政府的主要职责：贯彻落实党的路线、方针和政策；执行本级人民代表大会的决议和上级国家行政机关的决定和命令，发布决定和命令；执行本行政区域内的经济和社会发展计划，组织和领导经济建设，发展农村经济；制定和组织实施乡村建设规划，加强公共设施的建设和管理，发展各项服务事业；加强水利建设、土地使用管理和环境综合整治，合理开发、利用自然资源，保护耕地，改善生态环境和生活环境；开展政务公开建设和社会主义民主与法制教育，加强社会治安综合治理，调节民事纠纷，维护社会秩序；推行计划生育，控制人口增长，保护妇女、儿童和老年人的合法权益；管理民政行政工作，发展社会福利事业，做好就业和社会保障工作，办理兵役事项；管理镇财政，执行本级预算；管理和发展教育、科学技术、文化、卫生等事业，提高公民素质；加强食品安全、安全生产管理；管理和发展本行政区域内的公共事业；保护国家、集体和公民应有的人身权利、民主权利和其他权利；指导加强村委会建设，充分发挥村委会作用，提高其服务工作水平；办理上级政府交办的其他事项。</w:t>
      </w:r>
    </w:p>
    <w:p w14:paraId="4DF86727">
      <w:pPr>
        <w:autoSpaceDE w:val="0"/>
        <w:autoSpaceDN w:val="0"/>
        <w:adjustRightInd w:val="0"/>
        <w:ind w:firstLine="602" w:firstLineChars="200"/>
        <w:jc w:val="left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机构设置：</w:t>
      </w:r>
    </w:p>
    <w:p w14:paraId="2FA82CDB">
      <w:pPr>
        <w:jc w:val="center"/>
        <w:outlineLvl w:val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机构设置情况</w:t>
      </w:r>
    </w:p>
    <w:tbl>
      <w:tblPr>
        <w:tblStyle w:val="6"/>
        <w:tblW w:w="972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7"/>
        <w:gridCol w:w="1134"/>
        <w:gridCol w:w="1276"/>
        <w:gridCol w:w="2902"/>
      </w:tblGrid>
      <w:tr w14:paraId="44A022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17" w:type="dxa"/>
            <w:vMerge w:val="restart"/>
            <w:vAlign w:val="center"/>
          </w:tcPr>
          <w:p w14:paraId="1BB5BD70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 w14:paraId="1D05C93D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单位性质</w:t>
            </w:r>
          </w:p>
        </w:tc>
        <w:tc>
          <w:tcPr>
            <w:tcW w:w="1276" w:type="dxa"/>
            <w:vMerge w:val="restart"/>
            <w:vAlign w:val="center"/>
          </w:tcPr>
          <w:p w14:paraId="38B453DC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单位规格</w:t>
            </w:r>
          </w:p>
        </w:tc>
        <w:tc>
          <w:tcPr>
            <w:tcW w:w="2902" w:type="dxa"/>
            <w:vMerge w:val="restart"/>
            <w:vAlign w:val="center"/>
          </w:tcPr>
          <w:p w14:paraId="485E2B40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经费保障形式</w:t>
            </w:r>
          </w:p>
        </w:tc>
      </w:tr>
      <w:tr w14:paraId="5CC1A2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17" w:type="dxa"/>
            <w:vMerge w:val="continue"/>
            <w:vAlign w:val="center"/>
          </w:tcPr>
          <w:p w14:paraId="15FB531F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71A70827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276" w:type="dxa"/>
            <w:vMerge w:val="continue"/>
            <w:vAlign w:val="center"/>
          </w:tcPr>
          <w:p w14:paraId="063E8E1F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Merge w:val="continue"/>
            <w:vAlign w:val="center"/>
          </w:tcPr>
          <w:p w14:paraId="462EA7F7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</w:tr>
      <w:tr w14:paraId="5A4F194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 w14:paraId="4BF0CBF3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党政办公室</w:t>
            </w:r>
          </w:p>
        </w:tc>
        <w:tc>
          <w:tcPr>
            <w:tcW w:w="1134" w:type="dxa"/>
            <w:vAlign w:val="center"/>
          </w:tcPr>
          <w:p w14:paraId="0357B3EF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行政</w:t>
            </w:r>
          </w:p>
        </w:tc>
        <w:tc>
          <w:tcPr>
            <w:tcW w:w="1276" w:type="dxa"/>
            <w:vAlign w:val="center"/>
          </w:tcPr>
          <w:p w14:paraId="001CCFDF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Align w:val="center"/>
          </w:tcPr>
          <w:p w14:paraId="03B06DCF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财政拨款</w:t>
            </w:r>
          </w:p>
        </w:tc>
      </w:tr>
      <w:tr w14:paraId="7C1C69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 w14:paraId="11548D1B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社会事务办公室</w:t>
            </w:r>
          </w:p>
        </w:tc>
        <w:tc>
          <w:tcPr>
            <w:tcW w:w="1134" w:type="dxa"/>
            <w:vAlign w:val="center"/>
          </w:tcPr>
          <w:p w14:paraId="553FDB34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行政</w:t>
            </w:r>
          </w:p>
        </w:tc>
        <w:tc>
          <w:tcPr>
            <w:tcW w:w="1276" w:type="dxa"/>
            <w:vAlign w:val="center"/>
          </w:tcPr>
          <w:p w14:paraId="66522A01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Align w:val="center"/>
          </w:tcPr>
          <w:p w14:paraId="4107BA64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财政拨款</w:t>
            </w:r>
          </w:p>
        </w:tc>
      </w:tr>
      <w:tr w14:paraId="292103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 w14:paraId="790A5B12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经济发展办公室</w:t>
            </w:r>
          </w:p>
          <w:p w14:paraId="0045C0E7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134" w:type="dxa"/>
            <w:vAlign w:val="center"/>
          </w:tcPr>
          <w:p w14:paraId="74AB6381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行政</w:t>
            </w:r>
          </w:p>
        </w:tc>
        <w:tc>
          <w:tcPr>
            <w:tcW w:w="1276" w:type="dxa"/>
            <w:vAlign w:val="center"/>
          </w:tcPr>
          <w:p w14:paraId="008FD455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Align w:val="center"/>
          </w:tcPr>
          <w:p w14:paraId="474EC05B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财政拨款</w:t>
            </w:r>
          </w:p>
        </w:tc>
      </w:tr>
      <w:tr w14:paraId="7DAF38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 w14:paraId="5D8F748A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综合治理办公室</w:t>
            </w:r>
          </w:p>
        </w:tc>
        <w:tc>
          <w:tcPr>
            <w:tcW w:w="1134" w:type="dxa"/>
            <w:vAlign w:val="center"/>
          </w:tcPr>
          <w:p w14:paraId="1DF22CBE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行政</w:t>
            </w:r>
          </w:p>
        </w:tc>
        <w:tc>
          <w:tcPr>
            <w:tcW w:w="1276" w:type="dxa"/>
            <w:vAlign w:val="center"/>
          </w:tcPr>
          <w:p w14:paraId="0DDB363B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Align w:val="center"/>
          </w:tcPr>
          <w:p w14:paraId="3DD8C3BD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财政拨款</w:t>
            </w:r>
          </w:p>
        </w:tc>
      </w:tr>
      <w:tr w14:paraId="50165F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 w14:paraId="7D5E3AE3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eastAsia="zh-CN"/>
              </w:rPr>
              <w:t>卫生计生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办公室</w:t>
            </w:r>
          </w:p>
        </w:tc>
        <w:tc>
          <w:tcPr>
            <w:tcW w:w="1134" w:type="dxa"/>
            <w:vAlign w:val="center"/>
          </w:tcPr>
          <w:p w14:paraId="16E041F1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行政事业</w:t>
            </w:r>
          </w:p>
        </w:tc>
        <w:tc>
          <w:tcPr>
            <w:tcW w:w="1276" w:type="dxa"/>
            <w:vAlign w:val="center"/>
          </w:tcPr>
          <w:p w14:paraId="588D9439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Align w:val="center"/>
          </w:tcPr>
          <w:p w14:paraId="643C3BDE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财政拨款</w:t>
            </w:r>
          </w:p>
        </w:tc>
      </w:tr>
      <w:tr w14:paraId="4BC91D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 w14:paraId="0A028AC8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村镇规划建设办公室</w:t>
            </w:r>
          </w:p>
        </w:tc>
        <w:tc>
          <w:tcPr>
            <w:tcW w:w="1134" w:type="dxa"/>
            <w:vAlign w:val="center"/>
          </w:tcPr>
          <w:p w14:paraId="545FC2DC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行政</w:t>
            </w:r>
          </w:p>
        </w:tc>
        <w:tc>
          <w:tcPr>
            <w:tcW w:w="1276" w:type="dxa"/>
            <w:vAlign w:val="center"/>
          </w:tcPr>
          <w:p w14:paraId="65142FE1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902" w:type="dxa"/>
            <w:vAlign w:val="center"/>
          </w:tcPr>
          <w:p w14:paraId="498C0F0F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财政拨款</w:t>
            </w:r>
          </w:p>
        </w:tc>
      </w:tr>
    </w:tbl>
    <w:p w14:paraId="20EB8962">
      <w:pPr>
        <w:jc w:val="center"/>
        <w:rPr>
          <w:rFonts w:hint="eastAsia" w:ascii="仿宋" w:hAnsi="仿宋" w:eastAsia="仿宋" w:cs="仿宋"/>
          <w:sz w:val="30"/>
          <w:szCs w:val="30"/>
        </w:rPr>
      </w:pPr>
    </w:p>
    <w:p w14:paraId="527C878F">
      <w:p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二、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预算安排的总体情况</w:t>
      </w:r>
    </w:p>
    <w:p w14:paraId="0C69D680">
      <w:p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按照预算管理有关规定，目前我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预算的编制实行综合预算制度，即全部收入和支出都反映的预算中。</w:t>
      </w:r>
    </w:p>
    <w:p w14:paraId="28CFA6AA"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1、收入说明 </w:t>
      </w:r>
    </w:p>
    <w:p w14:paraId="1D48CF1F"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反应本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当年全部收入，20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21</w:t>
      </w:r>
      <w:r>
        <w:rPr>
          <w:rFonts w:hint="eastAsia" w:ascii="仿宋" w:hAnsi="仿宋" w:eastAsia="仿宋" w:cs="仿宋"/>
          <w:sz w:val="30"/>
          <w:szCs w:val="30"/>
        </w:rPr>
        <w:t>年预算收入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1532</w:t>
      </w:r>
      <w:r>
        <w:rPr>
          <w:rFonts w:hint="eastAsia" w:ascii="仿宋" w:hAnsi="仿宋" w:eastAsia="仿宋" w:cs="仿宋"/>
          <w:sz w:val="30"/>
          <w:szCs w:val="30"/>
        </w:rPr>
        <w:t>万元，</w:t>
      </w:r>
    </w:p>
    <w:p w14:paraId="0653DCC3">
      <w:pPr>
        <w:numPr>
          <w:ilvl w:val="0"/>
          <w:numId w:val="1"/>
        </w:num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支出说明</w:t>
      </w:r>
    </w:p>
    <w:p w14:paraId="61B07655">
      <w:pPr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 收支预算总表支出栏、基本支出表、项目支出表按经济分类和支出功能分类科目编制，反映河北省人民代表大会常务委员会办公厅年度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预算中支出预算的总体情况。20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21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支出预算为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1532</w:t>
      </w:r>
      <w:r>
        <w:rPr>
          <w:rFonts w:hint="eastAsia" w:ascii="仿宋" w:hAnsi="仿宋" w:eastAsia="仿宋" w:cs="仿宋"/>
          <w:sz w:val="30"/>
          <w:szCs w:val="30"/>
        </w:rPr>
        <w:t>万元，其中基本支出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723.39</w:t>
      </w:r>
      <w:r>
        <w:rPr>
          <w:rFonts w:hint="eastAsia" w:ascii="仿宋" w:hAnsi="仿宋" w:eastAsia="仿宋" w:cs="仿宋"/>
          <w:sz w:val="30"/>
          <w:szCs w:val="30"/>
        </w:rPr>
        <w:t>元，包括人员经费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655.89</w:t>
      </w:r>
      <w:r>
        <w:rPr>
          <w:rFonts w:hint="eastAsia" w:ascii="仿宋" w:hAnsi="仿宋" w:eastAsia="仿宋" w:cs="仿宋"/>
          <w:sz w:val="30"/>
          <w:szCs w:val="30"/>
        </w:rPr>
        <w:t>万元和日常公用经费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67.5</w:t>
      </w:r>
      <w:r>
        <w:rPr>
          <w:rFonts w:hint="eastAsia" w:ascii="仿宋" w:hAnsi="仿宋" w:eastAsia="仿宋" w:cs="仿宋"/>
          <w:sz w:val="30"/>
          <w:szCs w:val="30"/>
        </w:rPr>
        <w:t>万元；项目支出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808.61</w:t>
      </w:r>
      <w:r>
        <w:rPr>
          <w:rFonts w:hint="eastAsia" w:ascii="仿宋" w:hAnsi="仿宋" w:eastAsia="仿宋" w:cs="仿宋"/>
          <w:sz w:val="30"/>
          <w:szCs w:val="30"/>
        </w:rPr>
        <w:t>万元，全部为本级支出。</w:t>
      </w:r>
    </w:p>
    <w:p w14:paraId="72B66F47">
      <w:pPr>
        <w:numPr>
          <w:ilvl w:val="0"/>
          <w:numId w:val="1"/>
        </w:num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比上年增减情况</w:t>
      </w:r>
    </w:p>
    <w:p w14:paraId="354D368D">
      <w:pPr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21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预算较20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20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减少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120</w:t>
      </w:r>
      <w:r>
        <w:rPr>
          <w:rFonts w:hint="eastAsia" w:ascii="仿宋" w:hAnsi="仿宋" w:eastAsia="仿宋" w:cs="仿宋"/>
          <w:sz w:val="30"/>
          <w:szCs w:val="30"/>
        </w:rPr>
        <w:t>万元，其中：基本支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出增加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9.79</w:t>
      </w:r>
      <w:r>
        <w:rPr>
          <w:rFonts w:hint="eastAsia" w:ascii="仿宋" w:hAnsi="仿宋" w:eastAsia="仿宋" w:cs="仿宋"/>
          <w:sz w:val="30"/>
          <w:szCs w:val="30"/>
        </w:rPr>
        <w:t>万元，主要是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增加在职人员乡镇补贴支出</w:t>
      </w:r>
      <w:r>
        <w:rPr>
          <w:rFonts w:hint="eastAsia" w:ascii="仿宋" w:hAnsi="仿宋" w:eastAsia="仿宋" w:cs="仿宋"/>
          <w:sz w:val="30"/>
          <w:szCs w:val="30"/>
        </w:rPr>
        <w:t>；项目支出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减少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130.27</w:t>
      </w:r>
      <w:r>
        <w:rPr>
          <w:rFonts w:hint="eastAsia" w:ascii="仿宋" w:hAnsi="仿宋" w:eastAsia="仿宋" w:cs="仿宋"/>
          <w:sz w:val="30"/>
          <w:szCs w:val="30"/>
        </w:rPr>
        <w:t>万元，主要是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减少农林水项目</w:t>
      </w:r>
      <w:r>
        <w:rPr>
          <w:rFonts w:hint="eastAsia" w:ascii="仿宋" w:hAnsi="仿宋" w:eastAsia="仿宋" w:cs="仿宋"/>
          <w:sz w:val="30"/>
          <w:szCs w:val="30"/>
        </w:rPr>
        <w:t>支出。</w:t>
      </w:r>
    </w:p>
    <w:p w14:paraId="0C0AD5C4"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三、机关运行经费安排情况</w:t>
      </w:r>
    </w:p>
    <w:p w14:paraId="22C3548C">
      <w:pPr>
        <w:autoSpaceDE w:val="0"/>
        <w:autoSpaceDN w:val="0"/>
        <w:adjustRightInd w:val="0"/>
        <w:ind w:left="198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机关运行经费共计安排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67.5</w:t>
      </w:r>
      <w:r>
        <w:rPr>
          <w:rFonts w:hint="eastAsia" w:ascii="仿宋" w:hAnsi="仿宋" w:eastAsia="仿宋" w:cs="仿宋"/>
          <w:sz w:val="30"/>
          <w:szCs w:val="30"/>
        </w:rPr>
        <w:t>万元，主要用于保证机关正常运转的办公及印刷费、邮电费、差旅费、会议费、福利费、专用材料及一般设备购置费、办公用房水电费、办公用房取暖费、日常维修费、办公楼物业管理费、公务车运行维护费等支出。</w:t>
      </w:r>
    </w:p>
    <w:p w14:paraId="32CDA6BF">
      <w:pPr>
        <w:autoSpaceDE w:val="0"/>
        <w:autoSpaceDN w:val="0"/>
        <w:adjustRightInd w:val="0"/>
        <w:ind w:left="198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四、财政拨款“三公”经费预算情况及增减变化原因</w:t>
      </w:r>
    </w:p>
    <w:p w14:paraId="152813F9">
      <w:pPr>
        <w:autoSpaceDE w:val="0"/>
        <w:autoSpaceDN w:val="0"/>
        <w:adjustRightInd w:val="0"/>
        <w:ind w:left="198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21</w:t>
      </w:r>
      <w:r>
        <w:rPr>
          <w:rFonts w:hint="eastAsia" w:ascii="仿宋" w:hAnsi="仿宋" w:eastAsia="仿宋" w:cs="仿宋"/>
          <w:sz w:val="30"/>
          <w:szCs w:val="30"/>
        </w:rPr>
        <w:t>年，财政拨款“三公”经费预算安排10.8万元，其中：因公出国（境）费0万元；公务用车购置及运维费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4.5</w:t>
      </w:r>
      <w:r>
        <w:rPr>
          <w:rFonts w:hint="eastAsia" w:ascii="仿宋" w:hAnsi="仿宋" w:eastAsia="仿宋" w:cs="仿宋"/>
          <w:sz w:val="30"/>
          <w:szCs w:val="30"/>
        </w:rPr>
        <w:t>万元（其中：公务用车购置费0万元，公务用车运行费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4.5</w:t>
      </w:r>
      <w:r>
        <w:rPr>
          <w:rFonts w:hint="eastAsia" w:ascii="仿宋" w:hAnsi="仿宋" w:eastAsia="仿宋" w:cs="仿宋"/>
          <w:sz w:val="30"/>
          <w:szCs w:val="30"/>
        </w:rPr>
        <w:t>万元)；公务接待费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0.5</w:t>
      </w:r>
      <w:r>
        <w:rPr>
          <w:rFonts w:hint="eastAsia" w:ascii="仿宋" w:hAnsi="仿宋" w:eastAsia="仿宋" w:cs="仿宋"/>
          <w:sz w:val="30"/>
          <w:szCs w:val="30"/>
        </w:rPr>
        <w:t>万元。</w:t>
      </w:r>
    </w:p>
    <w:p w14:paraId="53C5A7AC">
      <w:pPr>
        <w:autoSpaceDE w:val="0"/>
        <w:autoSpaceDN w:val="0"/>
        <w:adjustRightInd w:val="0"/>
        <w:ind w:left="198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五、绩效预算信息</w:t>
      </w:r>
    </w:p>
    <w:p w14:paraId="1A3D5588">
      <w:pPr>
        <w:ind w:firstLine="602" w:firstLineChars="200"/>
        <w:jc w:val="left"/>
        <w:rPr>
          <w:rFonts w:hint="eastAsia" w:ascii="仿宋" w:hAnsi="仿宋" w:eastAsia="仿宋" w:cs="仿宋"/>
          <w:b/>
          <w:sz w:val="30"/>
          <w:szCs w:val="30"/>
        </w:rPr>
      </w:pPr>
      <w:bookmarkStart w:id="0" w:name="_Toc471398463"/>
      <w:r>
        <w:rPr>
          <w:rFonts w:hint="eastAsia" w:ascii="仿宋" w:hAnsi="仿宋" w:eastAsia="仿宋" w:cs="仿宋"/>
          <w:b/>
          <w:sz w:val="30"/>
          <w:szCs w:val="30"/>
        </w:rPr>
        <w:t>总体绩效目标：</w:t>
      </w:r>
    </w:p>
    <w:p w14:paraId="12A759FD">
      <w:pPr>
        <w:ind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全面贯彻党的十九大，全面建成小康社会决胜阶段，夺取新时代中国特色社会主义伟大胜利。认真落实《预算法》等相关法规，紧紧围绕省市和县委、县政府决策部署，唱响“堂堂正正做人、扎扎实实干事”主旋律，继续实施积极的财政政策并加力增效，坚持协同发展、转型升级、又好又快的工作主基调，继续落实积极财政政策，充分发挥财政资源配置与调控职能，坚持依法理财、规范理财，积极推进财税改革，优化支出结构，创新投入方式，强化绩效导向，精准有效发力，着力促进稳增长、调结构、惠民生、促改革、防风险各项政策落实，为建设经济强县、美丽宁晋提供有力的财力支撑。</w:t>
      </w:r>
    </w:p>
    <w:p w14:paraId="3955631C">
      <w:pPr>
        <w:jc w:val="left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 xml:space="preserve">    职责分类绩效目标：</w:t>
      </w:r>
    </w:p>
    <w:p w14:paraId="1F8B754D">
      <w:pPr>
        <w:ind w:firstLine="56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宁晋县换马店镇人民政府按职责分类绩效目标情况说明</w:t>
      </w:r>
    </w:p>
    <w:p w14:paraId="618F2A56">
      <w:pPr>
        <w:ind w:firstLine="56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主要包括：依法行使重大决议权和人事任免权；对“一府两院”进行法律监督和工作监督；加强和改进代表工作；加强常委会及机关自身建设；完成县委招商引资、党建、涉法涉诉来信来访、计生、精神文明及县委交办的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其他各项工作</w:t>
      </w:r>
      <w:r>
        <w:rPr>
          <w:rFonts w:hint="eastAsia" w:ascii="仿宋" w:hAnsi="仿宋" w:eastAsia="仿宋" w:cs="仿宋"/>
          <w:sz w:val="30"/>
          <w:szCs w:val="30"/>
        </w:rPr>
        <w:t>；实现职责目标的主要措施：依法组织召开“三会”；适时组织开展调研、视察和执法检查，听取并审议专项工作、询问等。</w:t>
      </w:r>
    </w:p>
    <w:p w14:paraId="56C7B302">
      <w:pPr>
        <w:ind w:firstLine="56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实现本年度规划目标的保障措施</w:t>
      </w:r>
    </w:p>
    <w:p w14:paraId="78E38C74">
      <w:pPr>
        <w:ind w:firstLine="600" w:firstLineChars="200"/>
        <w:jc w:val="left"/>
        <w:outlineLvl w:val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实现年度发展规划主要规划主要依照宪法和监督法、代表法、组织法等法律法规，围绕县委重大决策战略部署和人民代表大会决议决策为依据和保障。其资金配置全部为县财政拨款方式。</w:t>
      </w:r>
    </w:p>
    <w:p w14:paraId="1AAE751E">
      <w:pPr>
        <w:ind w:firstLine="602" w:firstLineChars="200"/>
        <w:jc w:val="left"/>
        <w:outlineLvl w:val="0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b/>
          <w:sz w:val="30"/>
          <w:szCs w:val="30"/>
        </w:rPr>
        <w:t>职责及工作活动绩效目标指标：</w:t>
      </w:r>
    </w:p>
    <w:p w14:paraId="61D7420D">
      <w:pPr>
        <w:jc w:val="center"/>
        <w:outlineLvl w:val="0"/>
        <w:rPr>
          <w:rFonts w:hint="eastAsia" w:ascii="仿宋" w:hAnsi="仿宋" w:eastAsia="仿宋" w:cs="仿宋"/>
          <w:sz w:val="30"/>
          <w:szCs w:val="30"/>
        </w:rPr>
      </w:pPr>
    </w:p>
    <w:bookmarkEnd w:id="0"/>
    <w:p w14:paraId="5D92728C">
      <w:pPr>
        <w:jc w:val="center"/>
        <w:outlineLvl w:val="0"/>
        <w:rPr>
          <w:rFonts w:hint="eastAsia" w:ascii="仿宋" w:hAnsi="仿宋" w:eastAsia="仿宋" w:cs="仿宋"/>
          <w:sz w:val="30"/>
          <w:szCs w:val="30"/>
        </w:rPr>
      </w:pPr>
      <w:bookmarkStart w:id="1" w:name="_Toc471233074"/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职责-工作活动绩效目标</w:t>
      </w:r>
      <w:bookmarkEnd w:id="1"/>
    </w:p>
    <w:tbl>
      <w:tblPr>
        <w:tblStyle w:val="6"/>
        <w:tblW w:w="1393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5"/>
        <w:gridCol w:w="1536"/>
        <w:gridCol w:w="2459"/>
        <w:gridCol w:w="2459"/>
        <w:gridCol w:w="1321"/>
        <w:gridCol w:w="1096"/>
        <w:gridCol w:w="876"/>
        <w:gridCol w:w="1096"/>
        <w:gridCol w:w="1096"/>
      </w:tblGrid>
      <w:tr w14:paraId="202348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9770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1CB5872">
            <w:pPr>
              <w:spacing w:line="300" w:lineRule="exact"/>
              <w:jc w:val="left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964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001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宁晋县换马店镇人民政府</w:t>
            </w:r>
          </w:p>
        </w:tc>
        <w:tc>
          <w:tcPr>
            <w:tcW w:w="4164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915003C">
            <w:pPr>
              <w:spacing w:line="300" w:lineRule="exact"/>
              <w:jc w:val="right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单位：万元</w:t>
            </w:r>
          </w:p>
        </w:tc>
      </w:tr>
      <w:tr w14:paraId="20CE1C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995" w:type="dxa"/>
            <w:vMerge w:val="restart"/>
            <w:vAlign w:val="center"/>
          </w:tcPr>
          <w:p w14:paraId="1CE8ACA0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职责活动</w:t>
            </w:r>
          </w:p>
        </w:tc>
        <w:tc>
          <w:tcPr>
            <w:tcW w:w="1536" w:type="dxa"/>
            <w:vMerge w:val="restart"/>
            <w:vAlign w:val="center"/>
          </w:tcPr>
          <w:p w14:paraId="2A017072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年度预算数</w:t>
            </w:r>
          </w:p>
        </w:tc>
        <w:tc>
          <w:tcPr>
            <w:tcW w:w="2459" w:type="dxa"/>
            <w:vMerge w:val="restart"/>
            <w:vAlign w:val="center"/>
          </w:tcPr>
          <w:p w14:paraId="52748A78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内容描述</w:t>
            </w:r>
          </w:p>
        </w:tc>
        <w:tc>
          <w:tcPr>
            <w:tcW w:w="2459" w:type="dxa"/>
            <w:vMerge w:val="restart"/>
            <w:vAlign w:val="center"/>
          </w:tcPr>
          <w:p w14:paraId="56AC0634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绩效目标</w:t>
            </w:r>
          </w:p>
        </w:tc>
        <w:tc>
          <w:tcPr>
            <w:tcW w:w="1321" w:type="dxa"/>
            <w:vMerge w:val="restart"/>
            <w:vAlign w:val="center"/>
          </w:tcPr>
          <w:p w14:paraId="70A6D564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绩效指标</w:t>
            </w:r>
          </w:p>
        </w:tc>
        <w:tc>
          <w:tcPr>
            <w:tcW w:w="4164" w:type="dxa"/>
            <w:gridSpan w:val="4"/>
            <w:vAlign w:val="center"/>
          </w:tcPr>
          <w:p w14:paraId="664A1CD0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评价标准</w:t>
            </w:r>
          </w:p>
        </w:tc>
      </w:tr>
      <w:tr w14:paraId="529C7C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995" w:type="dxa"/>
            <w:vMerge w:val="continue"/>
            <w:vAlign w:val="center"/>
          </w:tcPr>
          <w:p w14:paraId="309BF3A1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536" w:type="dxa"/>
            <w:vMerge w:val="continue"/>
            <w:vAlign w:val="center"/>
          </w:tcPr>
          <w:p w14:paraId="1E8F7985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459" w:type="dxa"/>
            <w:vMerge w:val="continue"/>
            <w:vAlign w:val="center"/>
          </w:tcPr>
          <w:p w14:paraId="250A0685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2459" w:type="dxa"/>
            <w:vMerge w:val="continue"/>
            <w:vAlign w:val="center"/>
          </w:tcPr>
          <w:p w14:paraId="3F99F0DC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321" w:type="dxa"/>
            <w:vMerge w:val="continue"/>
            <w:vAlign w:val="center"/>
          </w:tcPr>
          <w:p w14:paraId="79B64E98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13576889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优</w:t>
            </w:r>
          </w:p>
        </w:tc>
        <w:tc>
          <w:tcPr>
            <w:tcW w:w="876" w:type="dxa"/>
            <w:vAlign w:val="center"/>
          </w:tcPr>
          <w:p w14:paraId="0345E2F3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良</w:t>
            </w:r>
          </w:p>
        </w:tc>
        <w:tc>
          <w:tcPr>
            <w:tcW w:w="1096" w:type="dxa"/>
            <w:vAlign w:val="center"/>
          </w:tcPr>
          <w:p w14:paraId="451E2620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中</w:t>
            </w:r>
          </w:p>
        </w:tc>
        <w:tc>
          <w:tcPr>
            <w:tcW w:w="1096" w:type="dxa"/>
            <w:vAlign w:val="center"/>
          </w:tcPr>
          <w:p w14:paraId="45E50EA8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差</w:t>
            </w:r>
          </w:p>
        </w:tc>
      </w:tr>
      <w:tr w14:paraId="443646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 w14:paraId="1B983EC4"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党政办公室</w:t>
            </w:r>
          </w:p>
        </w:tc>
        <w:tc>
          <w:tcPr>
            <w:tcW w:w="1536" w:type="dxa"/>
            <w:vAlign w:val="center"/>
          </w:tcPr>
          <w:p w14:paraId="76C93B6C">
            <w:pPr>
              <w:spacing w:line="300" w:lineRule="exact"/>
              <w:jc w:val="left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  <w:t>517</w:t>
            </w:r>
          </w:p>
        </w:tc>
        <w:tc>
          <w:tcPr>
            <w:tcW w:w="2459" w:type="dxa"/>
            <w:vAlign w:val="center"/>
          </w:tcPr>
          <w:p w14:paraId="1112896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协助党委、政府处理日常工作，负责政治学习，政务活动宣传工作和精神文明建设，做好组织、干部机构编制、认识、档案管理、政务公开工作；负责农村党组织建设工作；负责农村干部、党员教育、培训管理负责人大主席团日常事务工作</w:t>
            </w:r>
          </w:p>
        </w:tc>
        <w:tc>
          <w:tcPr>
            <w:tcW w:w="2459" w:type="dxa"/>
            <w:vAlign w:val="center"/>
          </w:tcPr>
          <w:p w14:paraId="5C12E71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 w14:paraId="1D696F2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0A35155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876" w:type="dxa"/>
            <w:vAlign w:val="center"/>
          </w:tcPr>
          <w:p w14:paraId="752CE9B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210251D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2A81722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</w:tr>
      <w:tr w14:paraId="323811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 w14:paraId="5448A6A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综合事务管理</w:t>
            </w:r>
          </w:p>
        </w:tc>
        <w:tc>
          <w:tcPr>
            <w:tcW w:w="1536" w:type="dxa"/>
            <w:vAlign w:val="center"/>
          </w:tcPr>
          <w:p w14:paraId="66E56A92"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512.5</w:t>
            </w:r>
          </w:p>
        </w:tc>
        <w:tc>
          <w:tcPr>
            <w:tcW w:w="2459" w:type="dxa"/>
            <w:vAlign w:val="center"/>
          </w:tcPr>
          <w:p w14:paraId="0DAB605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协助党委、政府处理日常工作，负责政治学习，政务活动宣传工作和精神文明建设，做好组织、干部机构编制、认识、档案管理、政务公开工作；负责农村党组织建设工作；负责农村干部、党员教育、培训管理负责人大主席团日常事务工作</w:t>
            </w:r>
          </w:p>
        </w:tc>
        <w:tc>
          <w:tcPr>
            <w:tcW w:w="2459" w:type="dxa"/>
            <w:vAlign w:val="center"/>
          </w:tcPr>
          <w:p w14:paraId="003A5AF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保障机关工作正常高效运转。</w:t>
            </w:r>
          </w:p>
        </w:tc>
        <w:tc>
          <w:tcPr>
            <w:tcW w:w="1321" w:type="dxa"/>
            <w:vAlign w:val="center"/>
          </w:tcPr>
          <w:p w14:paraId="18BB38E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综合事务工作完成率</w:t>
            </w:r>
          </w:p>
        </w:tc>
        <w:tc>
          <w:tcPr>
            <w:tcW w:w="1096" w:type="dxa"/>
            <w:vAlign w:val="center"/>
          </w:tcPr>
          <w:p w14:paraId="3525375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98%</w:t>
            </w:r>
          </w:p>
        </w:tc>
        <w:tc>
          <w:tcPr>
            <w:tcW w:w="876" w:type="dxa"/>
            <w:vAlign w:val="center"/>
          </w:tcPr>
          <w:p w14:paraId="3EB305D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≥95%</w:t>
            </w:r>
          </w:p>
        </w:tc>
        <w:tc>
          <w:tcPr>
            <w:tcW w:w="1096" w:type="dxa"/>
            <w:vAlign w:val="center"/>
          </w:tcPr>
          <w:p w14:paraId="3D859EF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≥90%</w:t>
            </w:r>
          </w:p>
        </w:tc>
        <w:tc>
          <w:tcPr>
            <w:tcW w:w="1096" w:type="dxa"/>
            <w:vAlign w:val="center"/>
          </w:tcPr>
          <w:p w14:paraId="4CCC014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&lt;90%</w:t>
            </w:r>
          </w:p>
        </w:tc>
      </w:tr>
      <w:tr w14:paraId="37A958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 w14:paraId="13A6B74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人大会议</w:t>
            </w:r>
          </w:p>
        </w:tc>
        <w:tc>
          <w:tcPr>
            <w:tcW w:w="1536" w:type="dxa"/>
            <w:vAlign w:val="center"/>
          </w:tcPr>
          <w:p w14:paraId="73F1770B"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4.5</w:t>
            </w:r>
          </w:p>
        </w:tc>
        <w:tc>
          <w:tcPr>
            <w:tcW w:w="2459" w:type="dxa"/>
            <w:vAlign w:val="center"/>
          </w:tcPr>
          <w:p w14:paraId="0C140A8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协助党委、政府处理日常工作，负责政治学习，政务活动宣传工作和精神文明建设，做好组织、干部机构编制、认识、档案管理、政务公开工作；负责农村党组织建设工作；负责农村干部、党员教育、培训管理负责人大主席团日常事务工作</w:t>
            </w:r>
          </w:p>
        </w:tc>
        <w:tc>
          <w:tcPr>
            <w:tcW w:w="2459" w:type="dxa"/>
            <w:vAlign w:val="center"/>
          </w:tcPr>
          <w:p w14:paraId="2E7276D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完善各项会议制度，规范会议程序，提高会议质量，提高人大代表及常委会审议水平。</w:t>
            </w:r>
          </w:p>
        </w:tc>
        <w:tc>
          <w:tcPr>
            <w:tcW w:w="1321" w:type="dxa"/>
            <w:vAlign w:val="center"/>
          </w:tcPr>
          <w:p w14:paraId="05FAD22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会议筹备及会务工作的完成率</w:t>
            </w:r>
          </w:p>
        </w:tc>
        <w:tc>
          <w:tcPr>
            <w:tcW w:w="1096" w:type="dxa"/>
            <w:vAlign w:val="center"/>
          </w:tcPr>
          <w:p w14:paraId="31FB309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≥95%</w:t>
            </w:r>
          </w:p>
        </w:tc>
        <w:tc>
          <w:tcPr>
            <w:tcW w:w="876" w:type="dxa"/>
            <w:vAlign w:val="center"/>
          </w:tcPr>
          <w:p w14:paraId="692CDCE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≥90%</w:t>
            </w:r>
          </w:p>
        </w:tc>
        <w:tc>
          <w:tcPr>
            <w:tcW w:w="1096" w:type="dxa"/>
            <w:vAlign w:val="center"/>
          </w:tcPr>
          <w:p w14:paraId="5C61876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&lt;90%</w:t>
            </w:r>
          </w:p>
        </w:tc>
        <w:tc>
          <w:tcPr>
            <w:tcW w:w="1096" w:type="dxa"/>
            <w:vAlign w:val="center"/>
          </w:tcPr>
          <w:p w14:paraId="1E6B5830"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 w14:paraId="583776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 w14:paraId="192A52C0">
            <w:pPr>
              <w:widowControl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</w:rPr>
              <w:t>社会事务办公室</w:t>
            </w:r>
          </w:p>
        </w:tc>
        <w:tc>
          <w:tcPr>
            <w:tcW w:w="1536" w:type="dxa"/>
            <w:vAlign w:val="center"/>
          </w:tcPr>
          <w:p w14:paraId="1C49340D"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  <w:t>8.6</w:t>
            </w:r>
          </w:p>
        </w:tc>
        <w:tc>
          <w:tcPr>
            <w:tcW w:w="2459" w:type="dxa"/>
            <w:vAlign w:val="center"/>
          </w:tcPr>
          <w:p w14:paraId="526DF58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主管拥军优属、救灾救济、“五保”低保等社会福利事业工作，主管劳动力资源管理，就业服务，社会养老保险，农村合作医疗等社会保障工作，主管婚姻登记，殡葬改革和妇女儿童权益保护，负责民族、宗教、残疾人工作。负责教育、文化、卫生、食品药品、广播电视工作、推进基层政权建设和基层群众性自治组织建设和村民自治活动。</w:t>
            </w:r>
          </w:p>
        </w:tc>
        <w:tc>
          <w:tcPr>
            <w:tcW w:w="2459" w:type="dxa"/>
            <w:vAlign w:val="center"/>
          </w:tcPr>
          <w:p w14:paraId="4D0D45D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  <w:p w14:paraId="0421F3D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 w14:paraId="2BF98B5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7D323BB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76" w:type="dxa"/>
            <w:vAlign w:val="center"/>
          </w:tcPr>
          <w:p w14:paraId="18879B8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0FD97FD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76F8146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 w14:paraId="3440E3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3" w:hRule="atLeast"/>
          <w:jc w:val="center"/>
        </w:trPr>
        <w:tc>
          <w:tcPr>
            <w:tcW w:w="1995" w:type="dxa"/>
            <w:vAlign w:val="center"/>
          </w:tcPr>
          <w:p w14:paraId="2CF0A6D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安全生产监管</w:t>
            </w:r>
          </w:p>
        </w:tc>
        <w:tc>
          <w:tcPr>
            <w:tcW w:w="1536" w:type="dxa"/>
            <w:vAlign w:val="center"/>
          </w:tcPr>
          <w:p w14:paraId="6315A9D6"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8.6</w:t>
            </w:r>
          </w:p>
        </w:tc>
        <w:tc>
          <w:tcPr>
            <w:tcW w:w="2459" w:type="dxa"/>
            <w:vAlign w:val="center"/>
          </w:tcPr>
          <w:p w14:paraId="6258CA8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主管拥军优属、救灾救济、“五保”低保等社会福利事业工作，主管劳动力资源管理，就业服务，社会养老保险，农村合作医疗等社会保障工作，主管婚姻登记，殡葬改革和妇女儿童权益保护，负责民族、宗教、残疾人工作。负责教育、文化、卫生、食品药品、广播电视工作、推进基层政权建设和基层群众性自治</w:t>
            </w:r>
          </w:p>
        </w:tc>
        <w:tc>
          <w:tcPr>
            <w:tcW w:w="2459" w:type="dxa"/>
            <w:vAlign w:val="center"/>
          </w:tcPr>
          <w:p w14:paraId="1AD4D61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确保生产、流通、消费环节和保健食品不出现重大事故</w:t>
            </w:r>
          </w:p>
        </w:tc>
        <w:tc>
          <w:tcPr>
            <w:tcW w:w="1321" w:type="dxa"/>
            <w:vAlign w:val="center"/>
          </w:tcPr>
          <w:p w14:paraId="3B1C5F8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餐饮业、食堂、企业等费安全信息监测覆盖面</w:t>
            </w:r>
          </w:p>
        </w:tc>
        <w:tc>
          <w:tcPr>
            <w:tcW w:w="1096" w:type="dxa"/>
            <w:vAlign w:val="center"/>
          </w:tcPr>
          <w:p w14:paraId="7EA37A8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≥90%</w:t>
            </w:r>
          </w:p>
        </w:tc>
        <w:tc>
          <w:tcPr>
            <w:tcW w:w="876" w:type="dxa"/>
            <w:vAlign w:val="center"/>
          </w:tcPr>
          <w:p w14:paraId="4712A63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≥85%</w:t>
            </w:r>
          </w:p>
        </w:tc>
        <w:tc>
          <w:tcPr>
            <w:tcW w:w="1096" w:type="dxa"/>
            <w:vAlign w:val="center"/>
          </w:tcPr>
          <w:p w14:paraId="3BCF2A2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≥80%</w:t>
            </w:r>
          </w:p>
        </w:tc>
        <w:tc>
          <w:tcPr>
            <w:tcW w:w="1096" w:type="dxa"/>
            <w:vAlign w:val="center"/>
          </w:tcPr>
          <w:p w14:paraId="6494375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＜80%</w:t>
            </w:r>
          </w:p>
        </w:tc>
      </w:tr>
      <w:tr w14:paraId="2936A6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1" w:hRule="atLeast"/>
          <w:jc w:val="center"/>
        </w:trPr>
        <w:tc>
          <w:tcPr>
            <w:tcW w:w="1995" w:type="dxa"/>
            <w:shd w:val="clear" w:color="auto" w:fill="auto"/>
            <w:vAlign w:val="center"/>
          </w:tcPr>
          <w:p w14:paraId="0FBDE0D2">
            <w:pPr>
              <w:widowControl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</w:rPr>
              <w:t>经济发展办公室</w:t>
            </w:r>
          </w:p>
        </w:tc>
        <w:tc>
          <w:tcPr>
            <w:tcW w:w="1536" w:type="dxa"/>
            <w:shd w:val="clear" w:color="auto" w:fill="auto"/>
            <w:vAlign w:val="center"/>
          </w:tcPr>
          <w:p w14:paraId="48914654"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</w:rPr>
              <w:t>8.03</w:t>
            </w:r>
          </w:p>
        </w:tc>
        <w:tc>
          <w:tcPr>
            <w:tcW w:w="2459" w:type="dxa"/>
            <w:shd w:val="clear" w:color="auto" w:fill="auto"/>
            <w:vAlign w:val="center"/>
          </w:tcPr>
          <w:p w14:paraId="19CD167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综合管理财政收支、编制财政计划、制定财政预算草案和审编年度决算；负责农村财政财务管理、审计、监督及农村财会人员的指导培训工作。承担经济发展的协调服务和村集体经济建设等工作；负责对外招商引资工作，引进人才、技术、项目工作；负责组织各项经济统计和相关经济普查工作。</w:t>
            </w:r>
          </w:p>
        </w:tc>
        <w:tc>
          <w:tcPr>
            <w:tcW w:w="2459" w:type="dxa"/>
            <w:shd w:val="clear" w:color="auto" w:fill="auto"/>
            <w:vAlign w:val="center"/>
          </w:tcPr>
          <w:p w14:paraId="398BAB5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21" w:type="dxa"/>
            <w:shd w:val="clear" w:color="auto" w:fill="FFFFFF"/>
            <w:vAlign w:val="center"/>
          </w:tcPr>
          <w:p w14:paraId="4836B3C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shd w:val="clear" w:color="auto" w:fill="FFFFFF"/>
            <w:vAlign w:val="center"/>
          </w:tcPr>
          <w:p w14:paraId="0CB9BF9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76" w:type="dxa"/>
            <w:vAlign w:val="center"/>
          </w:tcPr>
          <w:p w14:paraId="450D5C1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6E8924D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5D4462B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 w14:paraId="45B83A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 w14:paraId="63569C6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农村财务管理</w:t>
            </w:r>
          </w:p>
        </w:tc>
        <w:tc>
          <w:tcPr>
            <w:tcW w:w="1536" w:type="dxa"/>
            <w:vAlign w:val="center"/>
          </w:tcPr>
          <w:p w14:paraId="61746D2E"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7.53</w:t>
            </w:r>
          </w:p>
        </w:tc>
        <w:tc>
          <w:tcPr>
            <w:tcW w:w="2459" w:type="dxa"/>
            <w:vAlign w:val="center"/>
          </w:tcPr>
          <w:p w14:paraId="7870708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综合管理财政收支、编制财政计划、制定财政预算草案和审编年度决算；负责农村财政财务管理、审计、监督及农村财会人员的指导培训工作。承担经济发展的协调服务和村集体经济建设等工作；负责对外招商引资工作，引进人才、技术、项目工作；负责组织各项经济统计和相关经济普查工作。</w:t>
            </w:r>
          </w:p>
        </w:tc>
        <w:tc>
          <w:tcPr>
            <w:tcW w:w="2459" w:type="dxa"/>
            <w:vAlign w:val="center"/>
          </w:tcPr>
          <w:p w14:paraId="4B30C0F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负责农村财务管理工作。通过对农村财务审计监督及农村会计人员的指导培训，维护国家财政经济秩序，促进廉政建设，保障国民经济的健康运行。</w:t>
            </w:r>
          </w:p>
        </w:tc>
        <w:tc>
          <w:tcPr>
            <w:tcW w:w="1321" w:type="dxa"/>
            <w:vAlign w:val="center"/>
          </w:tcPr>
          <w:p w14:paraId="76C7C86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审计、监督落实率和培训覆盖率</w:t>
            </w:r>
          </w:p>
        </w:tc>
        <w:tc>
          <w:tcPr>
            <w:tcW w:w="1096" w:type="dxa"/>
            <w:vAlign w:val="center"/>
          </w:tcPr>
          <w:p w14:paraId="3419D11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≥90%</w:t>
            </w:r>
          </w:p>
        </w:tc>
        <w:tc>
          <w:tcPr>
            <w:tcW w:w="876" w:type="dxa"/>
            <w:vAlign w:val="center"/>
          </w:tcPr>
          <w:p w14:paraId="755F57B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≥80%</w:t>
            </w:r>
          </w:p>
        </w:tc>
        <w:tc>
          <w:tcPr>
            <w:tcW w:w="1096" w:type="dxa"/>
            <w:vAlign w:val="center"/>
          </w:tcPr>
          <w:p w14:paraId="4E3432A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≥70%</w:t>
            </w:r>
          </w:p>
        </w:tc>
        <w:tc>
          <w:tcPr>
            <w:tcW w:w="1096" w:type="dxa"/>
            <w:vAlign w:val="center"/>
          </w:tcPr>
          <w:p w14:paraId="022416C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&lt;70%</w:t>
            </w:r>
          </w:p>
        </w:tc>
      </w:tr>
      <w:tr w14:paraId="69CF97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 w14:paraId="1673169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财政所事务</w:t>
            </w:r>
          </w:p>
        </w:tc>
        <w:tc>
          <w:tcPr>
            <w:tcW w:w="1536" w:type="dxa"/>
            <w:vAlign w:val="center"/>
          </w:tcPr>
          <w:p w14:paraId="50A4A3C0"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0.5</w:t>
            </w:r>
          </w:p>
        </w:tc>
        <w:tc>
          <w:tcPr>
            <w:tcW w:w="2459" w:type="dxa"/>
            <w:vAlign w:val="center"/>
          </w:tcPr>
          <w:p w14:paraId="7B1A92F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综合管理财政收支、编制财政计划、制定财政预算草案和审编年度决算；负责农村财政财务管理、审计、监督及农村财会人员的指导培训工作。承担经济发展的协调服务和村集体经济建设等工作；负责对外招商引资工作，引进人才、技术、项目工作；负责组织各项经济统计和相关经济普查工作。</w:t>
            </w:r>
          </w:p>
        </w:tc>
        <w:tc>
          <w:tcPr>
            <w:tcW w:w="2459" w:type="dxa"/>
            <w:vAlign w:val="center"/>
          </w:tcPr>
          <w:p w14:paraId="3D480A3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落实国家、省财税改革和上级县委县政府重大决策部署,加强税收征管；提高纳税人遵从度，提升地税系统形象。</w:t>
            </w:r>
          </w:p>
        </w:tc>
        <w:tc>
          <w:tcPr>
            <w:tcW w:w="1321" w:type="dxa"/>
            <w:vAlign w:val="center"/>
          </w:tcPr>
          <w:p w14:paraId="6F3911E1"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宣传任务完成率</w:t>
            </w:r>
          </w:p>
        </w:tc>
        <w:tc>
          <w:tcPr>
            <w:tcW w:w="1096" w:type="dxa"/>
            <w:vAlign w:val="center"/>
          </w:tcPr>
          <w:p w14:paraId="1244C3F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100%</w:t>
            </w:r>
          </w:p>
        </w:tc>
        <w:tc>
          <w:tcPr>
            <w:tcW w:w="876" w:type="dxa"/>
            <w:vAlign w:val="center"/>
          </w:tcPr>
          <w:p w14:paraId="3D3B28C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≥95%</w:t>
            </w:r>
          </w:p>
        </w:tc>
        <w:tc>
          <w:tcPr>
            <w:tcW w:w="1096" w:type="dxa"/>
            <w:vAlign w:val="center"/>
          </w:tcPr>
          <w:p w14:paraId="739DB4C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≥90%</w:t>
            </w:r>
          </w:p>
        </w:tc>
        <w:tc>
          <w:tcPr>
            <w:tcW w:w="1096" w:type="dxa"/>
            <w:vAlign w:val="center"/>
          </w:tcPr>
          <w:p w14:paraId="708D7E5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＜90%</w:t>
            </w:r>
          </w:p>
        </w:tc>
      </w:tr>
      <w:tr w14:paraId="247977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FFFFFF"/>
            <w:vAlign w:val="center"/>
          </w:tcPr>
          <w:p w14:paraId="17B4FEF8">
            <w:pPr>
              <w:widowControl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</w:rPr>
              <w:t>综合治理办公室</w:t>
            </w:r>
          </w:p>
        </w:tc>
        <w:tc>
          <w:tcPr>
            <w:tcW w:w="1536" w:type="dxa"/>
            <w:shd w:val="clear" w:color="auto" w:fill="auto"/>
            <w:vAlign w:val="center"/>
          </w:tcPr>
          <w:p w14:paraId="7AEAB6C3"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  <w:t>7.7</w:t>
            </w:r>
          </w:p>
        </w:tc>
        <w:tc>
          <w:tcPr>
            <w:tcW w:w="2459" w:type="dxa"/>
            <w:shd w:val="clear" w:color="auto" w:fill="auto"/>
            <w:vAlign w:val="center"/>
          </w:tcPr>
          <w:p w14:paraId="6B09D1F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组织、支持、协调公安派出所、人民法庭、司法所等政法基层住址开展综合治理工作，充分发挥其职能作用；指导、检查、监督基层党支部、村委会和辖区内的企事业单位开展社会治安综合治理工作；搞好普法教育、民事调解、民间纠纷排查；做好来人信访工作。</w:t>
            </w:r>
          </w:p>
        </w:tc>
        <w:tc>
          <w:tcPr>
            <w:tcW w:w="2459" w:type="dxa"/>
            <w:shd w:val="clear" w:color="auto" w:fill="FFFFFF"/>
            <w:vAlign w:val="center"/>
          </w:tcPr>
          <w:p w14:paraId="0143B7A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21" w:type="dxa"/>
            <w:shd w:val="clear" w:color="auto" w:fill="FFFFFF"/>
            <w:vAlign w:val="center"/>
          </w:tcPr>
          <w:p w14:paraId="3C7D505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shd w:val="clear" w:color="auto" w:fill="FFFFFF"/>
            <w:vAlign w:val="center"/>
          </w:tcPr>
          <w:p w14:paraId="47815218"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76" w:type="dxa"/>
            <w:vAlign w:val="center"/>
          </w:tcPr>
          <w:p w14:paraId="218ECDA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0CC8473B"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3D13409A"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 w14:paraId="268FF2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FFFFFF"/>
            <w:vAlign w:val="center"/>
          </w:tcPr>
          <w:p w14:paraId="6A09AE6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综合治理（武装活动）</w:t>
            </w:r>
          </w:p>
        </w:tc>
        <w:tc>
          <w:tcPr>
            <w:tcW w:w="1536" w:type="dxa"/>
            <w:shd w:val="clear" w:color="auto" w:fill="auto"/>
            <w:vAlign w:val="center"/>
          </w:tcPr>
          <w:p w14:paraId="6FC541C6"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5.7</w:t>
            </w:r>
          </w:p>
        </w:tc>
        <w:tc>
          <w:tcPr>
            <w:tcW w:w="2459" w:type="dxa"/>
            <w:shd w:val="clear" w:color="auto" w:fill="auto"/>
            <w:vAlign w:val="center"/>
          </w:tcPr>
          <w:p w14:paraId="6ADEB6E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组织、支持、协调公安派出所、人民法庭、司法所等政法基层住址开展综合治理工作，充分发挥其职能作用；指导、检查、监督基层党支部、村委会和辖区内的企事业单位开展社会治安综合治理工作；搞好普法教育、民事调解、民间纠纷排查；做好来人信访工作。</w:t>
            </w:r>
          </w:p>
        </w:tc>
        <w:tc>
          <w:tcPr>
            <w:tcW w:w="2459" w:type="dxa"/>
            <w:shd w:val="clear" w:color="auto" w:fill="FFFFFF"/>
            <w:vAlign w:val="center"/>
          </w:tcPr>
          <w:p w14:paraId="68D5593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实现政治安定、社会稳定和人民生活和谐有序。</w:t>
            </w:r>
          </w:p>
        </w:tc>
        <w:tc>
          <w:tcPr>
            <w:tcW w:w="1321" w:type="dxa"/>
            <w:shd w:val="clear" w:color="auto" w:fill="FFFFFF"/>
            <w:vAlign w:val="center"/>
          </w:tcPr>
          <w:p w14:paraId="33C909B1"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4D45C7B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≥95%</w:t>
            </w:r>
          </w:p>
        </w:tc>
        <w:tc>
          <w:tcPr>
            <w:tcW w:w="876" w:type="dxa"/>
            <w:vAlign w:val="center"/>
          </w:tcPr>
          <w:p w14:paraId="2C681CAF"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588FB31A"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42FBDCC5"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 w14:paraId="443F8E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 w14:paraId="480C015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信访业务办理</w:t>
            </w:r>
          </w:p>
        </w:tc>
        <w:tc>
          <w:tcPr>
            <w:tcW w:w="1536" w:type="dxa"/>
            <w:vAlign w:val="center"/>
          </w:tcPr>
          <w:p w14:paraId="3B1D88D4"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2459" w:type="dxa"/>
            <w:vAlign w:val="center"/>
          </w:tcPr>
          <w:p w14:paraId="6DFBBA9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组织、支持、协调公安派出所、人民法庭、司法所等政法基层住址开展综合治理工作，充分发挥其职能作用；指导、检查、监督基层党支部、村委会和辖区内的企事业单位开展社会治安综合治理工作；搞好普法教育、民事调解、民间纠纷排查；做好来人信访工作。</w:t>
            </w:r>
          </w:p>
        </w:tc>
        <w:tc>
          <w:tcPr>
            <w:tcW w:w="2459" w:type="dxa"/>
            <w:vAlign w:val="center"/>
          </w:tcPr>
          <w:p w14:paraId="74AC169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畅通信访渠道，提高信访事项办理质量和效率。</w:t>
            </w:r>
          </w:p>
        </w:tc>
        <w:tc>
          <w:tcPr>
            <w:tcW w:w="1321" w:type="dxa"/>
            <w:vAlign w:val="center"/>
          </w:tcPr>
          <w:p w14:paraId="2C7068E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信访事项按期结案率</w:t>
            </w:r>
          </w:p>
        </w:tc>
        <w:tc>
          <w:tcPr>
            <w:tcW w:w="1096" w:type="dxa"/>
            <w:vAlign w:val="center"/>
          </w:tcPr>
          <w:p w14:paraId="512A2D9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≥80%</w:t>
            </w:r>
          </w:p>
        </w:tc>
        <w:tc>
          <w:tcPr>
            <w:tcW w:w="876" w:type="dxa"/>
            <w:vAlign w:val="center"/>
          </w:tcPr>
          <w:p w14:paraId="4D8D5BA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≥75%</w:t>
            </w:r>
          </w:p>
        </w:tc>
        <w:tc>
          <w:tcPr>
            <w:tcW w:w="1096" w:type="dxa"/>
            <w:vAlign w:val="center"/>
          </w:tcPr>
          <w:p w14:paraId="0F04372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≥70%</w:t>
            </w:r>
          </w:p>
        </w:tc>
        <w:tc>
          <w:tcPr>
            <w:tcW w:w="1096" w:type="dxa"/>
            <w:vAlign w:val="center"/>
          </w:tcPr>
          <w:p w14:paraId="3291F71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&lt;70%</w:t>
            </w:r>
          </w:p>
        </w:tc>
      </w:tr>
      <w:tr w14:paraId="3AA547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vAlign w:val="center"/>
          </w:tcPr>
          <w:p w14:paraId="5BFFAD6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  <w:lang w:eastAsia="zh-CN"/>
              </w:rPr>
              <w:t>卫生计生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</w:rPr>
              <w:t>办公室</w:t>
            </w:r>
          </w:p>
        </w:tc>
        <w:tc>
          <w:tcPr>
            <w:tcW w:w="1536" w:type="dxa"/>
            <w:vAlign w:val="center"/>
          </w:tcPr>
          <w:p w14:paraId="1B3410C5"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</w:rPr>
              <w:t>100</w:t>
            </w: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  <w:t>.03</w:t>
            </w:r>
          </w:p>
        </w:tc>
        <w:tc>
          <w:tcPr>
            <w:tcW w:w="2459" w:type="dxa"/>
            <w:vAlign w:val="center"/>
          </w:tcPr>
          <w:p w14:paraId="54D2094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贯彻执行党和国家计划生育政策、法规、制定有关管理办法和实施细则，并组织实施；负责编制人口发展长期和年度计划，完成上级下达的人口计划和目标；负责本级与村级计划生育组织建设和计划生育服务的综合管理；负责指导、监督各村、社区基层计划生育组织的工作；归口管理计划生育服务中心、计划生育协会等机构；对违法生育情况进行立案并征收社会抚养费；协调有关部门对计划生育工作实行综合治理等</w:t>
            </w:r>
          </w:p>
        </w:tc>
        <w:tc>
          <w:tcPr>
            <w:tcW w:w="2459" w:type="dxa"/>
            <w:vAlign w:val="center"/>
          </w:tcPr>
          <w:p w14:paraId="3297E27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 w14:paraId="5E43913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0E1F46F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76" w:type="dxa"/>
            <w:vAlign w:val="center"/>
          </w:tcPr>
          <w:p w14:paraId="5716558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4F364B3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6493555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 w14:paraId="06768DF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8" w:hRule="atLeast"/>
          <w:jc w:val="center"/>
        </w:trPr>
        <w:tc>
          <w:tcPr>
            <w:tcW w:w="1995" w:type="dxa"/>
            <w:vAlign w:val="center"/>
          </w:tcPr>
          <w:p w14:paraId="49BB085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eastAsia="zh-CN"/>
              </w:rPr>
              <w:t>卫生计生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指导与管理</w:t>
            </w:r>
          </w:p>
        </w:tc>
        <w:tc>
          <w:tcPr>
            <w:tcW w:w="1536" w:type="dxa"/>
            <w:vAlign w:val="center"/>
          </w:tcPr>
          <w:p w14:paraId="3341A67D"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100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.03</w:t>
            </w:r>
          </w:p>
        </w:tc>
        <w:tc>
          <w:tcPr>
            <w:tcW w:w="2459" w:type="dxa"/>
            <w:vAlign w:val="center"/>
          </w:tcPr>
          <w:p w14:paraId="07C3F3B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贯彻执行党和国家计划生育政策、法规、制定有关管理办法和实施细则，并组织实施；负责编制人口发展长期和年度计划，完成上级下达的人口计划和目标；负责本级与村级计划生育组织建设和计划生育服务的综合管理；负责指导、监督各村、社区基层计划生育组织的工作；归口管理计划生育服务中心、计划生育协会等机构；对违法生育情况进行立案并征收社会抚养费；协调有关部门对计划生育工作实行综合治理等</w:t>
            </w:r>
          </w:p>
        </w:tc>
        <w:tc>
          <w:tcPr>
            <w:tcW w:w="2459" w:type="dxa"/>
            <w:vAlign w:val="center"/>
          </w:tcPr>
          <w:p w14:paraId="3C50E36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计生合同制临时人员、村计生专人员工资。</w:t>
            </w:r>
          </w:p>
        </w:tc>
        <w:tc>
          <w:tcPr>
            <w:tcW w:w="1321" w:type="dxa"/>
            <w:vAlign w:val="center"/>
          </w:tcPr>
          <w:p w14:paraId="234389B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改工资发放率</w:t>
            </w:r>
          </w:p>
        </w:tc>
        <w:tc>
          <w:tcPr>
            <w:tcW w:w="1096" w:type="dxa"/>
            <w:vAlign w:val="center"/>
          </w:tcPr>
          <w:p w14:paraId="5729D80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≥90%</w:t>
            </w:r>
          </w:p>
        </w:tc>
        <w:tc>
          <w:tcPr>
            <w:tcW w:w="876" w:type="dxa"/>
            <w:vAlign w:val="center"/>
          </w:tcPr>
          <w:p w14:paraId="518E083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≥80%</w:t>
            </w:r>
          </w:p>
        </w:tc>
        <w:tc>
          <w:tcPr>
            <w:tcW w:w="1096" w:type="dxa"/>
            <w:vAlign w:val="center"/>
          </w:tcPr>
          <w:p w14:paraId="4644262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≥70%</w:t>
            </w:r>
          </w:p>
        </w:tc>
        <w:tc>
          <w:tcPr>
            <w:tcW w:w="1096" w:type="dxa"/>
            <w:vAlign w:val="center"/>
          </w:tcPr>
          <w:p w14:paraId="3D231DC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 w14:paraId="221350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7" w:hRule="atLeast"/>
          <w:jc w:val="center"/>
        </w:trPr>
        <w:tc>
          <w:tcPr>
            <w:tcW w:w="1995" w:type="dxa"/>
            <w:vAlign w:val="center"/>
          </w:tcPr>
          <w:p w14:paraId="07BB4C4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0"/>
                <w:szCs w:val="30"/>
              </w:rPr>
              <w:t>村镇规划建设办公室</w:t>
            </w:r>
          </w:p>
        </w:tc>
        <w:tc>
          <w:tcPr>
            <w:tcW w:w="1536" w:type="dxa"/>
            <w:vAlign w:val="center"/>
          </w:tcPr>
          <w:p w14:paraId="115031D0"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lang w:val="en-US" w:eastAsia="zh-CN"/>
              </w:rPr>
              <w:t>890.64</w:t>
            </w:r>
          </w:p>
        </w:tc>
        <w:tc>
          <w:tcPr>
            <w:tcW w:w="2459" w:type="dxa"/>
            <w:vAlign w:val="center"/>
          </w:tcPr>
          <w:p w14:paraId="3D5AEE0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宣传、贯彻城乡规划、建设、环境保护、国土管理等方面的方针、政策、法规。负责制定村镇建设和环境保护的规划，建立并实施建设用地指标和建设计划制度；负责村镇环境综合整治；抓好环境卫生，环境保护，镇村绿化工作，负责落实有关土地的法规；管理农村土地使用和宅基地，协助有关部门做好土地税费的征收管理工作，负责村街道和公路硬化建设等工作。</w:t>
            </w:r>
          </w:p>
        </w:tc>
        <w:tc>
          <w:tcPr>
            <w:tcW w:w="2459" w:type="dxa"/>
            <w:vAlign w:val="center"/>
          </w:tcPr>
          <w:p w14:paraId="7F485E4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提升机关及行业信息化水平，保障各类业务系统安全稳定运行；加大信息宣传力度，创造良好舆论氛围。组织文娱活动，提高干部职工文化和身体素质</w:t>
            </w:r>
          </w:p>
        </w:tc>
        <w:tc>
          <w:tcPr>
            <w:tcW w:w="1321" w:type="dxa"/>
            <w:vAlign w:val="center"/>
          </w:tcPr>
          <w:p w14:paraId="26B546E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24A6534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76" w:type="dxa"/>
            <w:vAlign w:val="center"/>
          </w:tcPr>
          <w:p w14:paraId="2CC82FA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5B40703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096" w:type="dxa"/>
            <w:vAlign w:val="center"/>
          </w:tcPr>
          <w:p w14:paraId="0926A39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</w:tr>
      <w:tr w14:paraId="38DE092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FFFFFF"/>
            <w:vAlign w:val="center"/>
          </w:tcPr>
          <w:p w14:paraId="4D2AD72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美丽乡村建设</w:t>
            </w:r>
          </w:p>
        </w:tc>
        <w:tc>
          <w:tcPr>
            <w:tcW w:w="1536" w:type="dxa"/>
            <w:shd w:val="clear" w:color="auto" w:fill="auto"/>
            <w:vAlign w:val="center"/>
          </w:tcPr>
          <w:p w14:paraId="1FEFBD95"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602.09</w:t>
            </w:r>
          </w:p>
        </w:tc>
        <w:tc>
          <w:tcPr>
            <w:tcW w:w="2459" w:type="dxa"/>
            <w:shd w:val="clear" w:color="auto" w:fill="auto"/>
            <w:vAlign w:val="center"/>
          </w:tcPr>
          <w:p w14:paraId="55CE59F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宣传、贯彻城乡规划、建设、环境保护、国土管理等方面的方针、政策、法规。负责制定村镇建设和环境保护的规划，建立并实施建设用地指标和建设计划制度；负责村镇环境综合整治；抓好环境卫生，环境保护，镇村绿化工作，负责落实有关土地的法规；管理农村土地使用和宅基地，协助有关部门做好土地税费的征收管理工作，负责村街道和公路硬化建设等工作。</w:t>
            </w:r>
          </w:p>
        </w:tc>
        <w:tc>
          <w:tcPr>
            <w:tcW w:w="2459" w:type="dxa"/>
            <w:shd w:val="clear" w:color="auto" w:fill="FFFFFF"/>
            <w:vAlign w:val="center"/>
          </w:tcPr>
          <w:p w14:paraId="7581E81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围绕农村改造工作要点，突出重点，因地制宜，按照分期分批推进的要求，每年选定一重点村实施改造提升。</w:t>
            </w:r>
          </w:p>
        </w:tc>
        <w:tc>
          <w:tcPr>
            <w:tcW w:w="1321" w:type="dxa"/>
            <w:shd w:val="clear" w:color="auto" w:fill="FFFFFF"/>
            <w:vAlign w:val="center"/>
          </w:tcPr>
          <w:p w14:paraId="4ECE410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重点村改造提升任务完成率</w:t>
            </w:r>
          </w:p>
        </w:tc>
        <w:tc>
          <w:tcPr>
            <w:tcW w:w="1096" w:type="dxa"/>
            <w:shd w:val="clear" w:color="auto" w:fill="FFFFFF"/>
            <w:vAlign w:val="center"/>
          </w:tcPr>
          <w:p w14:paraId="442A89F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100%</w:t>
            </w:r>
          </w:p>
        </w:tc>
        <w:tc>
          <w:tcPr>
            <w:tcW w:w="876" w:type="dxa"/>
            <w:shd w:val="clear" w:color="auto" w:fill="FFFFFF"/>
            <w:vAlign w:val="center"/>
          </w:tcPr>
          <w:p w14:paraId="6C466A1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≥95%</w:t>
            </w:r>
          </w:p>
        </w:tc>
        <w:tc>
          <w:tcPr>
            <w:tcW w:w="1096" w:type="dxa"/>
            <w:shd w:val="clear" w:color="auto" w:fill="FFFFFF"/>
            <w:vAlign w:val="center"/>
          </w:tcPr>
          <w:p w14:paraId="122F3A5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≥90%</w:t>
            </w:r>
          </w:p>
        </w:tc>
        <w:tc>
          <w:tcPr>
            <w:tcW w:w="1096" w:type="dxa"/>
            <w:shd w:val="clear" w:color="auto" w:fill="FFFFFF"/>
            <w:vAlign w:val="center"/>
          </w:tcPr>
          <w:p w14:paraId="3E78E8B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&lt;90%</w:t>
            </w:r>
          </w:p>
        </w:tc>
      </w:tr>
      <w:tr w14:paraId="420DEE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FFFFFF"/>
            <w:vAlign w:val="center"/>
          </w:tcPr>
          <w:p w14:paraId="674925E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土地确权登记</w:t>
            </w:r>
          </w:p>
        </w:tc>
        <w:tc>
          <w:tcPr>
            <w:tcW w:w="1536" w:type="dxa"/>
            <w:shd w:val="clear" w:color="auto" w:fill="auto"/>
            <w:vAlign w:val="center"/>
          </w:tcPr>
          <w:p w14:paraId="22CAF016"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3.5</w:t>
            </w:r>
          </w:p>
        </w:tc>
        <w:tc>
          <w:tcPr>
            <w:tcW w:w="2459" w:type="dxa"/>
            <w:shd w:val="clear" w:color="auto" w:fill="auto"/>
            <w:vAlign w:val="center"/>
          </w:tcPr>
          <w:p w14:paraId="47216BD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459" w:type="dxa"/>
            <w:shd w:val="clear" w:color="auto" w:fill="FFFFFF"/>
            <w:vAlign w:val="center"/>
          </w:tcPr>
          <w:p w14:paraId="6C2B9217"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进一步完善农村土地承包关系，保护农民利益，促进规模化经营。</w:t>
            </w:r>
          </w:p>
        </w:tc>
        <w:tc>
          <w:tcPr>
            <w:tcW w:w="1321" w:type="dxa"/>
            <w:shd w:val="clear" w:color="auto" w:fill="FFFFFF"/>
            <w:vAlign w:val="center"/>
          </w:tcPr>
          <w:p w14:paraId="50A13FDD"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全镇耕地确权登记颁证完成率</w:t>
            </w:r>
          </w:p>
        </w:tc>
        <w:tc>
          <w:tcPr>
            <w:tcW w:w="1096" w:type="dxa"/>
            <w:shd w:val="clear" w:color="auto" w:fill="FFFFFF"/>
            <w:vAlign w:val="center"/>
          </w:tcPr>
          <w:p w14:paraId="37612F2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100%</w:t>
            </w:r>
          </w:p>
        </w:tc>
        <w:tc>
          <w:tcPr>
            <w:tcW w:w="876" w:type="dxa"/>
            <w:shd w:val="clear" w:color="auto" w:fill="FFFFFF"/>
            <w:vAlign w:val="center"/>
          </w:tcPr>
          <w:p w14:paraId="4D9568F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≥95%</w:t>
            </w:r>
          </w:p>
        </w:tc>
        <w:tc>
          <w:tcPr>
            <w:tcW w:w="1096" w:type="dxa"/>
            <w:shd w:val="clear" w:color="auto" w:fill="FFFFFF"/>
            <w:vAlign w:val="center"/>
          </w:tcPr>
          <w:p w14:paraId="095BC16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≥90%</w:t>
            </w:r>
          </w:p>
        </w:tc>
        <w:tc>
          <w:tcPr>
            <w:tcW w:w="1096" w:type="dxa"/>
            <w:shd w:val="clear" w:color="auto" w:fill="FFFFFF"/>
            <w:vAlign w:val="center"/>
          </w:tcPr>
          <w:p w14:paraId="2005271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&lt;90%</w:t>
            </w:r>
          </w:p>
        </w:tc>
      </w:tr>
      <w:tr w14:paraId="3E8022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95" w:type="dxa"/>
            <w:shd w:val="clear" w:color="auto" w:fill="auto"/>
            <w:vAlign w:val="center"/>
          </w:tcPr>
          <w:p w14:paraId="2798B1F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推进城镇化建设</w:t>
            </w:r>
          </w:p>
        </w:tc>
        <w:tc>
          <w:tcPr>
            <w:tcW w:w="1536" w:type="dxa"/>
            <w:shd w:val="clear" w:color="auto" w:fill="auto"/>
            <w:vAlign w:val="center"/>
          </w:tcPr>
          <w:p w14:paraId="3D33048A"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285.05</w:t>
            </w:r>
          </w:p>
        </w:tc>
        <w:tc>
          <w:tcPr>
            <w:tcW w:w="2459" w:type="dxa"/>
            <w:shd w:val="clear" w:color="auto" w:fill="auto"/>
            <w:vAlign w:val="center"/>
          </w:tcPr>
          <w:p w14:paraId="6635F7A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宣传、贯彻城乡规划、建设、环境保护、国土管理等方面的方针、政策、法规。负责制定村镇建设和环境保护的规划，建立并实施建设用地指标和建设计划制度；负责村镇环境综合整治；抓好环境卫生，环境保护，镇村绿化工作，负责落实有关土地的法规；管理农村土地使用和宅基地，协助有关部门做好土地税费的征收管理工作，负责村街道和公路硬化建设等工作</w:t>
            </w:r>
          </w:p>
        </w:tc>
        <w:tc>
          <w:tcPr>
            <w:tcW w:w="2459" w:type="dxa"/>
            <w:shd w:val="clear" w:color="auto" w:fill="FFFFFF"/>
            <w:vAlign w:val="center"/>
          </w:tcPr>
          <w:p w14:paraId="5AD5CDF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加强村镇建设，改善农村人居环境，实现城乡统筹发展</w:t>
            </w:r>
          </w:p>
        </w:tc>
        <w:tc>
          <w:tcPr>
            <w:tcW w:w="1321" w:type="dxa"/>
            <w:shd w:val="clear" w:color="auto" w:fill="FFFFFF"/>
            <w:vAlign w:val="center"/>
          </w:tcPr>
          <w:p w14:paraId="6693589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垃圾清运率</w:t>
            </w:r>
          </w:p>
        </w:tc>
        <w:tc>
          <w:tcPr>
            <w:tcW w:w="1096" w:type="dxa"/>
            <w:shd w:val="clear" w:color="auto" w:fill="FFFFFF"/>
            <w:vAlign w:val="center"/>
          </w:tcPr>
          <w:p w14:paraId="7E14F44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≥98%</w:t>
            </w:r>
          </w:p>
        </w:tc>
        <w:tc>
          <w:tcPr>
            <w:tcW w:w="876" w:type="dxa"/>
            <w:shd w:val="clear" w:color="auto" w:fill="FFFFFF"/>
            <w:vAlign w:val="center"/>
          </w:tcPr>
          <w:p w14:paraId="0677488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≥90%</w:t>
            </w:r>
          </w:p>
        </w:tc>
        <w:tc>
          <w:tcPr>
            <w:tcW w:w="1096" w:type="dxa"/>
            <w:shd w:val="clear" w:color="auto" w:fill="FFFFFF"/>
            <w:vAlign w:val="center"/>
          </w:tcPr>
          <w:p w14:paraId="4CF550F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≥70%</w:t>
            </w:r>
          </w:p>
        </w:tc>
        <w:tc>
          <w:tcPr>
            <w:tcW w:w="1096" w:type="dxa"/>
            <w:shd w:val="clear" w:color="auto" w:fill="FFFFFF"/>
            <w:vAlign w:val="center"/>
          </w:tcPr>
          <w:p w14:paraId="0A640CB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＜70%</w:t>
            </w:r>
          </w:p>
        </w:tc>
      </w:tr>
    </w:tbl>
    <w:p w14:paraId="41593C16"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六、政府采购预算情况</w:t>
      </w:r>
    </w:p>
    <w:p w14:paraId="50648FAB">
      <w:pPr>
        <w:outlineLvl w:val="0"/>
        <w:rPr>
          <w:rFonts w:hint="eastAsia" w:ascii="仿宋" w:hAnsi="仿宋" w:eastAsia="仿宋" w:cs="仿宋"/>
          <w:sz w:val="30"/>
          <w:szCs w:val="30"/>
        </w:rPr>
      </w:pPr>
      <w:bookmarkStart w:id="2" w:name="_Toc471398468"/>
      <w:r>
        <w:rPr>
          <w:rFonts w:hint="eastAsia" w:ascii="仿宋" w:hAnsi="仿宋" w:eastAsia="仿宋" w:cs="仿宋"/>
          <w:sz w:val="30"/>
          <w:szCs w:val="30"/>
        </w:rPr>
        <w:t xml:space="preserve">   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21</w:t>
      </w:r>
      <w:r>
        <w:rPr>
          <w:rFonts w:hint="eastAsia" w:ascii="仿宋" w:hAnsi="仿宋" w:eastAsia="仿宋" w:cs="仿宋"/>
          <w:sz w:val="30"/>
          <w:szCs w:val="30"/>
        </w:rPr>
        <w:t>年，安排政府采购预算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87.17</w:t>
      </w:r>
      <w:r>
        <w:rPr>
          <w:rFonts w:hint="eastAsia" w:ascii="仿宋" w:hAnsi="仿宋" w:eastAsia="仿宋" w:cs="仿宋"/>
          <w:sz w:val="30"/>
          <w:szCs w:val="30"/>
        </w:rPr>
        <w:t>万元万元。具体内容见下表。</w:t>
      </w:r>
    </w:p>
    <w:p w14:paraId="1AC804E2">
      <w:pPr>
        <w:jc w:val="center"/>
        <w:outlineLvl w:val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单位</w:t>
      </w:r>
      <w:r>
        <w:rPr>
          <w:rFonts w:hint="eastAsia" w:ascii="仿宋" w:hAnsi="仿宋" w:eastAsia="仿宋" w:cs="仿宋"/>
          <w:sz w:val="30"/>
          <w:szCs w:val="30"/>
        </w:rPr>
        <w:t>政府采购预算</w:t>
      </w:r>
      <w:bookmarkEnd w:id="2"/>
    </w:p>
    <w:tbl>
      <w:tblPr>
        <w:tblStyle w:val="6"/>
        <w:tblW w:w="15357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33"/>
        <w:gridCol w:w="935"/>
        <w:gridCol w:w="1394"/>
        <w:gridCol w:w="936"/>
        <w:gridCol w:w="936"/>
        <w:gridCol w:w="958"/>
        <w:gridCol w:w="936"/>
        <w:gridCol w:w="936"/>
        <w:gridCol w:w="972"/>
        <w:gridCol w:w="936"/>
        <w:gridCol w:w="936"/>
        <w:gridCol w:w="936"/>
        <w:gridCol w:w="882"/>
      </w:tblGrid>
      <w:tr w14:paraId="2273ED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8823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3346EA2">
            <w:pPr>
              <w:spacing w:line="300" w:lineRule="exact"/>
              <w:jc w:val="left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964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001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宁晋县换马店镇人民政府</w:t>
            </w:r>
          </w:p>
        </w:tc>
        <w:tc>
          <w:tcPr>
            <w:tcW w:w="6534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00E7645">
            <w:pPr>
              <w:spacing w:line="300" w:lineRule="exact"/>
              <w:jc w:val="right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单位：万元</w:t>
            </w:r>
          </w:p>
        </w:tc>
      </w:tr>
      <w:tr w14:paraId="4AB753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3664" w:type="dxa"/>
            <w:gridSpan w:val="2"/>
            <w:vAlign w:val="center"/>
          </w:tcPr>
          <w:p w14:paraId="3C3449C5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政府采购项目来源</w:t>
            </w:r>
          </w:p>
        </w:tc>
        <w:tc>
          <w:tcPr>
            <w:tcW w:w="935" w:type="dxa"/>
            <w:vMerge w:val="restart"/>
            <w:vAlign w:val="center"/>
          </w:tcPr>
          <w:p w14:paraId="3749BB09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采购物品名称</w:t>
            </w:r>
          </w:p>
        </w:tc>
        <w:tc>
          <w:tcPr>
            <w:tcW w:w="1394" w:type="dxa"/>
            <w:vMerge w:val="restart"/>
            <w:vAlign w:val="center"/>
          </w:tcPr>
          <w:p w14:paraId="739B0E5E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政府采购目录序号</w:t>
            </w:r>
          </w:p>
        </w:tc>
        <w:tc>
          <w:tcPr>
            <w:tcW w:w="936" w:type="dxa"/>
            <w:vMerge w:val="restart"/>
            <w:vAlign w:val="center"/>
          </w:tcPr>
          <w:p w14:paraId="25E490D3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数量  单位</w:t>
            </w:r>
          </w:p>
        </w:tc>
        <w:tc>
          <w:tcPr>
            <w:tcW w:w="936" w:type="dxa"/>
            <w:vMerge w:val="restart"/>
            <w:vAlign w:val="center"/>
          </w:tcPr>
          <w:p w14:paraId="2EFF7D79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数量</w:t>
            </w:r>
          </w:p>
        </w:tc>
        <w:tc>
          <w:tcPr>
            <w:tcW w:w="958" w:type="dxa"/>
            <w:vMerge w:val="restart"/>
            <w:vAlign w:val="center"/>
          </w:tcPr>
          <w:p w14:paraId="3011B15F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单价</w:t>
            </w:r>
          </w:p>
        </w:tc>
        <w:tc>
          <w:tcPr>
            <w:tcW w:w="6534" w:type="dxa"/>
            <w:gridSpan w:val="7"/>
            <w:vAlign w:val="center"/>
          </w:tcPr>
          <w:p w14:paraId="3466785F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政府采购金额</w:t>
            </w:r>
          </w:p>
        </w:tc>
      </w:tr>
      <w:tr w14:paraId="07F957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531" w:type="dxa"/>
            <w:vMerge w:val="restart"/>
            <w:vAlign w:val="center"/>
          </w:tcPr>
          <w:p w14:paraId="21848794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项目名称</w:t>
            </w:r>
          </w:p>
        </w:tc>
        <w:tc>
          <w:tcPr>
            <w:tcW w:w="1133" w:type="dxa"/>
            <w:vMerge w:val="restart"/>
            <w:vAlign w:val="center"/>
          </w:tcPr>
          <w:p w14:paraId="07F25CC0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预算资金</w:t>
            </w:r>
          </w:p>
        </w:tc>
        <w:tc>
          <w:tcPr>
            <w:tcW w:w="935" w:type="dxa"/>
            <w:vMerge w:val="continue"/>
            <w:vAlign w:val="center"/>
          </w:tcPr>
          <w:p w14:paraId="26AA7E7C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394" w:type="dxa"/>
            <w:vMerge w:val="continue"/>
            <w:vAlign w:val="center"/>
          </w:tcPr>
          <w:p w14:paraId="21F9E821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Merge w:val="continue"/>
            <w:vAlign w:val="center"/>
          </w:tcPr>
          <w:p w14:paraId="768BAF4F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Merge w:val="continue"/>
            <w:vAlign w:val="center"/>
          </w:tcPr>
          <w:p w14:paraId="2AE5D2E0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58" w:type="dxa"/>
            <w:vMerge w:val="continue"/>
            <w:vAlign w:val="center"/>
          </w:tcPr>
          <w:p w14:paraId="1CB1D10E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Merge w:val="restart"/>
            <w:vAlign w:val="center"/>
          </w:tcPr>
          <w:p w14:paraId="72F6CEE7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总计</w:t>
            </w:r>
          </w:p>
        </w:tc>
        <w:tc>
          <w:tcPr>
            <w:tcW w:w="4716" w:type="dxa"/>
            <w:gridSpan w:val="5"/>
            <w:vAlign w:val="center"/>
          </w:tcPr>
          <w:p w14:paraId="13863B85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当年部门预算安排资金</w:t>
            </w:r>
          </w:p>
        </w:tc>
        <w:tc>
          <w:tcPr>
            <w:tcW w:w="882" w:type="dxa"/>
            <w:vMerge w:val="restart"/>
            <w:vAlign w:val="center"/>
          </w:tcPr>
          <w:p w14:paraId="62E5F187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其他渠道资金</w:t>
            </w:r>
          </w:p>
        </w:tc>
      </w:tr>
      <w:tr w14:paraId="266C39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531" w:type="dxa"/>
            <w:vMerge w:val="continue"/>
            <w:vAlign w:val="center"/>
          </w:tcPr>
          <w:p w14:paraId="0E7E38FE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133" w:type="dxa"/>
            <w:vMerge w:val="continue"/>
            <w:vAlign w:val="center"/>
          </w:tcPr>
          <w:p w14:paraId="42A82175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5" w:type="dxa"/>
            <w:vMerge w:val="continue"/>
            <w:vAlign w:val="center"/>
          </w:tcPr>
          <w:p w14:paraId="3F04BC29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394" w:type="dxa"/>
            <w:vMerge w:val="continue"/>
            <w:vAlign w:val="center"/>
          </w:tcPr>
          <w:p w14:paraId="66389097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Merge w:val="continue"/>
            <w:vAlign w:val="center"/>
          </w:tcPr>
          <w:p w14:paraId="23156728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Merge w:val="continue"/>
            <w:vAlign w:val="center"/>
          </w:tcPr>
          <w:p w14:paraId="73F3179F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58" w:type="dxa"/>
            <w:vMerge w:val="continue"/>
            <w:vAlign w:val="center"/>
          </w:tcPr>
          <w:p w14:paraId="23593A62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Merge w:val="continue"/>
            <w:vAlign w:val="center"/>
          </w:tcPr>
          <w:p w14:paraId="538414EA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0D7E542E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合计</w:t>
            </w:r>
          </w:p>
        </w:tc>
        <w:tc>
          <w:tcPr>
            <w:tcW w:w="972" w:type="dxa"/>
            <w:vAlign w:val="center"/>
          </w:tcPr>
          <w:p w14:paraId="6D914DB7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一般公共预算拨款</w:t>
            </w:r>
          </w:p>
        </w:tc>
        <w:tc>
          <w:tcPr>
            <w:tcW w:w="936" w:type="dxa"/>
            <w:vAlign w:val="center"/>
          </w:tcPr>
          <w:p w14:paraId="44DA60F3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基金预算拨款</w:t>
            </w:r>
          </w:p>
        </w:tc>
        <w:tc>
          <w:tcPr>
            <w:tcW w:w="936" w:type="dxa"/>
            <w:vAlign w:val="center"/>
          </w:tcPr>
          <w:p w14:paraId="6A65C95E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财政专户核拨</w:t>
            </w:r>
          </w:p>
        </w:tc>
        <w:tc>
          <w:tcPr>
            <w:tcW w:w="936" w:type="dxa"/>
            <w:vAlign w:val="center"/>
          </w:tcPr>
          <w:p w14:paraId="247830DB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其他来源收入</w:t>
            </w:r>
          </w:p>
        </w:tc>
        <w:tc>
          <w:tcPr>
            <w:tcW w:w="882" w:type="dxa"/>
            <w:vMerge w:val="continue"/>
            <w:vAlign w:val="center"/>
          </w:tcPr>
          <w:p w14:paraId="580966B7"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</w:tr>
      <w:tr w14:paraId="46E170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31" w:type="dxa"/>
            <w:vAlign w:val="center"/>
          </w:tcPr>
          <w:p w14:paraId="2EE54CF4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合　计</w:t>
            </w:r>
          </w:p>
        </w:tc>
        <w:tc>
          <w:tcPr>
            <w:tcW w:w="1133" w:type="dxa"/>
            <w:vAlign w:val="center"/>
          </w:tcPr>
          <w:p w14:paraId="2DD0C014">
            <w:pPr>
              <w:tabs>
                <w:tab w:val="left" w:pos="440"/>
              </w:tabs>
              <w:spacing w:line="300" w:lineRule="exact"/>
              <w:jc w:val="left"/>
              <w:rPr>
                <w:rFonts w:hint="default" w:ascii="仿宋" w:hAnsi="仿宋" w:eastAsia="仿宋" w:cs="仿宋"/>
                <w:b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  <w:lang w:eastAsia="zh-CN"/>
              </w:rPr>
              <w:tab/>
            </w:r>
          </w:p>
        </w:tc>
        <w:tc>
          <w:tcPr>
            <w:tcW w:w="935" w:type="dxa"/>
            <w:vAlign w:val="center"/>
          </w:tcPr>
          <w:p w14:paraId="23BD1CEC"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1394" w:type="dxa"/>
            <w:vAlign w:val="center"/>
          </w:tcPr>
          <w:p w14:paraId="499C9D61"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0A81A502"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34215209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58" w:type="dxa"/>
            <w:vAlign w:val="center"/>
          </w:tcPr>
          <w:p w14:paraId="245656B9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0B24554E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39828BA4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72" w:type="dxa"/>
            <w:vAlign w:val="center"/>
          </w:tcPr>
          <w:p w14:paraId="3ACCBB0A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06CA24C8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51BE153F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0AD7FCCE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882" w:type="dxa"/>
            <w:vAlign w:val="center"/>
          </w:tcPr>
          <w:p w14:paraId="41DEB8A4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</w:tr>
      <w:tr w14:paraId="65BA14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  <w:jc w:val="center"/>
        </w:trPr>
        <w:tc>
          <w:tcPr>
            <w:tcW w:w="2531" w:type="dxa"/>
            <w:vAlign w:val="center"/>
          </w:tcPr>
          <w:p w14:paraId="341F6EC6"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  <w:lang w:eastAsia="zh-CN"/>
              </w:rPr>
              <w:t>宁晋县换马店镇农村环卫保洁工作外包项目</w:t>
            </w:r>
          </w:p>
        </w:tc>
        <w:tc>
          <w:tcPr>
            <w:tcW w:w="1133" w:type="dxa"/>
            <w:vAlign w:val="center"/>
          </w:tcPr>
          <w:p w14:paraId="189EE462">
            <w:pPr>
              <w:spacing w:line="300" w:lineRule="exact"/>
              <w:jc w:val="right"/>
              <w:rPr>
                <w:rFonts w:hint="default" w:ascii="仿宋" w:hAnsi="仿宋" w:eastAsia="仿宋" w:cs="仿宋"/>
                <w:b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  <w:lang w:val="en-US" w:eastAsia="zh-CN"/>
              </w:rPr>
              <w:t>87.17</w:t>
            </w:r>
          </w:p>
        </w:tc>
        <w:tc>
          <w:tcPr>
            <w:tcW w:w="935" w:type="dxa"/>
            <w:vAlign w:val="center"/>
          </w:tcPr>
          <w:p w14:paraId="1B78F25E"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  <w:lang w:eastAsia="zh-CN"/>
              </w:rPr>
              <w:t>服务</w:t>
            </w:r>
          </w:p>
        </w:tc>
        <w:tc>
          <w:tcPr>
            <w:tcW w:w="1394" w:type="dxa"/>
            <w:vAlign w:val="center"/>
          </w:tcPr>
          <w:p w14:paraId="476EC7EB"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4ACD1AC7">
            <w:pPr>
              <w:spacing w:line="300" w:lineRule="exact"/>
              <w:jc w:val="lef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3278334C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  <w:lang w:val="en-US" w:eastAsia="zh-CN"/>
              </w:rPr>
              <w:t>1</w:t>
            </w:r>
          </w:p>
        </w:tc>
        <w:tc>
          <w:tcPr>
            <w:tcW w:w="958" w:type="dxa"/>
            <w:vAlign w:val="center"/>
          </w:tcPr>
          <w:p w14:paraId="50CA201A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7F203EFB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5F3CEB5C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72" w:type="dxa"/>
            <w:vAlign w:val="center"/>
          </w:tcPr>
          <w:p w14:paraId="46912CA8">
            <w:pPr>
              <w:spacing w:line="300" w:lineRule="exact"/>
              <w:jc w:val="right"/>
              <w:rPr>
                <w:rFonts w:hint="default" w:ascii="仿宋" w:hAnsi="仿宋" w:eastAsia="仿宋" w:cs="仿宋"/>
                <w:b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  <w:lang w:val="en-US" w:eastAsia="zh-CN"/>
              </w:rPr>
              <w:t>87.17</w:t>
            </w:r>
          </w:p>
        </w:tc>
        <w:tc>
          <w:tcPr>
            <w:tcW w:w="936" w:type="dxa"/>
            <w:vAlign w:val="center"/>
          </w:tcPr>
          <w:p w14:paraId="02911792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7B9CB0B8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936" w:type="dxa"/>
            <w:vAlign w:val="center"/>
          </w:tcPr>
          <w:p w14:paraId="13DC7D2F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882" w:type="dxa"/>
            <w:vAlign w:val="center"/>
          </w:tcPr>
          <w:p w14:paraId="1FFD6B1E">
            <w:pPr>
              <w:spacing w:line="300" w:lineRule="exact"/>
              <w:jc w:val="right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</w:tr>
    </w:tbl>
    <w:p w14:paraId="66469605">
      <w:pPr>
        <w:autoSpaceDE w:val="0"/>
        <w:autoSpaceDN w:val="0"/>
        <w:adjustRightInd w:val="0"/>
        <w:jc w:val="left"/>
        <w:rPr>
          <w:rFonts w:hint="eastAsia" w:ascii="仿宋" w:hAnsi="仿宋" w:eastAsia="仿宋" w:cs="仿宋"/>
          <w:sz w:val="30"/>
          <w:szCs w:val="30"/>
        </w:rPr>
      </w:pPr>
    </w:p>
    <w:p w14:paraId="2C67B2A6">
      <w:pPr>
        <w:autoSpaceDE w:val="0"/>
        <w:autoSpaceDN w:val="0"/>
        <w:adjustRightInd w:val="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七、国有资产信息</w:t>
      </w:r>
    </w:p>
    <w:p w14:paraId="6B4B7F22">
      <w:p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上年末固定资产金额287.17万元（详见下表），本年度预算拟购置的固定资产为0。已列入政府采购预算表。</w:t>
      </w:r>
    </w:p>
    <w:p w14:paraId="78AC65EC">
      <w:pPr>
        <w:ind w:firstLine="640"/>
        <w:rPr>
          <w:rFonts w:hint="eastAsia" w:ascii="仿宋" w:hAnsi="仿宋" w:eastAsia="仿宋" w:cs="仿宋"/>
          <w:color w:val="FF0000"/>
          <w:sz w:val="30"/>
          <w:szCs w:val="30"/>
        </w:rPr>
      </w:pPr>
    </w:p>
    <w:tbl>
      <w:tblPr>
        <w:tblStyle w:val="6"/>
        <w:tblW w:w="13482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4"/>
        <w:gridCol w:w="3155"/>
        <w:gridCol w:w="5103"/>
      </w:tblGrid>
      <w:tr w14:paraId="0E1818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348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151D1C"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  <w:lang w:eastAsia="zh-CN"/>
              </w:rPr>
              <w:t>宁晋县换马店镇人民政府单位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固定资产占用情况表</w:t>
            </w:r>
          </w:p>
        </w:tc>
      </w:tr>
      <w:tr w14:paraId="7F46F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837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EF625F">
            <w:pPr>
              <w:widowControl/>
              <w:jc w:val="left"/>
              <w:rPr>
                <w:rFonts w:hint="default" w:ascii="仿宋" w:hAnsi="仿宋" w:eastAsia="仿宋" w:cs="仿宋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编制</w:t>
            </w: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eastAsia="zh-CN"/>
              </w:rPr>
              <w:t>单位</w:t>
            </w: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：</w:t>
            </w: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964001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D88506"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 xml:space="preserve">截止时间：2017年12月31日  </w:t>
            </w:r>
          </w:p>
        </w:tc>
      </w:tr>
      <w:tr w14:paraId="614BA3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B10744"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项   目</w:t>
            </w:r>
          </w:p>
        </w:tc>
        <w:tc>
          <w:tcPr>
            <w:tcW w:w="3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C9437B"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数量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5FDECC"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价值（金额单位：万元）</w:t>
            </w:r>
          </w:p>
        </w:tc>
      </w:tr>
      <w:tr w14:paraId="29528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F3BD22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资产总额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169425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——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21EC26">
            <w:pPr>
              <w:widowControl/>
              <w:jc w:val="center"/>
              <w:rPr>
                <w:rFonts w:hint="default" w:ascii="仿宋" w:hAnsi="仿宋" w:eastAsia="仿宋" w:cs="仿宋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287.17</w:t>
            </w:r>
          </w:p>
        </w:tc>
      </w:tr>
      <w:tr w14:paraId="6C5D60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5EA131"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1、房屋（平方米）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6D9931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6100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067FA6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140.6</w:t>
            </w:r>
          </w:p>
        </w:tc>
      </w:tr>
      <w:tr w14:paraId="47779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BEC6CF"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 xml:space="preserve">  其中：办公用房（平方米）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7300C2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6100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C2B1CF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140.6</w:t>
            </w:r>
          </w:p>
        </w:tc>
      </w:tr>
      <w:tr w14:paraId="4E85E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09B164"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2、车辆（台、辆）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8286F2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1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4055C5">
            <w:pPr>
              <w:widowControl/>
              <w:jc w:val="center"/>
              <w:rPr>
                <w:rFonts w:hint="default" w:ascii="仿宋" w:hAnsi="仿宋" w:eastAsia="仿宋" w:cs="仿宋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40</w:t>
            </w:r>
          </w:p>
        </w:tc>
      </w:tr>
      <w:tr w14:paraId="0EBA0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C2760E"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3、单价在20万元以上设备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8CC538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——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7F75C7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</w:p>
        </w:tc>
      </w:tr>
      <w:tr w14:paraId="796E8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F98A89"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4、其他固定资产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71DEF1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——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A0B5D0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  <w:t>106.57</w:t>
            </w:r>
          </w:p>
        </w:tc>
      </w:tr>
    </w:tbl>
    <w:p w14:paraId="213F2787">
      <w:pPr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说明：1、实有车辆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</w:rPr>
        <w:t>辆，其余为公车改革按规定封存待上缴未办理处置手续的车辆。</w:t>
      </w:r>
    </w:p>
    <w:p w14:paraId="3263E05C">
      <w:pPr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</w:t>
      </w:r>
    </w:p>
    <w:p w14:paraId="4CA7F4FB">
      <w:pPr>
        <w:rPr>
          <w:rFonts w:hint="eastAsia" w:ascii="仿宋" w:hAnsi="仿宋" w:eastAsia="仿宋" w:cs="仿宋"/>
          <w:sz w:val="30"/>
          <w:szCs w:val="30"/>
        </w:rPr>
      </w:pPr>
    </w:p>
    <w:p w14:paraId="45AF0427">
      <w:pPr>
        <w:numPr>
          <w:ilvl w:val="0"/>
          <w:numId w:val="2"/>
        </w:numPr>
        <w:autoSpaceDE w:val="0"/>
        <w:autoSpaceDN w:val="0"/>
        <w:adjustRightInd w:val="0"/>
        <w:ind w:left="198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名词解释</w:t>
      </w:r>
    </w:p>
    <w:p w14:paraId="5C965BA0">
      <w:pPr>
        <w:autoSpaceDE w:val="0"/>
        <w:autoSpaceDN w:val="0"/>
        <w:adjustRightInd w:val="0"/>
        <w:ind w:left="420" w:leftChars="200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1、一般预算收入：省级财政当年拨付的资金。</w:t>
      </w:r>
    </w:p>
    <w:p w14:paraId="37A600A5">
      <w:pPr>
        <w:autoSpaceDE w:val="0"/>
        <w:autoSpaceDN w:val="0"/>
        <w:adjustRightInd w:val="0"/>
        <w:ind w:left="420" w:leftChars="200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2、基本支出：为保障机构正常运转，完成日常工作任务，而发生的人员支出和公用支出。</w:t>
      </w:r>
    </w:p>
    <w:p w14:paraId="31DA004F">
      <w:pPr>
        <w:autoSpaceDE w:val="0"/>
        <w:autoSpaceDN w:val="0"/>
        <w:adjustRightInd w:val="0"/>
        <w:ind w:left="420" w:leftChars="200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3、项目支出：是指在基本支出之外，为完成特定行政任务和事业发展目标，而发生的支出。</w:t>
      </w:r>
    </w:p>
    <w:p w14:paraId="5B159E41">
      <w:pPr>
        <w:autoSpaceDE w:val="0"/>
        <w:autoSpaceDN w:val="0"/>
        <w:adjustRightInd w:val="0"/>
        <w:ind w:left="420" w:leftChars="200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4、机关运行费：是指为保证行政单位（包括参照公务员管理的事业单位）运行，用于购买货物和服务的各项资金。主要包括：办公费、印刷费，水费、电费、邮电费、福利费、日常维修费、办公取暖费、办公物业服务费、公务车运行维护费等。</w:t>
      </w:r>
    </w:p>
    <w:p w14:paraId="73E7A7A0">
      <w:pPr>
        <w:autoSpaceDE w:val="0"/>
        <w:autoSpaceDN w:val="0"/>
        <w:adjustRightInd w:val="0"/>
        <w:ind w:left="420" w:leftChars="200" w:firstLine="602" w:firstLineChars="200"/>
        <w:jc w:val="left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九、其他需要说明的事项</w:t>
      </w:r>
    </w:p>
    <w:p w14:paraId="1B856F7A">
      <w:pPr>
        <w:autoSpaceDE w:val="0"/>
        <w:autoSpaceDN w:val="0"/>
        <w:adjustRightInd w:val="0"/>
        <w:ind w:left="420" w:leftChars="200"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无</w:t>
      </w:r>
    </w:p>
    <w:p w14:paraId="240FE8FD"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818F2D"/>
    <w:multiLevelType w:val="singleLevel"/>
    <w:tmpl w:val="58818F2D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5881B3F2"/>
    <w:multiLevelType w:val="singleLevel"/>
    <w:tmpl w:val="5881B3F2"/>
    <w:lvl w:ilvl="0" w:tentative="0">
      <w:start w:val="8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web"/>
  <w:zoom w:percent="90"/>
  <w:documentProtection w:enforcement="0"/>
  <w:defaultTabStop w:val="420"/>
  <w:drawingGridHorizontalSpacing w:val="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2"/>
  </w:compat>
  <w:docVars>
    <w:docVar w:name="commondata" w:val="eyJoZGlkIjoiN2M5MjQwYmE4MTZiNTY0YmJiZjY1MDE2NWFmYWYzNDIifQ=="/>
  </w:docVars>
  <w:rsids>
    <w:rsidRoot w:val="00E3054B"/>
    <w:rsid w:val="005938C4"/>
    <w:rsid w:val="00C22C2A"/>
    <w:rsid w:val="00E3054B"/>
    <w:rsid w:val="014E6F8A"/>
    <w:rsid w:val="026979F7"/>
    <w:rsid w:val="05CA39EF"/>
    <w:rsid w:val="05F23A44"/>
    <w:rsid w:val="063E4E73"/>
    <w:rsid w:val="06921E02"/>
    <w:rsid w:val="073F31A7"/>
    <w:rsid w:val="07773D24"/>
    <w:rsid w:val="0AD34DD8"/>
    <w:rsid w:val="0BBC247C"/>
    <w:rsid w:val="0C65512F"/>
    <w:rsid w:val="0DF8567E"/>
    <w:rsid w:val="10DE4F8E"/>
    <w:rsid w:val="110F3146"/>
    <w:rsid w:val="115B30C4"/>
    <w:rsid w:val="11E64458"/>
    <w:rsid w:val="13227483"/>
    <w:rsid w:val="135149E4"/>
    <w:rsid w:val="13B77135"/>
    <w:rsid w:val="15245F8B"/>
    <w:rsid w:val="163E6784"/>
    <w:rsid w:val="16674602"/>
    <w:rsid w:val="18DB4A76"/>
    <w:rsid w:val="19902620"/>
    <w:rsid w:val="1AE12A2A"/>
    <w:rsid w:val="1F424713"/>
    <w:rsid w:val="1F6859E2"/>
    <w:rsid w:val="20210D51"/>
    <w:rsid w:val="207B1DBC"/>
    <w:rsid w:val="243F6A56"/>
    <w:rsid w:val="249A0264"/>
    <w:rsid w:val="24C167D4"/>
    <w:rsid w:val="295A5696"/>
    <w:rsid w:val="29E13510"/>
    <w:rsid w:val="2AA55415"/>
    <w:rsid w:val="2CDC5845"/>
    <w:rsid w:val="2E461639"/>
    <w:rsid w:val="32091089"/>
    <w:rsid w:val="33202D8F"/>
    <w:rsid w:val="334D729D"/>
    <w:rsid w:val="336F44DD"/>
    <w:rsid w:val="33AF3005"/>
    <w:rsid w:val="34C0099F"/>
    <w:rsid w:val="39C80ED0"/>
    <w:rsid w:val="3B271D7E"/>
    <w:rsid w:val="3CE876AD"/>
    <w:rsid w:val="41886D9F"/>
    <w:rsid w:val="422350FC"/>
    <w:rsid w:val="43312D5B"/>
    <w:rsid w:val="444D288C"/>
    <w:rsid w:val="484D7C10"/>
    <w:rsid w:val="4A163E58"/>
    <w:rsid w:val="4A7A2D1D"/>
    <w:rsid w:val="4B003614"/>
    <w:rsid w:val="4C9108C5"/>
    <w:rsid w:val="4CC633CC"/>
    <w:rsid w:val="4D310C0B"/>
    <w:rsid w:val="51755157"/>
    <w:rsid w:val="52FC70EE"/>
    <w:rsid w:val="539A3F28"/>
    <w:rsid w:val="541D4D3F"/>
    <w:rsid w:val="546972DB"/>
    <w:rsid w:val="57406DCD"/>
    <w:rsid w:val="577A68E3"/>
    <w:rsid w:val="59DC7897"/>
    <w:rsid w:val="5B7C3308"/>
    <w:rsid w:val="5FBD0305"/>
    <w:rsid w:val="66026A8D"/>
    <w:rsid w:val="670E5C28"/>
    <w:rsid w:val="671724CF"/>
    <w:rsid w:val="672F1649"/>
    <w:rsid w:val="68140D9E"/>
    <w:rsid w:val="6A90499F"/>
    <w:rsid w:val="6F854425"/>
    <w:rsid w:val="6FA33F27"/>
    <w:rsid w:val="70E578B1"/>
    <w:rsid w:val="70EE4D9C"/>
    <w:rsid w:val="71DC7119"/>
    <w:rsid w:val="72E338BB"/>
    <w:rsid w:val="75FB4537"/>
    <w:rsid w:val="7B521FC3"/>
    <w:rsid w:val="7BB503D6"/>
    <w:rsid w:val="7D227959"/>
    <w:rsid w:val="7D323676"/>
    <w:rsid w:val="7E297246"/>
    <w:rsid w:val="7ECA5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sz w:val="18"/>
      <w:szCs w:val="18"/>
    </w:rPr>
  </w:style>
  <w:style w:type="paragraph" w:styleId="3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Times New Roman"/>
      <w:sz w:val="18"/>
      <w:szCs w:val="18"/>
    </w:rPr>
  </w:style>
  <w:style w:type="paragraph" w:styleId="4">
    <w:name w:val="toc 1"/>
    <w:basedOn w:val="1"/>
    <w:next w:val="1"/>
    <w:qFormat/>
    <w:uiPriority w:val="0"/>
    <w:rPr>
      <w:rFonts w:ascii="Times New Roman" w:hAnsi="Times New Roman" w:cs="Times New Roman"/>
      <w:szCs w:val="24"/>
    </w:rPr>
  </w:style>
  <w:style w:type="paragraph" w:styleId="5">
    <w:name w:val="toc 2"/>
    <w:basedOn w:val="1"/>
    <w:next w:val="1"/>
    <w:qFormat/>
    <w:uiPriority w:val="0"/>
    <w:pPr>
      <w:ind w:left="420" w:leftChars="200"/>
    </w:pPr>
    <w:rPr>
      <w:rFonts w:ascii="Times New Roman" w:hAnsi="Times New Roman" w:cs="Times New Roman"/>
      <w:szCs w:val="24"/>
    </w:rPr>
  </w:style>
  <w:style w:type="character" w:styleId="8">
    <w:name w:val="page number"/>
    <w:basedOn w:val="7"/>
    <w:unhideWhenUsed/>
    <w:qFormat/>
    <w:uiPriority w:val="0"/>
  </w:style>
  <w:style w:type="character" w:customStyle="1" w:styleId="9">
    <w:name w:val="页脚 Char"/>
    <w:basedOn w:val="7"/>
    <w:link w:val="2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眉 Char"/>
    <w:basedOn w:val="7"/>
    <w:link w:val="3"/>
    <w:qFormat/>
    <w:uiPriority w:val="0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5654</Words>
  <Characters>5925</Characters>
  <Lines>45</Lines>
  <Paragraphs>12</Paragraphs>
  <TotalTime>186</TotalTime>
  <ScaleCrop>false</ScaleCrop>
  <LinksUpToDate>false</LinksUpToDate>
  <CharactersWithSpaces>5965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2017-01-20T01:29:00Z</dcterms:created>
  <dc:creator>guest</dc:creator>
  <cp:lastModifiedBy>你渴望力量吗？</cp:lastModifiedBy>
  <cp:lastPrinted>2019-06-24T08:22:00Z</cp:lastPrinted>
  <dcterms:modified xsi:type="dcterms:W3CDTF">2025-02-28T01:37:00Z</dcterms:modified>
  <cp:revision>2</cp:revision>
  <dc:title>河北省2017年部门预算信息公开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B6A0FC289B8F437CB6CF064584D13675</vt:lpwstr>
  </property>
  <property fmtid="{D5CDD505-2E9C-101B-9397-08002B2CF9AE}" pid="4" name="KSOTemplateDocerSaveRecord">
    <vt:lpwstr>eyJoZGlkIjoiZDE4NWUwZWQ0ZWY4NGY5MjZkYzU3ZGI3ODMyNmNiNmIiLCJ1c2VySWQiOiI1MTM2NDE5MjQifQ==</vt:lpwstr>
  </property>
</Properties>
</file>