
<file path=[Content_Types].xml><?xml version="1.0" encoding="utf-8"?>
<Types xmlns="http://schemas.openxmlformats.org/package/2006/content-types">
  <Default ContentType="application/vnd.openxmlformats-officedocument.oleObject" Extension="bin"/>
  <Default ContentType="image/x-emf" Extension="emf"/>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651681">
      <w:pPr>
        <w:jc w:val="center"/>
      </w:pPr>
      <w:r>
        <w:rPr>
          <w:rFonts w:ascii="宋体" w:hAnsi="宋体" w:eastAsia="宋体" w:cs="宋体"/>
          <w:color w:val="000000"/>
          <w:sz w:val="21"/>
        </w:rPr>
        <w:t xml:space="preserve"> </w:t>
      </w:r>
    </w:p>
    <w:p w14:paraId="5F32B025">
      <w:pPr>
        <w:jc w:val="center"/>
      </w:pPr>
      <w:r>
        <w:rPr>
          <w:rFonts w:ascii="宋体" w:hAnsi="宋体" w:eastAsia="宋体" w:cs="宋体"/>
          <w:color w:val="000000"/>
          <w:sz w:val="21"/>
        </w:rPr>
        <w:t xml:space="preserve"> </w:t>
      </w:r>
    </w:p>
    <w:p w14:paraId="16C88B4E">
      <w:pPr>
        <w:jc w:val="center"/>
      </w:pPr>
      <w:r>
        <w:rPr>
          <w:rFonts w:ascii="宋体" w:hAnsi="宋体" w:eastAsia="宋体" w:cs="宋体"/>
          <w:color w:val="000000"/>
          <w:sz w:val="21"/>
        </w:rPr>
        <w:t xml:space="preserve"> </w:t>
      </w:r>
    </w:p>
    <w:p w14:paraId="0DD5C521">
      <w:pPr>
        <w:jc w:val="center"/>
      </w:pPr>
      <w:r>
        <w:rPr>
          <w:rFonts w:ascii="宋体" w:hAnsi="宋体" w:eastAsia="宋体" w:cs="宋体"/>
          <w:color w:val="000000"/>
          <w:sz w:val="21"/>
        </w:rPr>
        <w:t xml:space="preserve"> </w:t>
      </w:r>
    </w:p>
    <w:p w14:paraId="5709517C">
      <w:pPr>
        <w:jc w:val="center"/>
      </w:pPr>
      <w:r>
        <w:rPr>
          <w:rFonts w:ascii="宋体" w:hAnsi="宋体" w:eastAsia="宋体" w:cs="宋体"/>
          <w:color w:val="000000"/>
          <w:sz w:val="21"/>
        </w:rPr>
        <w:t xml:space="preserve"> </w:t>
      </w:r>
    </w:p>
    <w:p w14:paraId="7C3ED1A0">
      <w:pPr>
        <w:jc w:val="center"/>
      </w:pPr>
      <w:r>
        <w:rPr>
          <w:rFonts w:ascii="宋体" w:hAnsi="宋体" w:eastAsia="宋体" w:cs="宋体"/>
          <w:color w:val="000000"/>
          <w:sz w:val="21"/>
        </w:rPr>
        <w:t xml:space="preserve"> </w:t>
      </w:r>
    </w:p>
    <w:p w14:paraId="5B528FF8">
      <w:pPr>
        <w:jc w:val="center"/>
      </w:pPr>
      <w:r>
        <w:rPr>
          <w:rFonts w:ascii="方正小标宋_GBK" w:hAnsi="方正小标宋_GBK" w:eastAsia="方正小标宋_GBK" w:cs="方正小标宋_GBK"/>
          <w:color w:val="000000"/>
          <w:sz w:val="72"/>
        </w:rPr>
        <w:t>宁晋县人民代表大会常务委员</w:t>
      </w:r>
      <w:bookmarkStart w:id="4" w:name="_GoBack"/>
      <w:bookmarkEnd w:id="4"/>
      <w:r>
        <w:rPr>
          <w:rFonts w:ascii="方正小标宋_GBK" w:hAnsi="方正小标宋_GBK" w:eastAsia="方正小标宋_GBK" w:cs="方正小标宋_GBK"/>
          <w:color w:val="000000"/>
          <w:sz w:val="72"/>
        </w:rPr>
        <w:t>会办公室</w:t>
      </w:r>
    </w:p>
    <w:p w14:paraId="488AA75B">
      <w:pPr>
        <w:jc w:val="center"/>
      </w:pPr>
      <w:r>
        <w:rPr>
          <w:rFonts w:ascii="方正小标宋_GBK" w:hAnsi="方正小标宋_GBK" w:eastAsia="方正小标宋_GBK" w:cs="方正小标宋_GBK"/>
          <w:color w:val="000000"/>
          <w:sz w:val="72"/>
        </w:rPr>
        <w:t>202</w:t>
      </w:r>
      <w:r>
        <w:rPr>
          <w:rFonts w:hint="eastAsia" w:ascii="方正小标宋_GBK" w:hAnsi="方正小标宋_GBK" w:eastAsia="方正小标宋_GBK" w:cs="方正小标宋_GBK"/>
          <w:color w:val="000000"/>
          <w:sz w:val="72"/>
          <w:lang w:val="en-US" w:eastAsia="zh-CN"/>
        </w:rPr>
        <w:t>1</w:t>
      </w:r>
      <w:r>
        <w:rPr>
          <w:rFonts w:ascii="方正小标宋_GBK" w:hAnsi="方正小标宋_GBK" w:eastAsia="方正小标宋_GBK" w:cs="方正小标宋_GBK"/>
          <w:color w:val="000000"/>
          <w:sz w:val="72"/>
        </w:rPr>
        <w:t>年</w:t>
      </w:r>
      <w:r>
        <w:rPr>
          <w:rFonts w:hint="eastAsia" w:ascii="方正小标宋_GBK" w:hAnsi="方正小标宋_GBK" w:eastAsia="方正小标宋_GBK" w:cs="方正小标宋_GBK"/>
          <w:color w:val="000000"/>
          <w:sz w:val="72"/>
          <w:lang w:eastAsia="zh-CN"/>
        </w:rPr>
        <w:t>部门</w:t>
      </w:r>
      <w:r>
        <w:rPr>
          <w:rFonts w:ascii="方正小标宋_GBK" w:hAnsi="方正小标宋_GBK" w:eastAsia="方正小标宋_GBK" w:cs="方正小标宋_GBK"/>
          <w:color w:val="000000"/>
          <w:sz w:val="72"/>
        </w:rPr>
        <w:t>预算</w:t>
      </w:r>
    </w:p>
    <w:p w14:paraId="4EB4847C">
      <w:pPr>
        <w:jc w:val="center"/>
      </w:pPr>
      <w:r>
        <w:rPr>
          <w:rFonts w:ascii="方正小标宋_GBK" w:hAnsi="方正小标宋_GBK" w:eastAsia="方正小标宋_GBK" w:cs="方正小标宋_GBK"/>
          <w:color w:val="000000"/>
          <w:sz w:val="52"/>
        </w:rPr>
        <w:t>（草案）</w:t>
      </w:r>
    </w:p>
    <w:p w14:paraId="1C9AAE02">
      <w:pPr>
        <w:jc w:val="center"/>
      </w:pPr>
      <w:r>
        <w:rPr>
          <w:rFonts w:ascii="宋体" w:hAnsi="宋体" w:eastAsia="宋体" w:cs="宋体"/>
          <w:color w:val="000000"/>
          <w:sz w:val="21"/>
        </w:rPr>
        <w:t xml:space="preserve"> </w:t>
      </w:r>
    </w:p>
    <w:p w14:paraId="03C3CE84">
      <w:pPr>
        <w:jc w:val="center"/>
      </w:pPr>
      <w:r>
        <w:rPr>
          <w:rFonts w:ascii="宋体" w:hAnsi="宋体" w:eastAsia="宋体" w:cs="宋体"/>
          <w:color w:val="000000"/>
          <w:sz w:val="21"/>
        </w:rPr>
        <w:t xml:space="preserve"> </w:t>
      </w:r>
    </w:p>
    <w:p w14:paraId="3A9AF170">
      <w:pPr>
        <w:jc w:val="center"/>
      </w:pPr>
      <w:r>
        <w:rPr>
          <w:rFonts w:ascii="宋体" w:hAnsi="宋体" w:eastAsia="宋体" w:cs="宋体"/>
          <w:color w:val="000000"/>
          <w:sz w:val="21"/>
        </w:rPr>
        <w:t xml:space="preserve"> </w:t>
      </w:r>
    </w:p>
    <w:p w14:paraId="1B153149">
      <w:pPr>
        <w:jc w:val="center"/>
      </w:pPr>
      <w:r>
        <w:rPr>
          <w:rFonts w:ascii="宋体" w:hAnsi="宋体" w:eastAsia="宋体" w:cs="宋体"/>
          <w:color w:val="000000"/>
          <w:sz w:val="21"/>
        </w:rPr>
        <w:t xml:space="preserve"> </w:t>
      </w:r>
    </w:p>
    <w:p w14:paraId="766FEDD8">
      <w:pPr>
        <w:jc w:val="center"/>
      </w:pPr>
      <w:r>
        <w:rPr>
          <w:rFonts w:ascii="宋体" w:hAnsi="宋体" w:eastAsia="宋体" w:cs="宋体"/>
          <w:color w:val="000000"/>
          <w:sz w:val="21"/>
        </w:rPr>
        <w:t xml:space="preserve"> </w:t>
      </w:r>
    </w:p>
    <w:p w14:paraId="65C721AA">
      <w:pPr>
        <w:jc w:val="center"/>
      </w:pPr>
      <w:r>
        <w:rPr>
          <w:rFonts w:ascii="宋体" w:hAnsi="宋体" w:eastAsia="宋体" w:cs="宋体"/>
          <w:color w:val="000000"/>
          <w:sz w:val="21"/>
        </w:rPr>
        <w:t xml:space="preserve"> </w:t>
      </w:r>
    </w:p>
    <w:p w14:paraId="055B4E1E">
      <w:pPr>
        <w:jc w:val="center"/>
      </w:pPr>
      <w:r>
        <w:rPr>
          <w:rFonts w:ascii="宋体" w:hAnsi="宋体" w:eastAsia="宋体" w:cs="宋体"/>
          <w:color w:val="000000"/>
          <w:sz w:val="21"/>
        </w:rPr>
        <w:t xml:space="preserve"> </w:t>
      </w:r>
    </w:p>
    <w:p w14:paraId="50D3B3E0">
      <w:pPr>
        <w:jc w:val="center"/>
      </w:pPr>
      <w:r>
        <w:rPr>
          <w:rFonts w:ascii="宋体" w:hAnsi="宋体" w:eastAsia="宋体" w:cs="宋体"/>
          <w:color w:val="000000"/>
          <w:sz w:val="21"/>
        </w:rPr>
        <w:t xml:space="preserve"> </w:t>
      </w:r>
    </w:p>
    <w:p w14:paraId="44CDB663">
      <w:pPr>
        <w:jc w:val="center"/>
      </w:pPr>
      <w:r>
        <w:rPr>
          <w:rFonts w:ascii="宋体" w:hAnsi="宋体" w:eastAsia="宋体" w:cs="宋体"/>
          <w:color w:val="000000"/>
          <w:sz w:val="21"/>
        </w:rPr>
        <w:t xml:space="preserve"> </w:t>
      </w:r>
    </w:p>
    <w:p w14:paraId="5CFED616">
      <w:pPr>
        <w:jc w:val="center"/>
      </w:pPr>
      <w:r>
        <w:rPr>
          <w:rFonts w:ascii="宋体" w:hAnsi="宋体" w:eastAsia="宋体" w:cs="宋体"/>
          <w:color w:val="000000"/>
          <w:sz w:val="21"/>
        </w:rPr>
        <w:t xml:space="preserve"> </w:t>
      </w:r>
    </w:p>
    <w:p w14:paraId="29384DC1">
      <w:pPr>
        <w:jc w:val="center"/>
      </w:pPr>
      <w:r>
        <w:rPr>
          <w:rFonts w:ascii="宋体" w:hAnsi="宋体" w:eastAsia="宋体" w:cs="宋体"/>
          <w:color w:val="000000"/>
          <w:sz w:val="21"/>
        </w:rPr>
        <w:t xml:space="preserve"> </w:t>
      </w:r>
    </w:p>
    <w:p w14:paraId="5BF3027B">
      <w:pPr>
        <w:jc w:val="center"/>
      </w:pPr>
      <w:r>
        <w:rPr>
          <w:rFonts w:ascii="宋体" w:hAnsi="宋体" w:eastAsia="宋体" w:cs="宋体"/>
          <w:color w:val="000000"/>
          <w:sz w:val="21"/>
        </w:rPr>
        <w:t xml:space="preserve"> </w:t>
      </w:r>
    </w:p>
    <w:p w14:paraId="6641394C">
      <w:pPr>
        <w:jc w:val="center"/>
      </w:pPr>
      <w:r>
        <w:rPr>
          <w:rFonts w:ascii="宋体" w:hAnsi="宋体" w:eastAsia="宋体" w:cs="宋体"/>
          <w:color w:val="000000"/>
          <w:sz w:val="21"/>
        </w:rPr>
        <w:t xml:space="preserve"> </w:t>
      </w:r>
    </w:p>
    <w:p w14:paraId="1B4B4F0E">
      <w:pPr>
        <w:jc w:val="center"/>
      </w:pPr>
      <w:r>
        <w:rPr>
          <w:rFonts w:ascii="宋体" w:hAnsi="宋体" w:eastAsia="宋体" w:cs="宋体"/>
          <w:color w:val="000000"/>
          <w:sz w:val="21"/>
        </w:rPr>
        <w:t xml:space="preserve"> </w:t>
      </w:r>
    </w:p>
    <w:p w14:paraId="5764AD71">
      <w:pPr>
        <w:jc w:val="center"/>
      </w:pPr>
      <w:r>
        <w:rPr>
          <w:rFonts w:ascii="宋体" w:hAnsi="宋体" w:eastAsia="宋体" w:cs="宋体"/>
          <w:color w:val="000000"/>
          <w:sz w:val="21"/>
        </w:rPr>
        <w:t xml:space="preserve"> </w:t>
      </w:r>
    </w:p>
    <w:p w14:paraId="2D3CDD9A">
      <w:pPr>
        <w:jc w:val="center"/>
      </w:pPr>
      <w:r>
        <w:rPr>
          <w:rFonts w:ascii="宋体" w:hAnsi="宋体" w:eastAsia="宋体" w:cs="宋体"/>
          <w:color w:val="000000"/>
          <w:sz w:val="21"/>
        </w:rPr>
        <w:t xml:space="preserve"> </w:t>
      </w:r>
    </w:p>
    <w:p w14:paraId="35F10AA2">
      <w:pPr>
        <w:jc w:val="center"/>
      </w:pPr>
      <w:r>
        <w:rPr>
          <w:rFonts w:ascii="宋体" w:hAnsi="宋体" w:eastAsia="宋体" w:cs="宋体"/>
          <w:color w:val="000000"/>
          <w:sz w:val="21"/>
        </w:rPr>
        <w:t xml:space="preserve"> </w:t>
      </w:r>
    </w:p>
    <w:p w14:paraId="604C8C1E">
      <w:pPr>
        <w:jc w:val="center"/>
      </w:pPr>
      <w:r>
        <w:rPr>
          <w:rFonts w:ascii="宋体" w:hAnsi="宋体" w:eastAsia="宋体" w:cs="宋体"/>
          <w:color w:val="000000"/>
          <w:sz w:val="21"/>
        </w:rPr>
        <w:t xml:space="preserve"> </w:t>
      </w:r>
    </w:p>
    <w:p w14:paraId="5C1FD996">
      <w:pPr>
        <w:jc w:val="center"/>
      </w:pPr>
      <w:r>
        <w:rPr>
          <w:rFonts w:ascii="宋体" w:hAnsi="宋体" w:eastAsia="宋体" w:cs="宋体"/>
          <w:color w:val="000000"/>
          <w:sz w:val="21"/>
        </w:rPr>
        <w:t xml:space="preserve"> </w:t>
      </w:r>
    </w:p>
    <w:p w14:paraId="51C2941E">
      <w:pPr>
        <w:jc w:val="center"/>
        <w:outlineLvl w:val="0"/>
        <w:rPr>
          <w:rFonts w:ascii="黑体" w:hAnsi="黑体" w:eastAsia="黑体" w:cs="黑体"/>
          <w:b/>
          <w:color w:val="000000"/>
          <w:sz w:val="44"/>
        </w:rPr>
        <w:sectPr>
          <w:pgSz w:w="16840" w:h="11900" w:orient="landscape"/>
          <w:pgMar w:top="720" w:right="720" w:bottom="720" w:left="720" w:header="720" w:footer="720" w:gutter="0"/>
          <w:pgNumType w:start="1"/>
          <w:cols w:space="720" w:num="1"/>
        </w:sectPr>
      </w:pPr>
    </w:p>
    <w:p w14:paraId="46F54E9A">
      <w:pPr>
        <w:jc w:val="center"/>
        <w:outlineLvl w:val="0"/>
        <w:rPr>
          <w:rFonts w:ascii="黑体" w:hAnsi="黑体" w:eastAsia="黑体" w:cs="黑体"/>
          <w:b/>
          <w:color w:val="000000"/>
          <w:sz w:val="44"/>
        </w:rPr>
      </w:pPr>
    </w:p>
    <w:p w14:paraId="55C99426">
      <w:pPr>
        <w:keepNext w:val="0"/>
        <w:keepLines w:val="0"/>
        <w:pageBreakBefore w:val="0"/>
        <w:widowControl/>
        <w:kinsoku/>
        <w:wordWrap/>
        <w:overflowPunct/>
        <w:topLinePunct w:val="0"/>
        <w:autoSpaceDE/>
        <w:autoSpaceDN/>
        <w:bidi w:val="0"/>
        <w:adjustRightInd/>
        <w:snapToGrid w:val="0"/>
        <w:spacing w:line="240" w:lineRule="auto"/>
        <w:jc w:val="center"/>
        <w:textAlignment w:val="auto"/>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1</w:t>
      </w:r>
      <w:r>
        <w:rPr>
          <w:rFonts w:ascii="黑体" w:hAnsi="黑体" w:eastAsia="黑体" w:cs="黑体"/>
          <w:b/>
          <w:color w:val="000000"/>
          <w:sz w:val="44"/>
        </w:rPr>
        <w:t>年</w:t>
      </w:r>
      <w:r>
        <w:rPr>
          <w:rFonts w:hint="eastAsia" w:ascii="黑体" w:hAnsi="黑体" w:eastAsia="黑体" w:cs="黑体"/>
          <w:b/>
          <w:color w:val="000000"/>
          <w:sz w:val="44"/>
          <w:lang w:eastAsia="zh-CN"/>
        </w:rPr>
        <w:t>部门</w:t>
      </w:r>
      <w:r>
        <w:rPr>
          <w:rFonts w:ascii="黑体" w:hAnsi="黑体" w:eastAsia="黑体" w:cs="黑体"/>
          <w:b/>
          <w:color w:val="000000"/>
          <w:sz w:val="44"/>
        </w:rPr>
        <w:t>预算信息公开目录</w:t>
      </w:r>
    </w:p>
    <w:p w14:paraId="74751329">
      <w:pPr>
        <w:keepNext w:val="0"/>
        <w:keepLines w:val="0"/>
        <w:pageBreakBefore w:val="0"/>
        <w:widowControl/>
        <w:kinsoku/>
        <w:wordWrap/>
        <w:overflowPunct/>
        <w:topLinePunct w:val="0"/>
        <w:autoSpaceDE/>
        <w:autoSpaceDN/>
        <w:bidi w:val="0"/>
        <w:adjustRightInd/>
        <w:snapToGrid w:val="0"/>
        <w:spacing w:line="240" w:lineRule="auto"/>
        <w:jc w:val="center"/>
        <w:textAlignment w:val="auto"/>
      </w:pPr>
      <w:r>
        <w:rPr>
          <w:rFonts w:ascii="黑体" w:hAnsi="黑体" w:eastAsia="黑体" w:cs="黑体"/>
          <w:b/>
          <w:color w:val="000000"/>
          <w:sz w:val="30"/>
        </w:rPr>
        <w:t xml:space="preserve"> 第一部分  </w:t>
      </w:r>
      <w:r>
        <w:rPr>
          <w:rFonts w:hint="eastAsia" w:ascii="黑体" w:hAnsi="黑体" w:eastAsia="黑体" w:cs="黑体"/>
          <w:b/>
          <w:color w:val="000000"/>
          <w:sz w:val="30"/>
          <w:lang w:eastAsia="zh-CN"/>
        </w:rPr>
        <w:t>部门</w:t>
      </w:r>
      <w:r>
        <w:rPr>
          <w:rFonts w:ascii="黑体" w:hAnsi="黑体" w:eastAsia="黑体" w:cs="黑体"/>
          <w:b/>
          <w:color w:val="000000"/>
          <w:sz w:val="30"/>
        </w:rPr>
        <w:t>预算</w:t>
      </w:r>
    </w:p>
    <w:p w14:paraId="5F23FBAB">
      <w:pPr>
        <w:keepNext w:val="0"/>
        <w:keepLines w:val="0"/>
        <w:pageBreakBefore w:val="0"/>
        <w:widowControl/>
        <w:kinsoku/>
        <w:wordWrap/>
        <w:overflowPunct/>
        <w:topLinePunct w:val="0"/>
        <w:autoSpaceDE/>
        <w:autoSpaceDN/>
        <w:bidi w:val="0"/>
        <w:adjustRightInd/>
        <w:snapToGrid/>
        <w:spacing w:line="240" w:lineRule="auto"/>
        <w:textAlignment w:val="auto"/>
      </w:pPr>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预算公开表</w:t>
      </w:r>
    </w:p>
    <w:p w14:paraId="04944005">
      <w:r>
        <w:fldChar w:fldCharType="begin"/>
      </w:r>
      <w:r>
        <w:instrText xml:space="preserve">TOC \o "2-2" \h \z \u</w:instrText>
      </w:r>
      <w:r>
        <w:fldChar w:fldCharType="separate"/>
      </w:r>
    </w:p>
    <w:p w14:paraId="468221B1">
      <w:pPr>
        <w:pStyle w:val="21"/>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部门</w:t>
      </w:r>
      <w:r>
        <w:t>预算收支总表</w:t>
      </w:r>
      <w:r>
        <w:tab/>
      </w:r>
      <w:r>
        <w:rPr>
          <w:rFonts w:hint="eastAsia"/>
          <w:lang w:val="en-US" w:eastAsia="zh-CN"/>
        </w:rPr>
        <w:t>4</w:t>
      </w:r>
      <w:r>
        <w:fldChar w:fldCharType="end"/>
      </w:r>
    </w:p>
    <w:p w14:paraId="4F241B1C">
      <w:pPr>
        <w:pStyle w:val="21"/>
        <w:tabs>
          <w:tab w:val="right" w:leader="dot" w:pos="14562"/>
        </w:tabs>
      </w:pPr>
      <w:r>
        <w:fldChar w:fldCharType="begin"/>
      </w:r>
      <w:r>
        <w:instrText xml:space="preserve"> HYPERLINK \l "_Toc_2_2_0000000002" </w:instrText>
      </w:r>
      <w:r>
        <w:fldChar w:fldCharType="separate"/>
      </w:r>
      <w:r>
        <w:rPr>
          <w:rFonts w:hint="eastAsia"/>
          <w:lang w:eastAsia="zh-CN"/>
        </w:rPr>
        <w:t>部门</w:t>
      </w:r>
      <w:r>
        <w:t>预算收入总表</w:t>
      </w:r>
      <w:r>
        <w:tab/>
      </w:r>
      <w:r>
        <w:rPr>
          <w:rFonts w:hint="eastAsia"/>
          <w:lang w:val="en-US" w:eastAsia="zh-CN"/>
        </w:rPr>
        <w:t>5</w:t>
      </w:r>
      <w:r>
        <w:fldChar w:fldCharType="end"/>
      </w:r>
    </w:p>
    <w:p w14:paraId="205A65BD">
      <w:pPr>
        <w:pStyle w:val="21"/>
        <w:tabs>
          <w:tab w:val="right" w:leader="dot" w:pos="14562"/>
        </w:tabs>
      </w:pPr>
      <w:r>
        <w:fldChar w:fldCharType="begin"/>
      </w:r>
      <w:r>
        <w:instrText xml:space="preserve"> HYPERLINK \l "_Toc_2_2_0000000003" </w:instrText>
      </w:r>
      <w:r>
        <w:fldChar w:fldCharType="separate"/>
      </w:r>
      <w:r>
        <w:rPr>
          <w:rFonts w:hint="eastAsia"/>
          <w:lang w:eastAsia="zh-CN"/>
        </w:rPr>
        <w:t>部门</w:t>
      </w:r>
      <w:r>
        <w:t>预算支出总表</w:t>
      </w:r>
      <w:r>
        <w:tab/>
      </w:r>
      <w:r>
        <w:rPr>
          <w:rFonts w:hint="eastAsia"/>
          <w:lang w:val="en-US" w:eastAsia="zh-CN"/>
        </w:rPr>
        <w:t>6</w:t>
      </w:r>
      <w:r>
        <w:fldChar w:fldCharType="end"/>
      </w:r>
    </w:p>
    <w:p w14:paraId="18832047">
      <w:pPr>
        <w:pStyle w:val="21"/>
        <w:tabs>
          <w:tab w:val="right" w:leader="dot" w:pos="14562"/>
        </w:tabs>
      </w:pPr>
      <w:r>
        <w:fldChar w:fldCharType="begin"/>
      </w:r>
      <w:r>
        <w:instrText xml:space="preserve"> HYPERLINK \l "_Toc_2_2_0000000004" </w:instrText>
      </w:r>
      <w:r>
        <w:fldChar w:fldCharType="separate"/>
      </w:r>
      <w:r>
        <w:rPr>
          <w:rFonts w:hint="eastAsia"/>
          <w:lang w:eastAsia="zh-CN"/>
        </w:rPr>
        <w:t>部门</w:t>
      </w:r>
      <w:r>
        <w:t>预算财政拨款收支总表</w:t>
      </w:r>
      <w:r>
        <w:tab/>
      </w:r>
      <w:r>
        <w:rPr>
          <w:rFonts w:hint="eastAsia"/>
          <w:lang w:val="en-US" w:eastAsia="zh-CN"/>
        </w:rPr>
        <w:t>7</w:t>
      </w:r>
      <w:r>
        <w:fldChar w:fldCharType="end"/>
      </w:r>
    </w:p>
    <w:p w14:paraId="1B765641">
      <w:pPr>
        <w:pStyle w:val="21"/>
        <w:tabs>
          <w:tab w:val="right" w:leader="dot" w:pos="14562"/>
        </w:tabs>
      </w:pPr>
      <w:r>
        <w:fldChar w:fldCharType="begin"/>
      </w:r>
      <w:r>
        <w:instrText xml:space="preserve"> HYPERLINK \l "_Toc_2_2_0000000005" </w:instrText>
      </w:r>
      <w:r>
        <w:fldChar w:fldCharType="separate"/>
      </w:r>
      <w:r>
        <w:rPr>
          <w:rFonts w:hint="eastAsia"/>
          <w:lang w:eastAsia="zh-CN"/>
        </w:rPr>
        <w:t>部门</w:t>
      </w:r>
      <w:r>
        <w:t>预算一般公共预算财政拨款支出表</w:t>
      </w:r>
      <w:r>
        <w:tab/>
      </w:r>
      <w:r>
        <w:rPr>
          <w:rFonts w:hint="eastAsia"/>
          <w:lang w:val="en-US" w:eastAsia="zh-CN"/>
        </w:rPr>
        <w:t>8</w:t>
      </w:r>
      <w:r>
        <w:fldChar w:fldCharType="end"/>
      </w:r>
    </w:p>
    <w:p w14:paraId="7A2E1E50">
      <w:pPr>
        <w:pStyle w:val="21"/>
        <w:tabs>
          <w:tab w:val="right" w:leader="dot" w:pos="14562"/>
        </w:tabs>
      </w:pPr>
      <w:r>
        <w:fldChar w:fldCharType="begin"/>
      </w:r>
      <w:r>
        <w:instrText xml:space="preserve"> HYPERLINK \l "_Toc_2_2_0000000006" </w:instrText>
      </w:r>
      <w:r>
        <w:fldChar w:fldCharType="separate"/>
      </w:r>
      <w:r>
        <w:rPr>
          <w:rFonts w:hint="eastAsia"/>
          <w:lang w:eastAsia="zh-CN"/>
        </w:rPr>
        <w:t>部门</w:t>
      </w:r>
      <w:r>
        <w:t>预算一般公共预算财政拨款基本支出表</w:t>
      </w:r>
      <w:r>
        <w:tab/>
      </w:r>
      <w:r>
        <w:rPr>
          <w:rFonts w:hint="eastAsia"/>
          <w:lang w:val="en-US" w:eastAsia="zh-CN"/>
        </w:rPr>
        <w:t>9</w:t>
      </w:r>
      <w:r>
        <w:fldChar w:fldCharType="end"/>
      </w:r>
    </w:p>
    <w:p w14:paraId="0DB3D3B4">
      <w:pPr>
        <w:pStyle w:val="21"/>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部门</w:t>
      </w:r>
      <w:r>
        <w:t>预算政府基金预算财政拨款支出表</w:t>
      </w:r>
      <w:r>
        <w:tab/>
      </w:r>
      <w:r>
        <w:rPr>
          <w:rFonts w:hint="eastAsia"/>
          <w:lang w:val="en-US" w:eastAsia="zh-CN"/>
        </w:rPr>
        <w:t>1</w:t>
      </w:r>
      <w:r>
        <w:fldChar w:fldCharType="end"/>
      </w:r>
      <w:r>
        <w:rPr>
          <w:rFonts w:hint="eastAsia"/>
          <w:lang w:val="en-US" w:eastAsia="zh-CN"/>
        </w:rPr>
        <w:t>0</w:t>
      </w:r>
    </w:p>
    <w:p w14:paraId="4BB60BBA">
      <w:pPr>
        <w:pStyle w:val="21"/>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部门</w:t>
      </w:r>
      <w:r>
        <w:t>预算国有资本经营预算财政拨款支出表</w:t>
      </w:r>
      <w:r>
        <w:tab/>
      </w:r>
      <w:r>
        <w:rPr>
          <w:rFonts w:hint="eastAsia"/>
          <w:lang w:val="en-US" w:eastAsia="zh-CN"/>
        </w:rPr>
        <w:t>1</w:t>
      </w:r>
      <w:r>
        <w:fldChar w:fldCharType="end"/>
      </w:r>
      <w:r>
        <w:rPr>
          <w:rFonts w:hint="eastAsia"/>
          <w:lang w:val="en-US" w:eastAsia="zh-CN"/>
        </w:rPr>
        <w:t>1</w:t>
      </w:r>
    </w:p>
    <w:p w14:paraId="200BB2FF">
      <w:pPr>
        <w:pStyle w:val="21"/>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部门</w:t>
      </w:r>
      <w:r>
        <w:t>预算财政拨款“三公”经费支出表</w:t>
      </w:r>
      <w:r>
        <w:tab/>
      </w:r>
      <w:r>
        <w:rPr>
          <w:rFonts w:hint="eastAsia"/>
          <w:lang w:val="en-US" w:eastAsia="zh-CN"/>
        </w:rPr>
        <w:t>1</w:t>
      </w:r>
      <w:r>
        <w:fldChar w:fldCharType="end"/>
      </w:r>
      <w:r>
        <w:rPr>
          <w:rFonts w:hint="eastAsia"/>
          <w:lang w:val="en-US" w:eastAsia="zh-CN"/>
        </w:rPr>
        <w:t>2</w:t>
      </w:r>
    </w:p>
    <w:p w14:paraId="57C31A23">
      <w:r>
        <w:fldChar w:fldCharType="end"/>
      </w:r>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预算信息公开情况说明</w:t>
      </w:r>
    </w:p>
    <w:p w14:paraId="58F3599C">
      <w:pPr>
        <w:pStyle w:val="21"/>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部门</w:t>
      </w:r>
      <w:r>
        <w:t>职责及机构设置情况</w:t>
      </w:r>
      <w:r>
        <w:tab/>
      </w:r>
      <w:r>
        <w:fldChar w:fldCharType="begin"/>
      </w:r>
      <w:r>
        <w:instrText xml:space="preserve">PAGEREF _Toc_3_3_0000000010 \h</w:instrText>
      </w:r>
      <w:r>
        <w:fldChar w:fldCharType="separate"/>
      </w:r>
      <w:r>
        <w:t>1</w:t>
      </w:r>
      <w:r>
        <w:rPr>
          <w:rFonts w:hint="eastAsia"/>
          <w:lang w:val="en-US" w:eastAsia="zh-CN"/>
        </w:rPr>
        <w:t>3</w:t>
      </w:r>
      <w:r>
        <w:fldChar w:fldCharType="end"/>
      </w:r>
      <w:r>
        <w:fldChar w:fldCharType="end"/>
      </w:r>
    </w:p>
    <w:p w14:paraId="26A2FF22">
      <w:pPr>
        <w:pStyle w:val="21"/>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部门</w:t>
      </w:r>
      <w:r>
        <w:t>预算安排的总体情况</w:t>
      </w:r>
      <w:r>
        <w:tab/>
      </w:r>
      <w:r>
        <w:rPr>
          <w:rFonts w:hint="eastAsia"/>
          <w:lang w:val="en-US" w:eastAsia="zh-CN"/>
        </w:rPr>
        <w:t>1</w:t>
      </w:r>
      <w:r>
        <w:fldChar w:fldCharType="end"/>
      </w:r>
      <w:r>
        <w:rPr>
          <w:rFonts w:hint="eastAsia"/>
          <w:lang w:val="en-US" w:eastAsia="zh-CN"/>
        </w:rPr>
        <w:t>4</w:t>
      </w:r>
    </w:p>
    <w:p w14:paraId="2463BC32">
      <w:pPr>
        <w:pStyle w:val="21"/>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val="en-US" w:eastAsia="zh-CN"/>
        </w:rPr>
        <w:t>15</w:t>
      </w:r>
      <w:r>
        <w:fldChar w:fldCharType="end"/>
      </w:r>
    </w:p>
    <w:p w14:paraId="7DF0BA20">
      <w:pPr>
        <w:pStyle w:val="21"/>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5</w:t>
      </w:r>
    </w:p>
    <w:p w14:paraId="1EDB6E44">
      <w:pPr>
        <w:pStyle w:val="21"/>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5</w:t>
      </w:r>
    </w:p>
    <w:p w14:paraId="4890071C">
      <w:pPr>
        <w:pStyle w:val="21"/>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1</w:t>
      </w:r>
      <w:r>
        <w:fldChar w:fldCharType="end"/>
      </w:r>
      <w:r>
        <w:rPr>
          <w:rFonts w:hint="eastAsia"/>
          <w:lang w:val="en-US" w:eastAsia="zh-CN"/>
        </w:rPr>
        <w:t>9</w:t>
      </w:r>
    </w:p>
    <w:p w14:paraId="6D812AC4">
      <w:pPr>
        <w:pStyle w:val="21"/>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1</w:t>
      </w:r>
      <w:r>
        <w:fldChar w:fldCharType="end"/>
      </w:r>
      <w:r>
        <w:rPr>
          <w:rFonts w:hint="eastAsia"/>
          <w:lang w:val="en-US" w:eastAsia="zh-CN"/>
        </w:rPr>
        <w:t>9</w:t>
      </w:r>
    </w:p>
    <w:p w14:paraId="1B8AAC3A">
      <w:pPr>
        <w:pStyle w:val="21"/>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0</w:t>
      </w:r>
    </w:p>
    <w:p w14:paraId="2D358F6A">
      <w:pPr>
        <w:pStyle w:val="21"/>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1</w:t>
      </w:r>
    </w:p>
    <w:p w14:paraId="0E66C4C6">
      <w:pPr>
        <w:pStyle w:val="21"/>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rPr>
          <w:rFonts w:hint="eastAsia" w:eastAsia="方正仿宋_GBK"/>
          <w:lang w:val="en-US" w:eastAsia="zh-CN"/>
        </w:rPr>
      </w:pPr>
      <w:r>
        <w:fldChar w:fldCharType="end"/>
      </w:r>
    </w:p>
    <w:p w14:paraId="176375E4">
      <w:pPr>
        <w:jc w:val="center"/>
      </w:pPr>
      <w:r>
        <w:fldChar w:fldCharType="end"/>
      </w:r>
      <w:r>
        <w:br w:type="textWrapping"/>
      </w:r>
      <w:r>
        <w:rPr>
          <w:rFonts w:ascii="黑体" w:hAnsi="黑体" w:eastAsia="黑体" w:cs="黑体"/>
          <w:b/>
          <w:color w:val="000000"/>
          <w:sz w:val="30"/>
        </w:rPr>
        <w:t xml:space="preserve">第二部分  </w:t>
      </w:r>
      <w:r>
        <w:rPr>
          <w:rFonts w:hint="eastAsia" w:ascii="黑体" w:hAnsi="黑体" w:eastAsia="黑体" w:cs="黑体"/>
          <w:b/>
          <w:color w:val="000000"/>
          <w:sz w:val="30"/>
          <w:lang w:eastAsia="zh-CN"/>
        </w:rPr>
        <w:t>人大办本级</w:t>
      </w:r>
      <w:r>
        <w:rPr>
          <w:rFonts w:ascii="黑体" w:hAnsi="黑体" w:eastAsia="黑体" w:cs="黑体"/>
          <w:b/>
          <w:color w:val="000000"/>
          <w:sz w:val="30"/>
        </w:rPr>
        <w:t>单位预算</w:t>
      </w:r>
      <w:r>
        <w:rPr>
          <w:rFonts w:hint="eastAsia" w:ascii="黑体" w:hAnsi="黑体" w:eastAsia="黑体" w:cs="黑体"/>
          <w:b/>
          <w:color w:val="000000"/>
          <w:sz w:val="30"/>
          <w:lang w:eastAsia="zh-CN"/>
        </w:rPr>
        <w:t>公开说明</w:t>
      </w:r>
      <w:r>
        <w:fldChar w:fldCharType="begin"/>
      </w:r>
      <w:r>
        <w:instrText xml:space="preserve">TOC \o "2-2" \h \z \u</w:instrText>
      </w:r>
      <w:r>
        <w:fldChar w:fldCharType="separate"/>
      </w:r>
    </w:p>
    <w:p w14:paraId="1AA8A08F">
      <w:pPr>
        <w:pStyle w:val="21"/>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预算收支总表</w:t>
      </w:r>
      <w:r>
        <w:rPr>
          <w:rFonts w:hint="eastAsia"/>
          <w:lang w:val="en-US" w:eastAsia="zh-CN"/>
        </w:rPr>
        <w:t>.</w:t>
      </w:r>
      <w:r>
        <w:tab/>
      </w:r>
      <w:r>
        <w:rPr>
          <w:rFonts w:hint="eastAsia"/>
          <w:lang w:val="en-US" w:eastAsia="zh-CN"/>
        </w:rPr>
        <w:t>23</w:t>
      </w:r>
      <w:r>
        <w:fldChar w:fldCharType="end"/>
      </w:r>
    </w:p>
    <w:p w14:paraId="3AD1526B">
      <w:pPr>
        <w:pStyle w:val="21"/>
        <w:tabs>
          <w:tab w:val="right" w:leader="dot" w:pos="14562"/>
        </w:tabs>
      </w:pPr>
      <w:r>
        <w:fldChar w:fldCharType="begin"/>
      </w:r>
      <w:r>
        <w:instrText xml:space="preserve"> HYPERLINK \l "_Toc_2_2_0000000002" </w:instrText>
      </w:r>
      <w:r>
        <w:fldChar w:fldCharType="separate"/>
      </w:r>
      <w:r>
        <w:t>预算收入总表</w:t>
      </w:r>
      <w:r>
        <w:tab/>
      </w:r>
      <w:r>
        <w:rPr>
          <w:rFonts w:hint="eastAsia"/>
          <w:lang w:val="en-US" w:eastAsia="zh-CN"/>
        </w:rPr>
        <w:t>24</w:t>
      </w:r>
      <w:r>
        <w:fldChar w:fldCharType="end"/>
      </w:r>
    </w:p>
    <w:p w14:paraId="06A617DF">
      <w:pPr>
        <w:pStyle w:val="21"/>
        <w:tabs>
          <w:tab w:val="right" w:leader="dot" w:pos="14562"/>
        </w:tabs>
      </w:pPr>
      <w:r>
        <w:fldChar w:fldCharType="begin"/>
      </w:r>
      <w:r>
        <w:instrText xml:space="preserve"> HYPERLINK \l "_Toc_2_2_0000000003" </w:instrText>
      </w:r>
      <w:r>
        <w:fldChar w:fldCharType="separate"/>
      </w:r>
      <w:r>
        <w:t>预算支出总表</w:t>
      </w:r>
      <w:r>
        <w:tab/>
      </w:r>
      <w:r>
        <w:rPr>
          <w:rFonts w:hint="eastAsia"/>
          <w:lang w:val="en-US" w:eastAsia="zh-CN"/>
        </w:rPr>
        <w:t>25</w:t>
      </w:r>
      <w:r>
        <w:fldChar w:fldCharType="end"/>
      </w:r>
    </w:p>
    <w:p w14:paraId="6A548069">
      <w:pPr>
        <w:pStyle w:val="21"/>
        <w:tabs>
          <w:tab w:val="right" w:leader="dot" w:pos="14562"/>
        </w:tabs>
      </w:pPr>
      <w:r>
        <w:fldChar w:fldCharType="begin"/>
      </w:r>
      <w:r>
        <w:instrText xml:space="preserve"> HYPERLINK \l "_Toc_2_2_0000000004" </w:instrText>
      </w:r>
      <w:r>
        <w:fldChar w:fldCharType="separate"/>
      </w:r>
      <w:r>
        <w:t>预算财政拨款收支总表</w:t>
      </w:r>
      <w:r>
        <w:tab/>
      </w:r>
      <w:r>
        <w:rPr>
          <w:rFonts w:hint="eastAsia"/>
          <w:lang w:val="en-US" w:eastAsia="zh-CN"/>
        </w:rPr>
        <w:t>26</w:t>
      </w:r>
      <w:r>
        <w:fldChar w:fldCharType="end"/>
      </w:r>
    </w:p>
    <w:p w14:paraId="2AF3F3A7">
      <w:pPr>
        <w:pStyle w:val="21"/>
        <w:tabs>
          <w:tab w:val="right" w:leader="dot" w:pos="14562"/>
        </w:tabs>
      </w:pPr>
      <w:r>
        <w:fldChar w:fldCharType="begin"/>
      </w:r>
      <w:r>
        <w:instrText xml:space="preserve"> HYPERLINK \l "_Toc_2_2_0000000005" </w:instrText>
      </w:r>
      <w:r>
        <w:fldChar w:fldCharType="separate"/>
      </w:r>
      <w:r>
        <w:t>预算一般公共预算财政拨款支出表</w:t>
      </w:r>
      <w:r>
        <w:tab/>
      </w:r>
      <w:r>
        <w:rPr>
          <w:rFonts w:hint="eastAsia"/>
          <w:lang w:val="en-US" w:eastAsia="zh-CN"/>
        </w:rPr>
        <w:t>27</w:t>
      </w:r>
      <w:r>
        <w:fldChar w:fldCharType="end"/>
      </w:r>
    </w:p>
    <w:p w14:paraId="22C2C764">
      <w:pPr>
        <w:pStyle w:val="21"/>
        <w:tabs>
          <w:tab w:val="right" w:leader="dot" w:pos="14562"/>
        </w:tabs>
      </w:pPr>
      <w:r>
        <w:fldChar w:fldCharType="begin"/>
      </w:r>
      <w:r>
        <w:instrText xml:space="preserve"> HYPERLINK \l "_Toc_2_2_0000000006" </w:instrText>
      </w:r>
      <w:r>
        <w:fldChar w:fldCharType="separate"/>
      </w:r>
      <w:r>
        <w:t>预算一般公共预算财政拨款基本支出表</w:t>
      </w:r>
      <w:r>
        <w:tab/>
      </w:r>
      <w:r>
        <w:rPr>
          <w:rFonts w:hint="eastAsia"/>
          <w:lang w:val="en-US" w:eastAsia="zh-CN"/>
        </w:rPr>
        <w:t>28</w:t>
      </w:r>
      <w:r>
        <w:fldChar w:fldCharType="end"/>
      </w:r>
    </w:p>
    <w:p w14:paraId="39A94273">
      <w:pPr>
        <w:pStyle w:val="21"/>
        <w:tabs>
          <w:tab w:val="right" w:leader="dot" w:pos="14562"/>
        </w:tabs>
      </w:pPr>
      <w:r>
        <w:fldChar w:fldCharType="begin"/>
      </w:r>
      <w:r>
        <w:instrText xml:space="preserve"> HYPERLINK \l "_Toc_2_2_0000000007" </w:instrText>
      </w:r>
      <w:r>
        <w:fldChar w:fldCharType="separate"/>
      </w:r>
      <w:r>
        <w:t>预算政府基金预算财政拨款支出表</w:t>
      </w:r>
      <w:r>
        <w:tab/>
      </w:r>
      <w:r>
        <w:rPr>
          <w:rFonts w:hint="eastAsia"/>
          <w:lang w:val="en-US" w:eastAsia="zh-CN"/>
        </w:rPr>
        <w:t>29</w:t>
      </w:r>
      <w:r>
        <w:fldChar w:fldCharType="end"/>
      </w:r>
    </w:p>
    <w:p w14:paraId="6A663514">
      <w:pPr>
        <w:pStyle w:val="21"/>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预算国有资本经营预算财政拨款支出表</w:t>
      </w:r>
      <w:r>
        <w:tab/>
      </w:r>
      <w:r>
        <w:rPr>
          <w:rFonts w:hint="eastAsia"/>
          <w:lang w:val="en-US" w:eastAsia="zh-CN"/>
        </w:rPr>
        <w:t>3</w:t>
      </w:r>
      <w:r>
        <w:fldChar w:fldCharType="end"/>
      </w:r>
      <w:r>
        <w:rPr>
          <w:rFonts w:hint="eastAsia"/>
          <w:lang w:val="en-US" w:eastAsia="zh-CN"/>
        </w:rPr>
        <w:t>0</w:t>
      </w:r>
    </w:p>
    <w:p w14:paraId="3E48DAE3">
      <w:pPr>
        <w:pStyle w:val="21"/>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预算财政拨款“三公”经费支出表</w:t>
      </w:r>
      <w:r>
        <w:tab/>
      </w:r>
      <w:r>
        <w:rPr>
          <w:rFonts w:hint="eastAsia"/>
          <w:lang w:val="en-US" w:eastAsia="zh-CN"/>
        </w:rPr>
        <w:t>3</w:t>
      </w:r>
      <w:r>
        <w:fldChar w:fldCharType="end"/>
      </w:r>
      <w:r>
        <w:rPr>
          <w:rFonts w:hint="eastAsia"/>
          <w:lang w:val="en-US" w:eastAsia="zh-CN"/>
        </w:rPr>
        <w:t>1</w:t>
      </w:r>
    </w:p>
    <w:p w14:paraId="0D8BBA69">
      <w:r>
        <w:fldChar w:fldCharType="end"/>
      </w:r>
      <w:r>
        <w:rPr>
          <w:rFonts w:ascii="方正楷体_GBK" w:hAnsi="方正楷体_GBK" w:eastAsia="方正楷体_GBK" w:cs="方正楷体_GBK"/>
          <w:b/>
          <w:color w:val="000000"/>
          <w:sz w:val="28"/>
        </w:rPr>
        <w:t>预算信息公开情况说明</w:t>
      </w:r>
    </w:p>
    <w:p w14:paraId="20AF56B9">
      <w:pPr>
        <w:pStyle w:val="21"/>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一、职责及机构设置情况</w:t>
      </w:r>
      <w:r>
        <w:tab/>
      </w:r>
      <w:r>
        <w:fldChar w:fldCharType="begin"/>
      </w:r>
      <w:r>
        <w:instrText xml:space="preserve">PAGEREF _Toc_3_3_0000000010 \h</w:instrText>
      </w:r>
      <w:r>
        <w:fldChar w:fldCharType="separate"/>
      </w:r>
      <w:r>
        <w:rPr>
          <w:rFonts w:hint="eastAsia"/>
          <w:lang w:val="en-US" w:eastAsia="zh-CN"/>
        </w:rPr>
        <w:t>32</w:t>
      </w:r>
      <w:r>
        <w:fldChar w:fldCharType="end"/>
      </w:r>
      <w:r>
        <w:fldChar w:fldCharType="end"/>
      </w:r>
    </w:p>
    <w:p w14:paraId="373412C2">
      <w:pPr>
        <w:pStyle w:val="21"/>
        <w:tabs>
          <w:tab w:val="right" w:leader="dot" w:pos="14562"/>
        </w:tabs>
      </w:pPr>
      <w:r>
        <w:fldChar w:fldCharType="begin"/>
      </w:r>
      <w:r>
        <w:instrText xml:space="preserve"> HYPERLINK \l "_Toc_3_3_0000000011" </w:instrText>
      </w:r>
      <w:r>
        <w:fldChar w:fldCharType="separate"/>
      </w:r>
      <w:r>
        <w:t>二、</w:t>
      </w:r>
      <w:r>
        <w:rPr>
          <w:rFonts w:hint="eastAsia"/>
          <w:lang w:eastAsia="zh-CN"/>
        </w:rPr>
        <w:t>本级</w:t>
      </w:r>
      <w:r>
        <w:t>预算安排的总体情况</w:t>
      </w:r>
      <w:r>
        <w:tab/>
      </w:r>
      <w:r>
        <w:fldChar w:fldCharType="begin"/>
      </w:r>
      <w:r>
        <w:instrText xml:space="preserve">PAGEREF _Toc_3_3_0000000011 \h</w:instrText>
      </w:r>
      <w:r>
        <w:fldChar w:fldCharType="separate"/>
      </w:r>
      <w:r>
        <w:rPr>
          <w:rFonts w:hint="eastAsia"/>
          <w:lang w:val="en-US" w:eastAsia="zh-CN"/>
        </w:rPr>
        <w:t>34</w:t>
      </w:r>
      <w:r>
        <w:fldChar w:fldCharType="end"/>
      </w:r>
      <w:r>
        <w:fldChar w:fldCharType="end"/>
      </w:r>
    </w:p>
    <w:p w14:paraId="6144D83D">
      <w:pPr>
        <w:pStyle w:val="21"/>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4</w:t>
      </w:r>
    </w:p>
    <w:p w14:paraId="245323C4">
      <w:pPr>
        <w:pStyle w:val="21"/>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4</w:t>
      </w:r>
    </w:p>
    <w:p w14:paraId="546851DB">
      <w:pPr>
        <w:pStyle w:val="21"/>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5</w:t>
      </w:r>
    </w:p>
    <w:p w14:paraId="48FAB310">
      <w:pPr>
        <w:pStyle w:val="21"/>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6</w:t>
      </w:r>
    </w:p>
    <w:p w14:paraId="7EAC0E60">
      <w:pPr>
        <w:pStyle w:val="21"/>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7</w:t>
      </w:r>
    </w:p>
    <w:p w14:paraId="2EDC6BBE">
      <w:pPr>
        <w:pStyle w:val="21"/>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7</w:t>
      </w:r>
    </w:p>
    <w:p w14:paraId="37AAD103">
      <w:pPr>
        <w:pStyle w:val="21"/>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9</w:t>
      </w:r>
    </w:p>
    <w:p w14:paraId="6E521258">
      <w:pPr>
        <w:pStyle w:val="21"/>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rPr>
          <w:rFonts w:hint="eastAsia" w:eastAsia="方正仿宋_GBK"/>
          <w:lang w:val="en-US" w:eastAsia="zh-CN"/>
        </w:rPr>
      </w:pPr>
      <w:r>
        <w:fldChar w:fldCharType="end"/>
      </w:r>
    </w:p>
    <w:p w14:paraId="543E34E4">
      <w:r>
        <w:fldChar w:fldCharType="end"/>
      </w:r>
    </w:p>
    <w:p w14:paraId="42F6C2B6"/>
    <w:p w14:paraId="5B36BC3E"/>
    <w:p w14:paraId="5DB94E85"/>
    <w:p w14:paraId="48B6F72A"/>
    <w:p w14:paraId="475FE497"/>
    <w:p w14:paraId="566764F7"/>
    <w:p w14:paraId="7D134859"/>
    <w:p w14:paraId="14698103"/>
    <w:p w14:paraId="49E89DE4"/>
    <w:p w14:paraId="02884C2C"/>
    <w:p w14:paraId="21FDED76"/>
    <w:p w14:paraId="1B6BB278"/>
    <w:p w14:paraId="1D79ADD9">
      <w:r>
        <w:rPr>
          <w:rFonts w:hint="eastAsia"/>
          <w:lang w:val="en-US" w:eastAsia="zh-CN"/>
        </w:rPr>
        <w:object>
          <v:shape id="_x0000_i1025" o:spt="75" type="#_x0000_t75" style="height:496.9pt;width:762.45pt;" o:ole="t" filled="f" o:preferrelative="t" stroked="f" coordsize="21600,21600">
            <v:path/>
            <v:fill on="f" focussize="0,0"/>
            <v:stroke on="f"/>
            <v:imagedata r:id="rId9" o:title=""/>
            <o:lock v:ext="edit" aspectratio="f"/>
            <w10:wrap type="none"/>
            <w10:anchorlock/>
          </v:shape>
          <o:OLEObject Type="Embed" ProgID="Excel.Sheet.8" ShapeID="_x0000_i1025" DrawAspect="Content" ObjectID="_1468075725" r:id="rId8">
            <o:LockedField>false</o:LockedField>
          </o:OLEObject>
        </w:object>
      </w:r>
    </w:p>
    <w:p w14:paraId="365B2E72">
      <w:r>
        <w:rPr>
          <w:rFonts w:hint="eastAsia"/>
          <w:lang w:val="en-US" w:eastAsia="zh-CN"/>
        </w:rPr>
        <w:object>
          <v:shape id="_x0000_i1026" o:spt="75" type="#_x0000_t75" style="height:348pt;width:769.3pt;" o:ole="t" filled="f" o:preferrelative="t" stroked="f" coordsize="21600,21600">
            <v:path/>
            <v:fill on="f" focussize="0,0"/>
            <v:stroke on="f"/>
            <v:imagedata r:id="rId11" o:title=""/>
            <o:lock v:ext="edit" aspectratio="f"/>
            <w10:wrap type="none"/>
            <w10:anchorlock/>
          </v:shape>
          <o:OLEObject Type="Embed" ProgID="Excel.Sheet.8" ShapeID="_x0000_i1026" DrawAspect="Content" ObjectID="_1468075726" r:id="rId10">
            <o:LockedField>false</o:LockedField>
          </o:OLEObject>
        </w:object>
      </w:r>
    </w:p>
    <w:p w14:paraId="6ED9B665"/>
    <w:p w14:paraId="7377C1E5"/>
    <w:p w14:paraId="417A287B"/>
    <w:p w14:paraId="458E3644"/>
    <w:p w14:paraId="0DA3E4ED">
      <w:pPr>
        <w:sectPr>
          <w:footerReference r:id="rId3" w:type="default"/>
          <w:footerReference r:id="rId4" w:type="even"/>
          <w:pgSz w:w="16840" w:h="11900" w:orient="landscape"/>
          <w:pgMar w:top="720" w:right="720" w:bottom="720" w:left="720" w:header="720" w:footer="720" w:gutter="0"/>
          <w:pgNumType w:fmt="decimal" w:start="1"/>
          <w:cols w:space="720" w:num="1"/>
        </w:sectPr>
      </w:pPr>
      <w:r>
        <w:rPr>
          <w:lang w:val="en-US" w:eastAsia="zh-CN"/>
        </w:rPr>
        <w:object>
          <v:shape id="_x0000_i1027" o:spt="75" type="#_x0000_t75" style="height:521pt;width:743.35pt;" o:ole="t" filled="f" o:preferrelative="t" stroked="f" coordsize="21600,21600">
            <v:path/>
            <v:fill on="f" focussize="0,0"/>
            <v:stroke on="f"/>
            <v:imagedata r:id="rId13" o:title=""/>
            <o:lock v:ext="edit" aspectratio="f"/>
            <w10:wrap type="none"/>
            <w10:anchorlock/>
          </v:shape>
          <o:OLEObject Type="Embed" ProgID="Excel.Sheet.8" ShapeID="_x0000_i1027" DrawAspect="Content" ObjectID="_1468075727" r:id="rId12">
            <o:LockedField>false</o:LockedField>
          </o:OLEObject>
        </w:object>
      </w:r>
    </w:p>
    <w:p w14:paraId="0431A3AA">
      <w:pPr>
        <w:jc w:val="center"/>
        <w:outlineLvl w:val="1"/>
        <w:rPr>
          <w:rFonts w:hint="eastAsia" w:ascii="方正小标宋_GBK" w:eastAsia="方正小标宋_GBK"/>
          <w:sz w:val="32"/>
        </w:rPr>
      </w:pPr>
      <w:bookmarkStart w:id="0" w:name="_Toc70584348"/>
      <w:bookmarkStart w:id="1" w:name="_Toc_2_2_0000000003"/>
      <w:r>
        <w:object>
          <v:shape id="_x0000_i1028" o:spt="75" type="#_x0000_t75" style="height:501.65pt;width:759.7pt;" o:ole="t" filled="f" o:preferrelative="t" stroked="f" coordsize="21600,21600">
            <v:path/>
            <v:fill on="f" focussize="0,0"/>
            <v:stroke on="f"/>
            <v:imagedata r:id="rId15" o:title=""/>
            <o:lock v:ext="edit" aspectratio="f"/>
            <w10:wrap type="none"/>
            <w10:anchorlock/>
          </v:shape>
          <o:OLEObject Type="Embed" ProgID="Excel.Sheet.8" ShapeID="_x0000_i1028" DrawAspect="Content" ObjectID="_1468075728" r:id="rId14">
            <o:LockedField>false</o:LockedField>
          </o:OLEObject>
        </w:object>
      </w:r>
    </w:p>
    <w:tbl>
      <w:tblPr>
        <w:tblStyle w:val="5"/>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725"/>
        <w:gridCol w:w="3000"/>
        <w:gridCol w:w="3000"/>
        <w:gridCol w:w="3000"/>
        <w:gridCol w:w="3000"/>
      </w:tblGrid>
      <w:tr w14:paraId="340C0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6"/>
            <w:tcBorders>
              <w:top w:val="nil"/>
              <w:left w:val="nil"/>
              <w:bottom w:val="single" w:color="000000" w:sz="4" w:space="0"/>
              <w:right w:val="single" w:color="000000" w:sz="4" w:space="0"/>
            </w:tcBorders>
            <w:shd w:val="clear" w:color="auto" w:fill="E4ECF7"/>
            <w:vAlign w:val="center"/>
          </w:tcPr>
          <w:p w14:paraId="7977FEB1">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部门预算一般公共预算财政拨款基本支出表</w:t>
            </w:r>
          </w:p>
        </w:tc>
      </w:tr>
      <w:tr w14:paraId="49F89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475" w:type="dxa"/>
            <w:gridSpan w:val="4"/>
            <w:tcBorders>
              <w:top w:val="single" w:color="000000" w:sz="4" w:space="0"/>
              <w:left w:val="single" w:color="000000" w:sz="4" w:space="0"/>
              <w:bottom w:val="single" w:color="000000" w:sz="4" w:space="0"/>
              <w:right w:val="single" w:color="000000" w:sz="4" w:space="0"/>
            </w:tcBorders>
            <w:shd w:val="clear" w:color="auto" w:fill="E4ECF7"/>
            <w:vAlign w:val="center"/>
          </w:tcPr>
          <w:p w14:paraId="3AD9FA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预算单位编码及名称：[101]宁晋县人民代表大会常务委员会办公室</w:t>
            </w:r>
          </w:p>
        </w:tc>
        <w:tc>
          <w:tcPr>
            <w:tcW w:w="3000" w:type="dxa"/>
            <w:tcBorders>
              <w:top w:val="single" w:color="000000" w:sz="4" w:space="0"/>
              <w:left w:val="single" w:color="000000" w:sz="4" w:space="0"/>
              <w:bottom w:val="single" w:color="000000" w:sz="4" w:space="0"/>
              <w:right w:val="single" w:color="000000" w:sz="4" w:space="0"/>
            </w:tcBorders>
            <w:shd w:val="clear" w:color="auto" w:fill="E4ECF7"/>
            <w:vAlign w:val="center"/>
          </w:tcPr>
          <w:p w14:paraId="272F144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tcBorders>
              <w:top w:val="single" w:color="000000" w:sz="4" w:space="0"/>
              <w:left w:val="single" w:color="000000" w:sz="4" w:space="0"/>
              <w:bottom w:val="single" w:color="000000" w:sz="4" w:space="0"/>
              <w:right w:val="single" w:color="000000" w:sz="4" w:space="0"/>
            </w:tcBorders>
            <w:shd w:val="clear" w:color="auto" w:fill="E4ECF7"/>
            <w:vAlign w:val="center"/>
          </w:tcPr>
          <w:p w14:paraId="329FC73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14:paraId="588DF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E4ECF7"/>
            <w:vAlign w:val="center"/>
          </w:tcPr>
          <w:p w14:paraId="132176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E4ECF7"/>
            <w:vAlign w:val="center"/>
          </w:tcPr>
          <w:p w14:paraId="614675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支出部门经济分类科目</w:t>
            </w:r>
          </w:p>
        </w:tc>
        <w:tc>
          <w:tcPr>
            <w:tcW w:w="9000" w:type="dxa"/>
            <w:gridSpan w:val="3"/>
            <w:tcBorders>
              <w:top w:val="single" w:color="000000" w:sz="4" w:space="0"/>
              <w:left w:val="single" w:color="000000" w:sz="4" w:space="0"/>
              <w:bottom w:val="single" w:color="000000" w:sz="4" w:space="0"/>
              <w:right w:val="single" w:color="000000" w:sz="4" w:space="0"/>
            </w:tcBorders>
            <w:shd w:val="clear" w:color="auto" w:fill="E4ECF7"/>
            <w:vAlign w:val="center"/>
          </w:tcPr>
          <w:p w14:paraId="638520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一般公共预算基本支出</w:t>
            </w:r>
          </w:p>
        </w:tc>
      </w:tr>
      <w:tr w14:paraId="51D93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E4ECF7"/>
            <w:vAlign w:val="center"/>
          </w:tcPr>
          <w:p w14:paraId="1CEF408B">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E4ECF7"/>
            <w:vAlign w:val="center"/>
          </w:tcPr>
          <w:p w14:paraId="7A28D8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E4ECF7"/>
            <w:vAlign w:val="center"/>
          </w:tcPr>
          <w:p w14:paraId="2F86F9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000" w:type="dxa"/>
            <w:tcBorders>
              <w:top w:val="single" w:color="000000" w:sz="4" w:space="0"/>
              <w:left w:val="single" w:color="000000" w:sz="4" w:space="0"/>
              <w:bottom w:val="single" w:color="000000" w:sz="4" w:space="0"/>
              <w:right w:val="single" w:color="000000" w:sz="4" w:space="0"/>
            </w:tcBorders>
            <w:shd w:val="clear" w:color="auto" w:fill="E4ECF7"/>
            <w:vAlign w:val="center"/>
          </w:tcPr>
          <w:p w14:paraId="098B21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tcBorders>
              <w:top w:val="single" w:color="000000" w:sz="4" w:space="0"/>
              <w:left w:val="single" w:color="000000" w:sz="4" w:space="0"/>
              <w:bottom w:val="single" w:color="000000" w:sz="4" w:space="0"/>
              <w:right w:val="single" w:color="000000" w:sz="4" w:space="0"/>
            </w:tcBorders>
            <w:shd w:val="clear" w:color="auto" w:fill="E4ECF7"/>
            <w:vAlign w:val="center"/>
          </w:tcPr>
          <w:p w14:paraId="2FF0EE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3000" w:type="dxa"/>
            <w:tcBorders>
              <w:top w:val="single" w:color="000000" w:sz="4" w:space="0"/>
              <w:left w:val="single" w:color="000000" w:sz="4" w:space="0"/>
              <w:bottom w:val="single" w:color="000000" w:sz="4" w:space="0"/>
              <w:right w:val="single" w:color="000000" w:sz="4" w:space="0"/>
            </w:tcBorders>
            <w:shd w:val="clear" w:color="auto" w:fill="E4ECF7"/>
            <w:vAlign w:val="center"/>
          </w:tcPr>
          <w:p w14:paraId="3D4172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r>
      <w:tr w14:paraId="6157C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E4ECF7"/>
            <w:vAlign w:val="center"/>
          </w:tcPr>
          <w:p w14:paraId="7C657F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E4ECF7"/>
            <w:vAlign w:val="center"/>
          </w:tcPr>
          <w:p w14:paraId="17DF67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E4ECF7"/>
            <w:vAlign w:val="center"/>
          </w:tcPr>
          <w:p w14:paraId="7C9855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000" w:type="dxa"/>
            <w:tcBorders>
              <w:top w:val="single" w:color="000000" w:sz="4" w:space="0"/>
              <w:left w:val="single" w:color="000000" w:sz="4" w:space="0"/>
              <w:bottom w:val="single" w:color="000000" w:sz="4" w:space="0"/>
              <w:right w:val="single" w:color="000000" w:sz="4" w:space="0"/>
            </w:tcBorders>
            <w:shd w:val="clear" w:color="auto" w:fill="E4ECF7"/>
            <w:vAlign w:val="center"/>
          </w:tcPr>
          <w:p w14:paraId="42678E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000" w:type="dxa"/>
            <w:tcBorders>
              <w:top w:val="single" w:color="000000" w:sz="4" w:space="0"/>
              <w:left w:val="single" w:color="000000" w:sz="4" w:space="0"/>
              <w:bottom w:val="single" w:color="000000" w:sz="4" w:space="0"/>
              <w:right w:val="single" w:color="000000" w:sz="4" w:space="0"/>
            </w:tcBorders>
            <w:shd w:val="clear" w:color="auto" w:fill="E4ECF7"/>
            <w:vAlign w:val="center"/>
          </w:tcPr>
          <w:p w14:paraId="294F67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000" w:type="dxa"/>
            <w:tcBorders>
              <w:top w:val="single" w:color="000000" w:sz="4" w:space="0"/>
              <w:left w:val="single" w:color="000000" w:sz="4" w:space="0"/>
              <w:bottom w:val="single" w:color="000000" w:sz="4" w:space="0"/>
              <w:right w:val="single" w:color="000000" w:sz="4" w:space="0"/>
            </w:tcBorders>
            <w:shd w:val="clear" w:color="auto" w:fill="E4ECF7"/>
            <w:vAlign w:val="center"/>
          </w:tcPr>
          <w:p w14:paraId="2247FA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14:paraId="04C0F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D37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8B138">
            <w:pPr>
              <w:jc w:val="lef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3D6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0117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359.95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F083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298.73</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315D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61.22</w:t>
            </w:r>
          </w:p>
        </w:tc>
      </w:tr>
      <w:tr w14:paraId="6C335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F6F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39B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B8D3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工资福利支出</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0EF1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273.13</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CAF8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273.13</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85729">
            <w:pPr>
              <w:jc w:val="right"/>
              <w:rPr>
                <w:rFonts w:hint="eastAsia" w:ascii="宋体" w:hAnsi="宋体" w:eastAsia="宋体" w:cs="宋体"/>
                <w:i w:val="0"/>
                <w:iCs w:val="0"/>
                <w:color w:val="000000"/>
                <w:sz w:val="18"/>
                <w:szCs w:val="18"/>
                <w:u w:val="none"/>
              </w:rPr>
            </w:pPr>
          </w:p>
        </w:tc>
      </w:tr>
      <w:tr w14:paraId="4B77C5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C47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E76F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E54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基本工资</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0054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205.30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C5AB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205.30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9C346">
            <w:pPr>
              <w:jc w:val="right"/>
              <w:rPr>
                <w:rFonts w:hint="eastAsia" w:ascii="宋体" w:hAnsi="宋体" w:eastAsia="宋体" w:cs="宋体"/>
                <w:i w:val="0"/>
                <w:iCs w:val="0"/>
                <w:color w:val="000000"/>
                <w:sz w:val="18"/>
                <w:szCs w:val="18"/>
                <w:u w:val="none"/>
              </w:rPr>
            </w:pPr>
          </w:p>
        </w:tc>
      </w:tr>
      <w:tr w14:paraId="256BB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8D9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27D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30108</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ECE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9E04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30.40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84E0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30.40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F0F01">
            <w:pPr>
              <w:jc w:val="right"/>
              <w:rPr>
                <w:rFonts w:hint="eastAsia" w:ascii="宋体" w:hAnsi="宋体" w:eastAsia="宋体" w:cs="宋体"/>
                <w:i w:val="0"/>
                <w:iCs w:val="0"/>
                <w:color w:val="000000"/>
                <w:sz w:val="18"/>
                <w:szCs w:val="18"/>
                <w:u w:val="none"/>
              </w:rPr>
            </w:pPr>
          </w:p>
        </w:tc>
      </w:tr>
      <w:tr w14:paraId="0C6D0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D08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325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D79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城镇职工基本医疗保险缴费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BB37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13.68</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12DC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13.68</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3A20A">
            <w:pPr>
              <w:jc w:val="right"/>
              <w:rPr>
                <w:rFonts w:hint="eastAsia" w:ascii="宋体" w:hAnsi="宋体" w:eastAsia="宋体" w:cs="宋体"/>
                <w:i w:val="0"/>
                <w:iCs w:val="0"/>
                <w:color w:val="000000"/>
                <w:sz w:val="18"/>
                <w:szCs w:val="18"/>
                <w:u w:val="none"/>
              </w:rPr>
            </w:pPr>
          </w:p>
        </w:tc>
      </w:tr>
      <w:tr w14:paraId="15EAA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D92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E143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2AD9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其他社会保障缴费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8C3C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2E81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20E12">
            <w:pPr>
              <w:jc w:val="right"/>
              <w:rPr>
                <w:rFonts w:hint="eastAsia" w:ascii="宋体" w:hAnsi="宋体" w:eastAsia="宋体" w:cs="宋体"/>
                <w:i w:val="0"/>
                <w:iCs w:val="0"/>
                <w:color w:val="000000"/>
                <w:sz w:val="18"/>
                <w:szCs w:val="18"/>
                <w:u w:val="none"/>
              </w:rPr>
            </w:pPr>
          </w:p>
        </w:tc>
      </w:tr>
      <w:tr w14:paraId="51D3D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3EE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68D9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30113</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DB5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16CF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22.80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B9AA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22.80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89608">
            <w:pPr>
              <w:jc w:val="right"/>
              <w:rPr>
                <w:rFonts w:hint="eastAsia" w:ascii="宋体" w:hAnsi="宋体" w:eastAsia="宋体" w:cs="宋体"/>
                <w:i w:val="0"/>
                <w:iCs w:val="0"/>
                <w:color w:val="000000"/>
                <w:sz w:val="18"/>
                <w:szCs w:val="18"/>
                <w:u w:val="none"/>
              </w:rPr>
            </w:pPr>
          </w:p>
        </w:tc>
      </w:tr>
      <w:tr w14:paraId="05368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B69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578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B81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商品和服务支出</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170C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61.22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DBFFF">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8334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61.22</w:t>
            </w:r>
          </w:p>
        </w:tc>
      </w:tr>
      <w:tr w14:paraId="74E65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288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0EED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70F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办公费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9064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64803">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F115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5.34</w:t>
            </w:r>
          </w:p>
        </w:tc>
      </w:tr>
      <w:tr w14:paraId="39680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876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BE7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7D8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印刷费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9863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4F64C">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7FCD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w:t>
            </w:r>
          </w:p>
        </w:tc>
      </w:tr>
      <w:tr w14:paraId="5426D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F2B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4F0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30207</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36BF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邮电费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9DAC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89A42">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6489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r>
      <w:tr w14:paraId="6D96E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C26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DCA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EA1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差旅费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F04C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165E5">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6A7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r>
      <w:tr w14:paraId="54CD3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CB2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171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30213</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579D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维修(护)费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F072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525ED">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8A7B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0.45</w:t>
            </w:r>
          </w:p>
        </w:tc>
      </w:tr>
      <w:tr w14:paraId="4525B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9CC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79F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99C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会议费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F518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B5231">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605A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r>
      <w:tr w14:paraId="797FC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F62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B8D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30216</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34B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培训费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5C55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E94A0">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5508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r>
      <w:tr w14:paraId="6FEF4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878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3BA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30217</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0C2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公务接待费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A1BE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1.26</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AC663">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A8A3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1.26</w:t>
            </w:r>
          </w:p>
        </w:tc>
      </w:tr>
      <w:tr w14:paraId="3C72E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6CF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393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30226</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9FD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劳务费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6CB4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978C2">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E548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w:t>
            </w:r>
          </w:p>
        </w:tc>
      </w:tr>
      <w:tr w14:paraId="1682B9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B5E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906D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30228</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A4E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工会经费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1145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C804C">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AC6A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w:t>
            </w:r>
          </w:p>
        </w:tc>
      </w:tr>
      <w:tr w14:paraId="62EDB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BB9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296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30229</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4240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福利费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D21B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88EFE">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0453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w:t>
            </w:r>
          </w:p>
        </w:tc>
      </w:tr>
      <w:tr w14:paraId="09871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1C4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BB25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30231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D5A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公务用车运行维护费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2163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DAF12">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9F96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r>
      <w:tr w14:paraId="62B6B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8B6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B34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30239</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FBE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其他交通费用</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7B78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262F5">
            <w:pPr>
              <w:jc w:val="right"/>
              <w:rPr>
                <w:rFonts w:hint="eastAsia" w:ascii="宋体" w:hAnsi="宋体" w:eastAsia="宋体" w:cs="宋体"/>
                <w:i w:val="0"/>
                <w:iCs w:val="0"/>
                <w:color w:val="000000"/>
                <w:sz w:val="18"/>
                <w:szCs w:val="18"/>
                <w:u w:val="none"/>
              </w:rPr>
            </w:pP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754F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21.00</w:t>
            </w:r>
          </w:p>
        </w:tc>
      </w:tr>
      <w:tr w14:paraId="63D16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1B0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F359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AB1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对个人和家庭的补助</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03EC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25.60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B8BC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25.60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FC1ED">
            <w:pPr>
              <w:jc w:val="right"/>
              <w:rPr>
                <w:rFonts w:hint="eastAsia" w:ascii="宋体" w:hAnsi="宋体" w:eastAsia="宋体" w:cs="宋体"/>
                <w:i w:val="0"/>
                <w:iCs w:val="0"/>
                <w:color w:val="000000"/>
                <w:sz w:val="18"/>
                <w:szCs w:val="18"/>
                <w:u w:val="none"/>
              </w:rPr>
            </w:pPr>
          </w:p>
        </w:tc>
      </w:tr>
      <w:tr w14:paraId="1A95EE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4F6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D38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30302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862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退休费</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D1D1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B72F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DB1E9">
            <w:pPr>
              <w:jc w:val="right"/>
              <w:rPr>
                <w:rFonts w:hint="eastAsia" w:ascii="宋体" w:hAnsi="宋体" w:eastAsia="宋体" w:cs="宋体"/>
                <w:i w:val="0"/>
                <w:iCs w:val="0"/>
                <w:color w:val="000000"/>
                <w:sz w:val="18"/>
                <w:szCs w:val="18"/>
                <w:u w:val="none"/>
              </w:rPr>
            </w:pPr>
          </w:p>
        </w:tc>
      </w:tr>
      <w:tr w14:paraId="1A911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B12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542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30304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9AA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抚恤金</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C522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934C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3687F">
            <w:pPr>
              <w:jc w:val="right"/>
              <w:rPr>
                <w:rFonts w:hint="eastAsia" w:ascii="宋体" w:hAnsi="宋体" w:eastAsia="宋体" w:cs="宋体"/>
                <w:i w:val="0"/>
                <w:iCs w:val="0"/>
                <w:color w:val="000000"/>
                <w:sz w:val="18"/>
                <w:szCs w:val="18"/>
                <w:u w:val="none"/>
              </w:rPr>
            </w:pPr>
          </w:p>
        </w:tc>
      </w:tr>
      <w:bookmarkEnd w:id="0"/>
    </w:tbl>
    <w:p w14:paraId="27C9BE04">
      <w:pPr>
        <w:spacing w:line="300" w:lineRule="exact"/>
        <w:jc w:val="left"/>
        <w:outlineLvl w:val="1"/>
        <w:rPr>
          <w:rFonts w:ascii="Times New Roman" w:eastAsia="方正仿宋_GBK"/>
          <w:sz w:val="28"/>
        </w:rPr>
        <w:sectPr>
          <w:pgSz w:w="16839" w:h="11907" w:orient="landscape"/>
          <w:pgMar w:top="720" w:right="720" w:bottom="720" w:left="720" w:header="851" w:footer="992" w:gutter="0"/>
          <w:cols w:space="720" w:num="1"/>
          <w:docGrid w:type="lines" w:linePitch="312" w:charSpace="0"/>
        </w:sectPr>
      </w:pPr>
    </w:p>
    <w:p w14:paraId="711EB62A">
      <w:pPr>
        <w:jc w:val="center"/>
        <w:outlineLvl w:val="1"/>
      </w:pPr>
      <w:bookmarkStart w:id="2" w:name="_Toc70584349"/>
      <w:r>
        <w:object>
          <v:shape id="_x0000_i1029" o:spt="75" type="#_x0000_t75" style="height:441.55pt;width:776.45pt;" o:ole="t" filled="f" o:preferrelative="t" stroked="f" coordsize="21600,21600">
            <v:path/>
            <v:fill on="f" focussize="0,0"/>
            <v:stroke on="f"/>
            <v:imagedata r:id="rId17" o:title=""/>
            <o:lock v:ext="edit" aspectratio="f"/>
            <w10:wrap type="none"/>
            <w10:anchorlock/>
          </v:shape>
          <o:OLEObject Type="Embed" ProgID="Excel.Sheet.12" ShapeID="_x0000_i1029" DrawAspect="Content" ObjectID="_1468075729" r:id="rId16">
            <o:LockedField>false</o:LockedField>
          </o:OLEObject>
        </w:object>
      </w:r>
    </w:p>
    <w:bookmarkEnd w:id="2"/>
    <w:p w14:paraId="2E31A818">
      <w:pPr>
        <w:jc w:val="center"/>
        <w:outlineLvl w:val="1"/>
        <w:rPr>
          <w:rFonts w:ascii="方正小标宋_GBK" w:hAnsi="方正小标宋_GBK" w:eastAsia="方正小标宋_GBK" w:cs="方正小标宋_GBK"/>
          <w:color w:val="000000"/>
          <w:sz w:val="32"/>
        </w:rPr>
      </w:pPr>
    </w:p>
    <w:p w14:paraId="0FA786E9">
      <w:pPr>
        <w:jc w:val="center"/>
        <w:outlineLvl w:val="1"/>
      </w:pPr>
    </w:p>
    <w:p w14:paraId="256B9D3B">
      <w:pPr>
        <w:jc w:val="center"/>
        <w:outlineLvl w:val="1"/>
      </w:pPr>
    </w:p>
    <w:p w14:paraId="2A0D93C0">
      <w:pPr>
        <w:jc w:val="center"/>
        <w:outlineLvl w:val="1"/>
      </w:pPr>
    </w:p>
    <w:bookmarkEnd w:id="1"/>
    <w:p w14:paraId="6C6E2375">
      <w:pPr>
        <w:jc w:val="both"/>
        <w:outlineLvl w:val="1"/>
        <w:rPr>
          <w:rFonts w:hint="eastAsia" w:ascii="方正小标宋_GBK" w:hAnsi="方正小标宋_GBK" w:eastAsia="方正小标宋_GBK" w:cs="方正小标宋_GBK"/>
          <w:color w:val="000000"/>
          <w:sz w:val="32"/>
          <w:lang w:val="en-US" w:eastAsia="zh-CN"/>
        </w:rPr>
      </w:pPr>
      <w:bookmarkStart w:id="3" w:name="_Toc_2_2_0000000004"/>
    </w:p>
    <w:p w14:paraId="1FB362AD">
      <w:pPr>
        <w:jc w:val="center"/>
        <w:outlineLvl w:val="1"/>
        <w:rPr>
          <w:rFonts w:hint="eastAsia" w:ascii="方正小标宋_GBK" w:hAnsi="方正小标宋_GBK" w:eastAsia="方正小标宋_GBK" w:cs="方正小标宋_GBK"/>
          <w:color w:val="000000"/>
          <w:sz w:val="32"/>
          <w:lang w:val="en-US" w:eastAsia="zh-CN"/>
        </w:rPr>
      </w:pPr>
    </w:p>
    <w:p w14:paraId="7A688B9D">
      <w:pPr>
        <w:jc w:val="center"/>
        <w:outlineLvl w:val="1"/>
        <w:rPr>
          <w:rFonts w:hint="eastAsia" w:ascii="方正小标宋_GBK" w:hAnsi="方正小标宋_GBK" w:eastAsia="方正小标宋_GBK" w:cs="方正小标宋_GBK"/>
          <w:color w:val="000000"/>
          <w:sz w:val="32"/>
          <w:lang w:val="en-US" w:eastAsia="zh-CN"/>
        </w:rPr>
      </w:pPr>
    </w:p>
    <w:p w14:paraId="0147F6A3">
      <w:pPr>
        <w:jc w:val="center"/>
        <w:outlineLvl w:val="1"/>
        <w:rPr>
          <w:lang w:val="en-US" w:eastAsia="zh-CN"/>
        </w:rPr>
      </w:pPr>
    </w:p>
    <w:p w14:paraId="44F3103E">
      <w:pPr>
        <w:jc w:val="center"/>
        <w:outlineLvl w:val="1"/>
        <w:rPr>
          <w:lang w:val="en-US" w:eastAsia="zh-CN"/>
        </w:rPr>
      </w:pPr>
    </w:p>
    <w:p w14:paraId="401112D7">
      <w:pPr>
        <w:jc w:val="center"/>
        <w:outlineLvl w:val="1"/>
        <w:rPr>
          <w:lang w:val="en-US" w:eastAsia="zh-CN"/>
        </w:rPr>
      </w:pPr>
    </w:p>
    <w:p w14:paraId="4F14F808">
      <w:pPr>
        <w:jc w:val="center"/>
        <w:outlineLvl w:val="1"/>
        <w:rPr>
          <w:lang w:val="en-US" w:eastAsia="zh-CN"/>
        </w:rPr>
      </w:pPr>
    </w:p>
    <w:p w14:paraId="0701DE74">
      <w:pPr>
        <w:jc w:val="center"/>
        <w:outlineLvl w:val="1"/>
        <w:rPr>
          <w:lang w:val="en-US" w:eastAsia="zh-CN"/>
        </w:rPr>
      </w:pPr>
    </w:p>
    <w:p w14:paraId="7D1530E1">
      <w:pPr>
        <w:jc w:val="center"/>
        <w:outlineLvl w:val="1"/>
        <w:rPr>
          <w:lang w:val="en-US" w:eastAsia="zh-CN"/>
        </w:rPr>
      </w:pPr>
    </w:p>
    <w:p w14:paraId="1BCC1E8E">
      <w:pPr>
        <w:jc w:val="center"/>
        <w:outlineLvl w:val="1"/>
        <w:rPr>
          <w:lang w:val="en-US" w:eastAsia="zh-CN"/>
        </w:rPr>
      </w:pPr>
      <w:r>
        <w:rPr>
          <w:lang w:val="en-US" w:eastAsia="zh-CN"/>
        </w:rPr>
        <w:object>
          <v:shape id="_x0000_i1030" o:spt="75" type="#_x0000_t75" style="height:90pt;width:769.1pt;" o:ole="t" filled="f" o:preferrelative="t" stroked="f" coordsize="21600,21600">
            <v:path/>
            <v:fill on="f" focussize="0,0"/>
            <v:stroke on="f"/>
            <v:imagedata r:id="rId19" o:title=""/>
            <o:lock v:ext="edit" aspectratio="f"/>
            <w10:wrap type="none"/>
            <w10:anchorlock/>
          </v:shape>
          <o:OLEObject Type="Embed" ProgID="Excel.Sheet.12" ShapeID="_x0000_i1030" DrawAspect="Content" ObjectID="_1468075730" r:id="rId18">
            <o:LockedField>false</o:LockedField>
          </o:OLEObject>
        </w:object>
      </w:r>
    </w:p>
    <w:p w14:paraId="0E53167A">
      <w:pPr>
        <w:jc w:val="center"/>
        <w:outlineLvl w:val="1"/>
        <w:rPr>
          <w:lang w:val="en-US" w:eastAsia="zh-CN"/>
        </w:rPr>
      </w:pPr>
    </w:p>
    <w:p w14:paraId="19AB310A">
      <w:pPr>
        <w:jc w:val="center"/>
        <w:outlineLvl w:val="1"/>
        <w:rPr>
          <w:lang w:val="en-US" w:eastAsia="zh-CN"/>
        </w:rPr>
      </w:pPr>
    </w:p>
    <w:p w14:paraId="293D0F12">
      <w:pPr>
        <w:jc w:val="center"/>
        <w:outlineLvl w:val="1"/>
        <w:rPr>
          <w:lang w:val="en-US" w:eastAsia="zh-CN"/>
        </w:rPr>
      </w:pPr>
    </w:p>
    <w:p w14:paraId="7CDED5E6">
      <w:pPr>
        <w:jc w:val="center"/>
        <w:outlineLvl w:val="1"/>
        <w:rPr>
          <w:lang w:val="en-US" w:eastAsia="zh-CN"/>
        </w:rPr>
      </w:pPr>
    </w:p>
    <w:p w14:paraId="17134842">
      <w:pPr>
        <w:jc w:val="center"/>
        <w:outlineLvl w:val="1"/>
        <w:rPr>
          <w:lang w:val="en-US" w:eastAsia="zh-CN"/>
        </w:rPr>
      </w:pPr>
    </w:p>
    <w:p w14:paraId="4CC324CE">
      <w:pPr>
        <w:jc w:val="center"/>
        <w:outlineLvl w:val="1"/>
        <w:rPr>
          <w:lang w:val="en-US" w:eastAsia="zh-CN"/>
        </w:rPr>
      </w:pPr>
    </w:p>
    <w:p w14:paraId="40EEACB0">
      <w:pPr>
        <w:jc w:val="center"/>
        <w:outlineLvl w:val="1"/>
        <w:rPr>
          <w:lang w:val="en-US" w:eastAsia="zh-CN"/>
        </w:rPr>
      </w:pPr>
    </w:p>
    <w:p w14:paraId="6CABC9CF">
      <w:pPr>
        <w:jc w:val="center"/>
        <w:outlineLvl w:val="1"/>
        <w:rPr>
          <w:lang w:val="en-US" w:eastAsia="zh-CN"/>
        </w:rPr>
      </w:pPr>
    </w:p>
    <w:p w14:paraId="5FA1DA04">
      <w:pPr>
        <w:jc w:val="center"/>
        <w:outlineLvl w:val="1"/>
        <w:rPr>
          <w:lang w:val="en-US" w:eastAsia="zh-CN"/>
        </w:rPr>
      </w:pPr>
    </w:p>
    <w:p w14:paraId="22C47A5A">
      <w:pPr>
        <w:jc w:val="center"/>
        <w:outlineLvl w:val="1"/>
        <w:rPr>
          <w:lang w:val="en-US" w:eastAsia="zh-CN"/>
        </w:rPr>
      </w:pPr>
    </w:p>
    <w:p w14:paraId="14CC83C3">
      <w:pPr>
        <w:jc w:val="center"/>
        <w:outlineLvl w:val="1"/>
        <w:rPr>
          <w:lang w:val="en-US" w:eastAsia="zh-CN"/>
        </w:rPr>
      </w:pPr>
    </w:p>
    <w:p w14:paraId="1F7AD262">
      <w:pPr>
        <w:jc w:val="center"/>
        <w:outlineLvl w:val="1"/>
        <w:rPr>
          <w:lang w:val="en-US" w:eastAsia="zh-CN"/>
        </w:rPr>
      </w:pPr>
    </w:p>
    <w:p w14:paraId="22C68E43">
      <w:pPr>
        <w:jc w:val="center"/>
        <w:outlineLvl w:val="1"/>
        <w:rPr>
          <w:lang w:val="en-US" w:eastAsia="zh-CN"/>
        </w:rPr>
      </w:pPr>
    </w:p>
    <w:p w14:paraId="7593AF72">
      <w:pPr>
        <w:jc w:val="center"/>
        <w:outlineLvl w:val="1"/>
        <w:rPr>
          <w:lang w:val="en-US" w:eastAsia="zh-CN"/>
        </w:rPr>
      </w:pPr>
    </w:p>
    <w:p w14:paraId="66029758">
      <w:pPr>
        <w:jc w:val="center"/>
        <w:outlineLvl w:val="1"/>
        <w:rPr>
          <w:lang w:val="en-US" w:eastAsia="zh-CN"/>
        </w:rPr>
      </w:pPr>
    </w:p>
    <w:p w14:paraId="6AD0089E">
      <w:pPr>
        <w:jc w:val="center"/>
        <w:outlineLvl w:val="1"/>
        <w:rPr>
          <w:lang w:val="en-US" w:eastAsia="zh-CN"/>
        </w:rPr>
      </w:pPr>
    </w:p>
    <w:p w14:paraId="04A2F2AF">
      <w:pPr>
        <w:jc w:val="center"/>
        <w:outlineLvl w:val="1"/>
        <w:rPr>
          <w:lang w:val="en-US" w:eastAsia="zh-CN"/>
        </w:rPr>
      </w:pPr>
    </w:p>
    <w:p w14:paraId="1A5F82AC">
      <w:pPr>
        <w:jc w:val="center"/>
        <w:outlineLvl w:val="1"/>
        <w:rPr>
          <w:lang w:val="en-US" w:eastAsia="zh-CN"/>
        </w:rPr>
      </w:pPr>
    </w:p>
    <w:p w14:paraId="0C8536F0">
      <w:pPr>
        <w:jc w:val="center"/>
        <w:outlineLvl w:val="1"/>
        <w:rPr>
          <w:lang w:val="en-US" w:eastAsia="zh-CN"/>
        </w:rPr>
      </w:pPr>
    </w:p>
    <w:p w14:paraId="67CADCE0">
      <w:pPr>
        <w:jc w:val="center"/>
        <w:outlineLvl w:val="1"/>
        <w:rPr>
          <w:lang w:val="en-US" w:eastAsia="zh-CN"/>
        </w:rPr>
      </w:pPr>
    </w:p>
    <w:p w14:paraId="144E6251">
      <w:pPr>
        <w:jc w:val="center"/>
        <w:outlineLvl w:val="1"/>
        <w:rPr>
          <w:lang w:val="en-US" w:eastAsia="zh-CN"/>
        </w:rPr>
      </w:pPr>
    </w:p>
    <w:p w14:paraId="17D04617">
      <w:pPr>
        <w:jc w:val="center"/>
        <w:outlineLvl w:val="1"/>
        <w:rPr>
          <w:lang w:val="en-US" w:eastAsia="zh-CN"/>
        </w:rPr>
      </w:pPr>
    </w:p>
    <w:p w14:paraId="0C3F4C3C">
      <w:pPr>
        <w:jc w:val="center"/>
        <w:outlineLvl w:val="1"/>
        <w:rPr>
          <w:lang w:val="en-US" w:eastAsia="zh-CN"/>
        </w:rPr>
      </w:pPr>
    </w:p>
    <w:p w14:paraId="7DC6D2F5">
      <w:pPr>
        <w:jc w:val="center"/>
        <w:outlineLvl w:val="1"/>
        <w:rPr>
          <w:lang w:val="en-US" w:eastAsia="zh-CN"/>
        </w:rPr>
      </w:pPr>
    </w:p>
    <w:p w14:paraId="4C15A070">
      <w:pPr>
        <w:jc w:val="center"/>
        <w:outlineLvl w:val="1"/>
        <w:rPr>
          <w:lang w:val="en-US" w:eastAsia="zh-CN"/>
        </w:rPr>
      </w:pPr>
    </w:p>
    <w:p w14:paraId="280521F0">
      <w:pPr>
        <w:jc w:val="center"/>
        <w:outlineLvl w:val="1"/>
        <w:rPr>
          <w:lang w:val="en-US" w:eastAsia="zh-CN"/>
        </w:rPr>
      </w:pPr>
    </w:p>
    <w:p w14:paraId="2C59617D">
      <w:pPr>
        <w:jc w:val="center"/>
        <w:outlineLvl w:val="1"/>
        <w:rPr>
          <w:lang w:val="en-US" w:eastAsia="zh-CN"/>
        </w:rPr>
      </w:pPr>
    </w:p>
    <w:p w14:paraId="7D1ED34F">
      <w:pPr>
        <w:jc w:val="center"/>
        <w:outlineLvl w:val="1"/>
        <w:rPr>
          <w:lang w:val="en-US" w:eastAsia="zh-CN"/>
        </w:rPr>
      </w:pPr>
    </w:p>
    <w:p w14:paraId="67067DBE">
      <w:pPr>
        <w:jc w:val="center"/>
        <w:outlineLvl w:val="1"/>
        <w:rPr>
          <w:lang w:val="en-US" w:eastAsia="zh-CN"/>
        </w:rPr>
      </w:pPr>
    </w:p>
    <w:p w14:paraId="328A23AD">
      <w:pPr>
        <w:jc w:val="center"/>
        <w:outlineLvl w:val="1"/>
        <w:rPr>
          <w:lang w:val="en-US" w:eastAsia="zh-CN"/>
        </w:rPr>
      </w:pPr>
      <w:r>
        <w:rPr>
          <w:lang w:val="en-US" w:eastAsia="zh-CN"/>
        </w:rPr>
        <w:object>
          <v:shape id="_x0000_i1031" o:spt="75" type="#_x0000_t75" style="height:100.7pt;width:769.25pt;" o:ole="t" filled="f" o:preferrelative="t" stroked="f" coordsize="21600,21600">
            <v:path/>
            <v:fill on="f" focussize="0,0"/>
            <v:stroke on="f"/>
            <v:imagedata r:id="rId21" o:title=""/>
            <o:lock v:ext="edit" aspectratio="f"/>
            <w10:wrap type="none"/>
            <w10:anchorlock/>
          </v:shape>
          <o:OLEObject Type="Embed" ProgID="Excel.Sheet.12" ShapeID="_x0000_i1031" DrawAspect="Content" ObjectID="_1468075731" r:id="rId20">
            <o:LockedField>false</o:LockedField>
          </o:OLEObject>
        </w:object>
      </w:r>
    </w:p>
    <w:p w14:paraId="5C11C816">
      <w:pPr>
        <w:jc w:val="center"/>
        <w:outlineLvl w:val="1"/>
        <w:rPr>
          <w:lang w:val="en-US" w:eastAsia="zh-CN"/>
        </w:rPr>
      </w:pPr>
    </w:p>
    <w:p w14:paraId="61A52FFE">
      <w:pPr>
        <w:jc w:val="center"/>
        <w:outlineLvl w:val="1"/>
        <w:rPr>
          <w:lang w:val="en-US" w:eastAsia="zh-CN"/>
        </w:rPr>
      </w:pPr>
    </w:p>
    <w:p w14:paraId="79DE3442">
      <w:pPr>
        <w:jc w:val="center"/>
        <w:outlineLvl w:val="1"/>
        <w:rPr>
          <w:lang w:val="en-US" w:eastAsia="zh-CN"/>
        </w:rPr>
      </w:pPr>
    </w:p>
    <w:p w14:paraId="5C683864">
      <w:pPr>
        <w:jc w:val="center"/>
        <w:outlineLvl w:val="1"/>
        <w:rPr>
          <w:lang w:val="en-US" w:eastAsia="zh-CN"/>
        </w:rPr>
      </w:pPr>
    </w:p>
    <w:p w14:paraId="0B99D204">
      <w:pPr>
        <w:jc w:val="center"/>
        <w:outlineLvl w:val="1"/>
        <w:rPr>
          <w:lang w:val="en-US" w:eastAsia="zh-CN"/>
        </w:rPr>
      </w:pPr>
    </w:p>
    <w:p w14:paraId="0CCDD67B">
      <w:pPr>
        <w:jc w:val="center"/>
        <w:outlineLvl w:val="1"/>
        <w:rPr>
          <w:lang w:val="en-US" w:eastAsia="zh-CN"/>
        </w:rPr>
      </w:pPr>
    </w:p>
    <w:p w14:paraId="5BA2B274">
      <w:pPr>
        <w:jc w:val="center"/>
        <w:outlineLvl w:val="1"/>
        <w:rPr>
          <w:lang w:val="en-US" w:eastAsia="zh-CN"/>
        </w:rPr>
      </w:pPr>
    </w:p>
    <w:p w14:paraId="3123099F">
      <w:pPr>
        <w:jc w:val="center"/>
        <w:outlineLvl w:val="1"/>
        <w:rPr>
          <w:lang w:val="en-US" w:eastAsia="zh-CN"/>
        </w:rPr>
      </w:pPr>
    </w:p>
    <w:p w14:paraId="02CCBD75">
      <w:pPr>
        <w:jc w:val="center"/>
        <w:outlineLvl w:val="1"/>
        <w:rPr>
          <w:lang w:val="en-US" w:eastAsia="zh-CN"/>
        </w:rPr>
      </w:pPr>
    </w:p>
    <w:p w14:paraId="70B208B3">
      <w:pPr>
        <w:jc w:val="center"/>
        <w:outlineLvl w:val="1"/>
        <w:rPr>
          <w:lang w:val="en-US" w:eastAsia="zh-CN"/>
        </w:rPr>
      </w:pPr>
    </w:p>
    <w:p w14:paraId="406DC916">
      <w:pPr>
        <w:jc w:val="center"/>
        <w:outlineLvl w:val="1"/>
        <w:rPr>
          <w:lang w:val="en-US" w:eastAsia="zh-CN"/>
        </w:rPr>
      </w:pPr>
    </w:p>
    <w:p w14:paraId="68CAE742">
      <w:pPr>
        <w:jc w:val="center"/>
        <w:outlineLvl w:val="1"/>
        <w:rPr>
          <w:lang w:val="en-US" w:eastAsia="zh-CN"/>
        </w:rPr>
      </w:pPr>
    </w:p>
    <w:p w14:paraId="36ABF0C1">
      <w:pPr>
        <w:jc w:val="center"/>
        <w:outlineLvl w:val="1"/>
        <w:rPr>
          <w:lang w:val="en-US" w:eastAsia="zh-CN"/>
        </w:rPr>
      </w:pPr>
    </w:p>
    <w:p w14:paraId="490D81AF">
      <w:pPr>
        <w:jc w:val="center"/>
        <w:outlineLvl w:val="1"/>
        <w:rPr>
          <w:lang w:val="en-US" w:eastAsia="zh-CN"/>
        </w:rPr>
      </w:pPr>
    </w:p>
    <w:p w14:paraId="0DDD97D8">
      <w:pPr>
        <w:jc w:val="center"/>
        <w:outlineLvl w:val="1"/>
        <w:rPr>
          <w:lang w:val="en-US" w:eastAsia="zh-CN"/>
        </w:rPr>
      </w:pPr>
    </w:p>
    <w:p w14:paraId="054F1E51">
      <w:pPr>
        <w:jc w:val="center"/>
        <w:outlineLvl w:val="1"/>
        <w:rPr>
          <w:lang w:val="en-US" w:eastAsia="zh-CN"/>
        </w:rPr>
      </w:pPr>
    </w:p>
    <w:p w14:paraId="71EAA113">
      <w:pPr>
        <w:jc w:val="center"/>
        <w:outlineLvl w:val="1"/>
        <w:rPr>
          <w:lang w:val="en-US" w:eastAsia="zh-CN"/>
        </w:rPr>
      </w:pPr>
    </w:p>
    <w:p w14:paraId="75563792">
      <w:pPr>
        <w:jc w:val="center"/>
        <w:outlineLvl w:val="1"/>
        <w:rPr>
          <w:lang w:val="en-US" w:eastAsia="zh-CN"/>
        </w:rPr>
      </w:pPr>
    </w:p>
    <w:p w14:paraId="2BBA6B58">
      <w:pPr>
        <w:jc w:val="center"/>
        <w:outlineLvl w:val="1"/>
        <w:rPr>
          <w:lang w:val="en-US" w:eastAsia="zh-CN"/>
        </w:rPr>
      </w:pPr>
      <w:r>
        <w:object>
          <v:shape id="_x0000_i1032" o:spt="75" type="#_x0000_t75" style="height:189pt;width:714pt;" o:ole="t" filled="f" o:preferrelative="t" stroked="f" coordsize="21600,21600">
            <v:path/>
            <v:fill on="f" focussize="0,0"/>
            <v:stroke on="f"/>
            <v:imagedata r:id="rId23" o:title=""/>
            <o:lock v:ext="edit" aspectratio="f"/>
            <w10:wrap type="none"/>
            <w10:anchorlock/>
          </v:shape>
          <o:OLEObject Type="Embed" ProgID="Excel.Sheet.8" ShapeID="_x0000_i1032" DrawAspect="Content" ObjectID="_1468075732" r:id="rId22">
            <o:LockedField>false</o:LockedField>
          </o:OLEObject>
        </w:object>
      </w:r>
    </w:p>
    <w:p w14:paraId="5304077D">
      <w:pPr>
        <w:jc w:val="center"/>
        <w:outlineLvl w:val="1"/>
        <w:rPr>
          <w:lang w:val="en-US" w:eastAsia="zh-CN"/>
        </w:rPr>
      </w:pPr>
    </w:p>
    <w:p w14:paraId="6EB85E53">
      <w:pPr>
        <w:jc w:val="center"/>
        <w:outlineLvl w:val="1"/>
        <w:rPr>
          <w:lang w:val="en-US" w:eastAsia="zh-CN"/>
        </w:rPr>
      </w:pPr>
    </w:p>
    <w:p w14:paraId="1FCB7337">
      <w:pPr>
        <w:jc w:val="center"/>
        <w:outlineLvl w:val="1"/>
        <w:rPr>
          <w:lang w:val="en-US" w:eastAsia="zh-CN"/>
        </w:rPr>
      </w:pPr>
    </w:p>
    <w:p w14:paraId="78BB0920">
      <w:pPr>
        <w:jc w:val="center"/>
        <w:outlineLvl w:val="1"/>
        <w:rPr>
          <w:lang w:val="en-US" w:eastAsia="zh-CN"/>
        </w:rPr>
      </w:pPr>
    </w:p>
    <w:p w14:paraId="2A5B6BF2">
      <w:pPr>
        <w:jc w:val="center"/>
        <w:outlineLvl w:val="1"/>
        <w:rPr>
          <w:lang w:val="en-US" w:eastAsia="zh-CN"/>
        </w:rPr>
      </w:pPr>
    </w:p>
    <w:p w14:paraId="37DE6DFD">
      <w:pPr>
        <w:jc w:val="center"/>
        <w:outlineLvl w:val="1"/>
        <w:rPr>
          <w:lang w:val="en-US" w:eastAsia="zh-CN"/>
        </w:rPr>
      </w:pPr>
    </w:p>
    <w:p w14:paraId="6C5206DC">
      <w:pPr>
        <w:jc w:val="center"/>
        <w:outlineLvl w:val="1"/>
        <w:rPr>
          <w:lang w:val="en-US" w:eastAsia="zh-CN"/>
        </w:rPr>
      </w:pPr>
    </w:p>
    <w:p w14:paraId="54F0373F">
      <w:pPr>
        <w:jc w:val="center"/>
        <w:outlineLvl w:val="1"/>
        <w:rPr>
          <w:lang w:val="en-US" w:eastAsia="zh-CN"/>
        </w:rPr>
      </w:pPr>
    </w:p>
    <w:p w14:paraId="1CA812AD">
      <w:pPr>
        <w:jc w:val="center"/>
        <w:outlineLvl w:val="1"/>
        <w:rPr>
          <w:lang w:val="en-US" w:eastAsia="zh-CN"/>
        </w:rPr>
      </w:pPr>
    </w:p>
    <w:p w14:paraId="7F438F59">
      <w:pPr>
        <w:jc w:val="center"/>
        <w:outlineLvl w:val="1"/>
        <w:rPr>
          <w:lang w:val="en-US" w:eastAsia="zh-CN"/>
        </w:rPr>
      </w:pPr>
    </w:p>
    <w:p w14:paraId="65DB90E0">
      <w:pPr>
        <w:jc w:val="center"/>
        <w:outlineLvl w:val="1"/>
        <w:rPr>
          <w:lang w:val="en-US" w:eastAsia="zh-CN"/>
        </w:rPr>
      </w:pPr>
    </w:p>
    <w:p w14:paraId="6CBE5392">
      <w:pPr>
        <w:jc w:val="center"/>
        <w:outlineLvl w:val="1"/>
        <w:rPr>
          <w:lang w:val="en-US" w:eastAsia="zh-CN"/>
        </w:rPr>
      </w:pPr>
    </w:p>
    <w:p w14:paraId="17256B56">
      <w:pPr>
        <w:jc w:val="center"/>
        <w:outlineLvl w:val="1"/>
        <w:rPr>
          <w:lang w:val="en-US" w:eastAsia="zh-CN"/>
        </w:rPr>
      </w:pPr>
    </w:p>
    <w:p w14:paraId="3F702A7F">
      <w:pPr>
        <w:jc w:val="center"/>
        <w:outlineLvl w:val="1"/>
        <w:rPr>
          <w:lang w:val="en-US" w:eastAsia="zh-CN"/>
        </w:rPr>
      </w:pPr>
    </w:p>
    <w:p w14:paraId="67C5CC72">
      <w:pPr>
        <w:spacing w:line="560" w:lineRule="exact"/>
        <w:ind w:firstLine="3975" w:firstLineChars="900"/>
        <w:jc w:val="both"/>
        <w:rPr>
          <w:rFonts w:hint="eastAsia" w:ascii="黑体" w:hAnsi="宋体" w:eastAsia="黑体"/>
          <w:b/>
          <w:sz w:val="44"/>
          <w:szCs w:val="44"/>
          <w:lang w:val="en-US" w:eastAsia="zh-CN"/>
        </w:rPr>
      </w:pPr>
    </w:p>
    <w:p w14:paraId="54A4FF79">
      <w:pPr>
        <w:spacing w:line="560" w:lineRule="exact"/>
        <w:ind w:firstLine="3975" w:firstLineChars="900"/>
        <w:jc w:val="both"/>
        <w:rPr>
          <w:rFonts w:hint="eastAsia" w:ascii="黑体" w:hAnsi="宋体" w:eastAsia="黑体"/>
          <w:b/>
          <w:sz w:val="44"/>
          <w:szCs w:val="44"/>
          <w:lang w:val="en-US" w:eastAsia="zh-CN"/>
        </w:rPr>
      </w:pPr>
    </w:p>
    <w:p w14:paraId="092464CE">
      <w:pPr>
        <w:spacing w:line="560" w:lineRule="exact"/>
        <w:ind w:firstLine="3975" w:firstLineChars="900"/>
        <w:jc w:val="both"/>
        <w:rPr>
          <w:rFonts w:hint="eastAsia" w:ascii="黑体" w:hAnsi="宋体" w:eastAsia="黑体"/>
          <w:b/>
          <w:sz w:val="44"/>
          <w:szCs w:val="44"/>
          <w:lang w:val="en-US" w:eastAsia="zh-CN"/>
        </w:rPr>
      </w:pPr>
    </w:p>
    <w:p w14:paraId="3E67DDF6">
      <w:pPr>
        <w:spacing w:line="560" w:lineRule="exact"/>
        <w:jc w:val="center"/>
        <w:rPr>
          <w:rFonts w:hint="eastAsia" w:ascii="黑体" w:hAnsi="宋体" w:eastAsia="黑体"/>
          <w:b/>
          <w:sz w:val="44"/>
          <w:szCs w:val="44"/>
          <w:lang w:val="en-US" w:eastAsia="zh-CN"/>
        </w:rPr>
      </w:pPr>
    </w:p>
    <w:p w14:paraId="2F212646">
      <w:pPr>
        <w:spacing w:line="560" w:lineRule="exact"/>
        <w:jc w:val="center"/>
        <w:rPr>
          <w:rFonts w:hint="eastAsia" w:ascii="黑体" w:hAnsi="宋体" w:eastAsia="黑体"/>
          <w:b/>
          <w:sz w:val="44"/>
          <w:szCs w:val="44"/>
        </w:rPr>
      </w:pPr>
      <w:r>
        <w:rPr>
          <w:rFonts w:hint="eastAsia" w:ascii="黑体" w:hAnsi="宋体" w:eastAsia="黑体"/>
          <w:b/>
          <w:sz w:val="44"/>
          <w:szCs w:val="44"/>
          <w:lang w:val="en-US" w:eastAsia="zh-CN"/>
        </w:rPr>
        <w:t>2021</w:t>
      </w:r>
      <w:r>
        <w:rPr>
          <w:rFonts w:hint="eastAsia" w:ascii="黑体" w:hAnsi="宋体" w:eastAsia="黑体"/>
          <w:b/>
          <w:sz w:val="44"/>
          <w:szCs w:val="44"/>
        </w:rPr>
        <w:t>年部门预算信息公开情况说明</w:t>
      </w:r>
    </w:p>
    <w:p w14:paraId="0B9F66B3">
      <w:pPr>
        <w:ind w:firstLine="640"/>
        <w:rPr>
          <w:rFonts w:hint="eastAsia" w:eastAsia="方正仿宋_GBK"/>
          <w:sz w:val="28"/>
          <w:szCs w:val="28"/>
          <w:lang w:val="en-US" w:eastAsia="zh-CN"/>
        </w:rPr>
      </w:pPr>
      <w:r>
        <w:rPr>
          <w:rFonts w:hint="eastAsia" w:eastAsia="方正仿宋_GBK"/>
          <w:sz w:val="28"/>
          <w:szCs w:val="28"/>
          <w:lang w:val="en-US" w:eastAsia="zh-CN"/>
        </w:rPr>
        <w:t>按照《中华人民共和国预算法》、《地方预决算公开操作规程》和《河北省省级预算公开办法》规定，现将宁晋县人大办2021年部门预算公开如下：</w:t>
      </w:r>
    </w:p>
    <w:p w14:paraId="3310AF1E">
      <w:pPr>
        <w:numPr>
          <w:ilvl w:val="0"/>
          <w:numId w:val="1"/>
        </w:numPr>
        <w:ind w:firstLine="723" w:firstLineChars="200"/>
        <w:rPr>
          <w:rFonts w:hint="eastAsia" w:ascii="黑体" w:hAnsi="黑体" w:eastAsia="黑体" w:cs="黑体"/>
          <w:b/>
          <w:sz w:val="36"/>
          <w:szCs w:val="36"/>
        </w:rPr>
      </w:pPr>
      <w:r>
        <w:rPr>
          <w:rFonts w:hint="eastAsia" w:ascii="黑体" w:hAnsi="黑体" w:eastAsia="黑体" w:cs="黑体"/>
          <w:b/>
          <w:sz w:val="36"/>
          <w:szCs w:val="36"/>
        </w:rPr>
        <w:t>部门职责、机构设置等基本情况</w:t>
      </w:r>
    </w:p>
    <w:p w14:paraId="708A0B23">
      <w:pPr>
        <w:ind w:firstLine="640"/>
        <w:rPr>
          <w:rFonts w:hint="eastAsia" w:eastAsia="方正仿宋_GBK"/>
          <w:sz w:val="28"/>
          <w:szCs w:val="28"/>
        </w:rPr>
      </w:pPr>
      <w:r>
        <w:rPr>
          <w:rFonts w:hint="eastAsia" w:eastAsia="方正仿宋_GBK"/>
          <w:sz w:val="28"/>
          <w:szCs w:val="28"/>
          <w:lang w:eastAsia="zh-CN"/>
        </w:rPr>
        <w:t>（一）</w:t>
      </w:r>
      <w:r>
        <w:rPr>
          <w:rFonts w:hint="eastAsia" w:eastAsia="方正仿宋_GBK"/>
          <w:sz w:val="28"/>
          <w:szCs w:val="28"/>
        </w:rPr>
        <w:t>部门职责</w:t>
      </w:r>
    </w:p>
    <w:p w14:paraId="4FD7566E">
      <w:pPr>
        <w:ind w:firstLine="640"/>
        <w:rPr>
          <w:rFonts w:hint="eastAsia" w:eastAsia="方正仿宋_GBK"/>
          <w:sz w:val="28"/>
          <w:szCs w:val="28"/>
        </w:rPr>
      </w:pPr>
      <w:r>
        <w:rPr>
          <w:rFonts w:hint="eastAsia" w:eastAsia="方正仿宋_GBK"/>
          <w:sz w:val="28"/>
          <w:szCs w:val="28"/>
          <w:lang w:val="en-US" w:eastAsia="zh-CN"/>
        </w:rPr>
        <w:t>1、</w:t>
      </w:r>
      <w:r>
        <w:rPr>
          <w:rFonts w:hint="eastAsia" w:eastAsia="方正仿宋_GBK"/>
          <w:sz w:val="28"/>
          <w:szCs w:val="28"/>
        </w:rPr>
        <w:t>依法行使重大事项决议决定权和人事任免权；对“一府两院”进行法律监督和工作监督；加强和改进代表工作；加强常委会及机关自身建设；完成县委招商引资、党建、涉法涉诉来信来访、计生、精神文明及县委交办的</w:t>
      </w:r>
      <w:r>
        <w:rPr>
          <w:rFonts w:hint="eastAsia" w:eastAsia="方正仿宋_GBK"/>
          <w:sz w:val="28"/>
          <w:szCs w:val="28"/>
          <w:lang w:eastAsia="zh-CN"/>
        </w:rPr>
        <w:t>其他各项工作</w:t>
      </w:r>
      <w:r>
        <w:rPr>
          <w:rFonts w:hint="eastAsia" w:eastAsia="方正仿宋_GBK"/>
          <w:sz w:val="28"/>
          <w:szCs w:val="28"/>
        </w:rPr>
        <w:t>。</w:t>
      </w:r>
    </w:p>
    <w:p w14:paraId="0FCE4AD7">
      <w:pPr>
        <w:ind w:firstLine="640"/>
        <w:rPr>
          <w:rFonts w:hint="eastAsia" w:eastAsia="方正仿宋_GBK"/>
          <w:sz w:val="28"/>
          <w:szCs w:val="28"/>
        </w:rPr>
      </w:pPr>
      <w:r>
        <w:rPr>
          <w:rFonts w:hint="eastAsia" w:eastAsia="方正仿宋_GBK"/>
          <w:sz w:val="28"/>
          <w:szCs w:val="28"/>
          <w:lang w:val="en-US" w:eastAsia="zh-CN"/>
        </w:rPr>
        <w:t>2、</w:t>
      </w:r>
      <w:r>
        <w:rPr>
          <w:rFonts w:hint="eastAsia" w:eastAsia="方正仿宋_GBK"/>
          <w:sz w:val="28"/>
          <w:szCs w:val="28"/>
        </w:rPr>
        <w:t>依照法律规定，筹备组织好一年一次的人民代表大</w:t>
      </w:r>
      <w:r>
        <w:rPr>
          <w:rFonts w:hint="eastAsia" w:eastAsia="方正仿宋_GBK"/>
          <w:sz w:val="28"/>
          <w:szCs w:val="28"/>
          <w:lang w:eastAsia="zh-CN"/>
        </w:rPr>
        <w:t>会</w:t>
      </w:r>
      <w:r>
        <w:rPr>
          <w:rFonts w:hint="eastAsia" w:eastAsia="方正仿宋_GBK"/>
          <w:sz w:val="28"/>
          <w:szCs w:val="28"/>
        </w:rPr>
        <w:t>，做好会议筹备工作确保会议顺利进行，共商全县发展大局，确定年度发展目标和重大措施。</w:t>
      </w:r>
    </w:p>
    <w:p w14:paraId="1C40DCB4">
      <w:pPr>
        <w:ind w:firstLine="640"/>
        <w:rPr>
          <w:rFonts w:hint="eastAsia" w:eastAsia="方正仿宋_GBK"/>
          <w:sz w:val="28"/>
          <w:szCs w:val="28"/>
        </w:rPr>
      </w:pPr>
      <w:r>
        <w:rPr>
          <w:rFonts w:hint="eastAsia" w:eastAsia="方正仿宋_GBK"/>
          <w:sz w:val="28"/>
          <w:szCs w:val="28"/>
          <w:lang w:val="en-US" w:eastAsia="zh-CN"/>
        </w:rPr>
        <w:t>3、</w:t>
      </w:r>
      <w:r>
        <w:rPr>
          <w:rFonts w:hint="eastAsia" w:eastAsia="方正仿宋_GBK"/>
          <w:sz w:val="28"/>
          <w:szCs w:val="28"/>
        </w:rPr>
        <w:t>围绕县委中心和一府两院重点工作组织开展调研、视察、执法检查和工作评议等活动；依法行使人事任免权，承担对县政府组成人员和县法检两院干部的任后监督、工作评议等工作。</w:t>
      </w:r>
    </w:p>
    <w:p w14:paraId="2590CD82">
      <w:pPr>
        <w:ind w:firstLine="640"/>
        <w:rPr>
          <w:rFonts w:hint="eastAsia" w:eastAsia="方正仿宋_GBK"/>
          <w:sz w:val="28"/>
          <w:szCs w:val="28"/>
        </w:rPr>
      </w:pPr>
      <w:r>
        <w:rPr>
          <w:rFonts w:hint="eastAsia" w:eastAsia="方正仿宋_GBK"/>
          <w:sz w:val="28"/>
          <w:szCs w:val="28"/>
          <w:lang w:eastAsia="zh-CN"/>
        </w:rPr>
        <w:t>（二）</w:t>
      </w:r>
      <w:r>
        <w:rPr>
          <w:rFonts w:hint="eastAsia" w:eastAsia="方正仿宋_GBK"/>
          <w:sz w:val="28"/>
          <w:szCs w:val="28"/>
        </w:rPr>
        <w:t>内设机构</w:t>
      </w:r>
    </w:p>
    <w:p w14:paraId="5786936C">
      <w:pPr>
        <w:ind w:firstLine="640"/>
        <w:rPr>
          <w:rFonts w:hint="eastAsia" w:eastAsia="方正仿宋_GBK"/>
          <w:sz w:val="28"/>
          <w:szCs w:val="28"/>
        </w:rPr>
      </w:pPr>
      <w:r>
        <w:rPr>
          <w:rFonts w:hint="eastAsia" w:eastAsia="方正仿宋_GBK"/>
          <w:sz w:val="28"/>
          <w:szCs w:val="28"/>
          <w:lang w:val="en-US" w:eastAsia="zh-CN"/>
        </w:rPr>
        <w:t>1、</w:t>
      </w:r>
      <w:r>
        <w:rPr>
          <w:rFonts w:hint="eastAsia" w:eastAsia="方正仿宋_GBK"/>
          <w:sz w:val="28"/>
          <w:szCs w:val="28"/>
        </w:rPr>
        <w:t>办公室</w:t>
      </w:r>
    </w:p>
    <w:p w14:paraId="0F159958">
      <w:pPr>
        <w:ind w:firstLine="640"/>
        <w:rPr>
          <w:rFonts w:hint="eastAsia" w:eastAsia="方正仿宋_GBK"/>
          <w:sz w:val="28"/>
          <w:szCs w:val="28"/>
        </w:rPr>
      </w:pPr>
      <w:r>
        <w:rPr>
          <w:rFonts w:hint="eastAsia" w:eastAsia="方正仿宋_GBK"/>
          <w:sz w:val="28"/>
          <w:szCs w:val="28"/>
        </w:rPr>
        <w:t>负责各种综合性文件的起草、印发、公文处理、整理会议纪要、编辑会刊及工作简报；负责常委会会议、主任会议及有关会议的组织和会务工作；组织文件传阅、归档和文书印签管理；负责常委会内部的行政事务和工勤服务管理，负责常委会内部的行政事务和工勤服务人员的管理；负责办理人事任免手续、管理机关干部职工档案，协调、配合其他工作室完成有关的重要工作，参与各项视察、检查的组织安排，承办人大常委会、主任会议交办的其他事宜。</w:t>
      </w:r>
    </w:p>
    <w:p w14:paraId="3F895BD7">
      <w:pPr>
        <w:ind w:firstLine="640"/>
        <w:rPr>
          <w:rFonts w:hint="eastAsia" w:eastAsia="方正仿宋_GBK"/>
          <w:sz w:val="28"/>
          <w:szCs w:val="28"/>
        </w:rPr>
      </w:pPr>
      <w:r>
        <w:rPr>
          <w:rFonts w:hint="eastAsia" w:eastAsia="方正仿宋_GBK"/>
          <w:sz w:val="28"/>
          <w:szCs w:val="28"/>
          <w:lang w:val="en-US" w:eastAsia="zh-CN"/>
        </w:rPr>
        <w:t>2、</w:t>
      </w:r>
      <w:r>
        <w:rPr>
          <w:rFonts w:hint="eastAsia" w:eastAsia="方正仿宋_GBK"/>
          <w:sz w:val="28"/>
          <w:szCs w:val="28"/>
        </w:rPr>
        <w:t>法制工作室</w:t>
      </w:r>
    </w:p>
    <w:p w14:paraId="76994D32">
      <w:pPr>
        <w:ind w:firstLine="640"/>
        <w:rPr>
          <w:rFonts w:hint="eastAsia" w:eastAsia="方正仿宋_GBK"/>
          <w:sz w:val="28"/>
          <w:szCs w:val="28"/>
        </w:rPr>
      </w:pPr>
      <w:r>
        <w:rPr>
          <w:rFonts w:hint="eastAsia" w:eastAsia="方正仿宋_GBK"/>
          <w:sz w:val="28"/>
          <w:szCs w:val="28"/>
        </w:rPr>
        <w:t>负责调查了解本行政区域内实施宪法法律的情况，对于县人民政府发布的行政命令、行政规章和乡镇人代会的决议，以及两院在执法中出现的与宪法、法律、法规相抵触的问题；对有关法制方面的议案、意见和建议进行调查研究，为常委会审议做好准备；了解司法人员的执法情况，受理人民群众有关法律方面的控告、检举和批评建议；组织好关于司法方面的视察和检查，并向常委会报告有关的情况；办理常委会交付的其他工作。</w:t>
      </w:r>
    </w:p>
    <w:p w14:paraId="6D6199BB">
      <w:pPr>
        <w:ind w:firstLine="640"/>
        <w:rPr>
          <w:rFonts w:hint="eastAsia" w:eastAsia="方正仿宋_GBK"/>
          <w:sz w:val="28"/>
          <w:szCs w:val="28"/>
        </w:rPr>
      </w:pPr>
      <w:r>
        <w:rPr>
          <w:rFonts w:hint="eastAsia" w:eastAsia="方正仿宋_GBK"/>
          <w:sz w:val="28"/>
          <w:szCs w:val="28"/>
          <w:lang w:val="en-US" w:eastAsia="zh-CN"/>
        </w:rPr>
        <w:t>3、</w:t>
      </w:r>
      <w:r>
        <w:rPr>
          <w:rFonts w:hint="eastAsia" w:eastAsia="方正仿宋_GBK"/>
          <w:sz w:val="28"/>
          <w:szCs w:val="28"/>
        </w:rPr>
        <w:t>代表工作室</w:t>
      </w:r>
    </w:p>
    <w:p w14:paraId="7E024C06">
      <w:pPr>
        <w:ind w:firstLine="640"/>
        <w:rPr>
          <w:rFonts w:hint="eastAsia" w:eastAsia="方正仿宋_GBK"/>
          <w:sz w:val="28"/>
          <w:szCs w:val="28"/>
        </w:rPr>
      </w:pPr>
      <w:r>
        <w:rPr>
          <w:rFonts w:hint="eastAsia" w:eastAsia="方正仿宋_GBK"/>
          <w:sz w:val="28"/>
          <w:szCs w:val="28"/>
        </w:rPr>
        <w:t>负责组织人大常委会同代表的联系活动，参与常委会组织的代表开展的各项检查、视察的联系工作，掌握县人大代表的活动情况，办理人民代表的补选、罢免手续，组织代表座谈、走访代表，联系并指导乡镇人大主席团开展工作，转交催办代表议案和建议，办理人大常委会交办的其他任务。</w:t>
      </w:r>
    </w:p>
    <w:p w14:paraId="3CCA44B3">
      <w:pPr>
        <w:ind w:firstLine="640"/>
        <w:rPr>
          <w:rFonts w:hint="eastAsia" w:eastAsia="方正仿宋_GBK"/>
          <w:sz w:val="28"/>
          <w:szCs w:val="28"/>
        </w:rPr>
      </w:pPr>
      <w:r>
        <w:rPr>
          <w:rFonts w:hint="eastAsia" w:eastAsia="方正仿宋_GBK"/>
          <w:sz w:val="28"/>
          <w:szCs w:val="28"/>
          <w:lang w:val="en-US" w:eastAsia="zh-CN"/>
        </w:rPr>
        <w:t>4、</w:t>
      </w:r>
      <w:r>
        <w:rPr>
          <w:rFonts w:hint="eastAsia" w:eastAsia="方正仿宋_GBK"/>
          <w:sz w:val="28"/>
          <w:szCs w:val="28"/>
        </w:rPr>
        <w:t>财经工作室</w:t>
      </w:r>
    </w:p>
    <w:p w14:paraId="29BB0E29">
      <w:pPr>
        <w:ind w:firstLine="640"/>
        <w:rPr>
          <w:rFonts w:hint="eastAsia" w:eastAsia="方正仿宋_GBK"/>
          <w:sz w:val="28"/>
          <w:szCs w:val="28"/>
        </w:rPr>
      </w:pPr>
      <w:r>
        <w:rPr>
          <w:rFonts w:hint="eastAsia" w:eastAsia="方正仿宋_GBK"/>
          <w:sz w:val="28"/>
          <w:szCs w:val="28"/>
        </w:rPr>
        <w:t>负责对全县的财政经济工作进行调查研究、提出意见和建议，为常委会审议有关议题提供依据和参考；调查国民经济和社会发展计划执行情况、财政预算执行情况；组织好关于财经方面的视察、检查，并向常委会报告有关情况；组织有关部门和人员讨论上级人大拟定的有关经济方面的法律草案，提出修改意见。</w:t>
      </w:r>
    </w:p>
    <w:p w14:paraId="6F38AC98">
      <w:pPr>
        <w:ind w:firstLine="640"/>
        <w:rPr>
          <w:rFonts w:hint="eastAsia" w:eastAsia="方正仿宋_GBK"/>
          <w:sz w:val="28"/>
          <w:szCs w:val="28"/>
        </w:rPr>
      </w:pPr>
      <w:r>
        <w:rPr>
          <w:rFonts w:hint="eastAsia" w:eastAsia="方正仿宋_GBK"/>
          <w:sz w:val="28"/>
          <w:szCs w:val="28"/>
        </w:rPr>
        <w:t>从预算单位构成看，宁晋县人大办</w:t>
      </w:r>
      <w:r>
        <w:rPr>
          <w:rFonts w:hint="eastAsia" w:eastAsia="方正仿宋_GBK"/>
          <w:sz w:val="28"/>
          <w:szCs w:val="28"/>
          <w:lang w:val="en-US" w:eastAsia="zh-CN"/>
        </w:rPr>
        <w:t>2021</w:t>
      </w:r>
      <w:r>
        <w:rPr>
          <w:rFonts w:hint="eastAsia" w:eastAsia="方正仿宋_GBK"/>
          <w:sz w:val="28"/>
          <w:szCs w:val="28"/>
        </w:rPr>
        <w:t>年度部门预算包括局本级预算。</w:t>
      </w:r>
    </w:p>
    <w:p w14:paraId="1773F54A">
      <w:pPr>
        <w:ind w:firstLine="640"/>
        <w:rPr>
          <w:rFonts w:hint="eastAsia" w:eastAsia="方正仿宋_GBK"/>
          <w:sz w:val="28"/>
          <w:szCs w:val="28"/>
        </w:rPr>
      </w:pPr>
      <w:r>
        <w:rPr>
          <w:rFonts w:hint="eastAsia" w:eastAsia="方正仿宋_GBK"/>
          <w:sz w:val="28"/>
          <w:szCs w:val="28"/>
        </w:rPr>
        <w:t>纳入宁晋县人大办</w:t>
      </w:r>
      <w:r>
        <w:rPr>
          <w:rFonts w:hint="eastAsia" w:eastAsia="方正仿宋_GBK"/>
          <w:sz w:val="28"/>
          <w:szCs w:val="28"/>
          <w:lang w:val="en-US" w:eastAsia="zh-CN"/>
        </w:rPr>
        <w:t>2021</w:t>
      </w:r>
      <w:r>
        <w:rPr>
          <w:rFonts w:hint="eastAsia" w:eastAsia="方正仿宋_GBK"/>
          <w:sz w:val="28"/>
          <w:szCs w:val="28"/>
        </w:rPr>
        <w:t>年度部门预算编制范围的单位共1个，详细情况见下表：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7C4B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noWrap w:val="0"/>
            <w:vAlign w:val="center"/>
          </w:tcPr>
          <w:p w14:paraId="37A04519">
            <w:pPr>
              <w:spacing w:line="300" w:lineRule="exact"/>
              <w:jc w:val="center"/>
              <w:rPr>
                <w:rFonts w:eastAsia="方正书宋_GBK"/>
                <w:b/>
                <w:szCs w:val="24"/>
              </w:rPr>
            </w:pPr>
            <w:r>
              <w:rPr>
                <w:rFonts w:eastAsia="方正书宋_GBK"/>
                <w:b/>
                <w:szCs w:val="24"/>
              </w:rPr>
              <w:t>单位名称</w:t>
            </w:r>
          </w:p>
        </w:tc>
        <w:tc>
          <w:tcPr>
            <w:tcW w:w="1134" w:type="dxa"/>
            <w:vMerge w:val="restart"/>
            <w:noWrap w:val="0"/>
            <w:vAlign w:val="center"/>
          </w:tcPr>
          <w:p w14:paraId="5C2C34E4">
            <w:pPr>
              <w:spacing w:line="300" w:lineRule="exact"/>
              <w:jc w:val="center"/>
              <w:rPr>
                <w:rFonts w:eastAsia="方正书宋_GBK"/>
                <w:b/>
                <w:szCs w:val="24"/>
              </w:rPr>
            </w:pPr>
            <w:r>
              <w:rPr>
                <w:rFonts w:eastAsia="方正书宋_GBK"/>
                <w:b/>
                <w:szCs w:val="24"/>
              </w:rPr>
              <w:t>单位性质</w:t>
            </w:r>
          </w:p>
        </w:tc>
        <w:tc>
          <w:tcPr>
            <w:tcW w:w="1276" w:type="dxa"/>
            <w:vMerge w:val="restart"/>
            <w:noWrap w:val="0"/>
            <w:vAlign w:val="center"/>
          </w:tcPr>
          <w:p w14:paraId="5ACEA80F">
            <w:pPr>
              <w:spacing w:line="300" w:lineRule="exact"/>
              <w:jc w:val="center"/>
              <w:rPr>
                <w:rFonts w:eastAsia="方正书宋_GBK"/>
                <w:b/>
                <w:szCs w:val="24"/>
              </w:rPr>
            </w:pPr>
            <w:r>
              <w:rPr>
                <w:rFonts w:eastAsia="方正书宋_GBK"/>
                <w:b/>
                <w:szCs w:val="24"/>
              </w:rPr>
              <w:t>单位规格</w:t>
            </w:r>
          </w:p>
        </w:tc>
        <w:tc>
          <w:tcPr>
            <w:tcW w:w="2902" w:type="dxa"/>
            <w:vMerge w:val="restart"/>
            <w:noWrap w:val="0"/>
            <w:vAlign w:val="center"/>
          </w:tcPr>
          <w:p w14:paraId="5C022CE8">
            <w:pPr>
              <w:spacing w:line="300" w:lineRule="exact"/>
              <w:jc w:val="center"/>
              <w:rPr>
                <w:rFonts w:eastAsia="方正书宋_GBK"/>
                <w:b/>
                <w:szCs w:val="24"/>
              </w:rPr>
            </w:pPr>
            <w:r>
              <w:rPr>
                <w:rFonts w:eastAsia="方正书宋_GBK"/>
                <w:b/>
                <w:szCs w:val="24"/>
              </w:rPr>
              <w:t>经费保障形式</w:t>
            </w:r>
          </w:p>
        </w:tc>
      </w:tr>
      <w:tr w14:paraId="32C2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noWrap w:val="0"/>
            <w:vAlign w:val="center"/>
          </w:tcPr>
          <w:p w14:paraId="3A80A149">
            <w:pPr>
              <w:spacing w:line="300" w:lineRule="exact"/>
              <w:jc w:val="left"/>
              <w:outlineLvl w:val="0"/>
              <w:rPr>
                <w:szCs w:val="24"/>
              </w:rPr>
            </w:pPr>
          </w:p>
        </w:tc>
        <w:tc>
          <w:tcPr>
            <w:tcW w:w="1134" w:type="dxa"/>
            <w:vMerge w:val="continue"/>
            <w:noWrap w:val="0"/>
            <w:vAlign w:val="center"/>
          </w:tcPr>
          <w:p w14:paraId="1785FFD8">
            <w:pPr>
              <w:spacing w:line="300" w:lineRule="exact"/>
              <w:jc w:val="left"/>
              <w:outlineLvl w:val="0"/>
              <w:rPr>
                <w:szCs w:val="24"/>
              </w:rPr>
            </w:pPr>
          </w:p>
        </w:tc>
        <w:tc>
          <w:tcPr>
            <w:tcW w:w="1276" w:type="dxa"/>
            <w:vMerge w:val="continue"/>
            <w:noWrap w:val="0"/>
            <w:vAlign w:val="center"/>
          </w:tcPr>
          <w:p w14:paraId="225A8CCF">
            <w:pPr>
              <w:spacing w:line="300" w:lineRule="exact"/>
              <w:jc w:val="left"/>
              <w:outlineLvl w:val="0"/>
              <w:rPr>
                <w:szCs w:val="24"/>
              </w:rPr>
            </w:pPr>
          </w:p>
        </w:tc>
        <w:tc>
          <w:tcPr>
            <w:tcW w:w="2902" w:type="dxa"/>
            <w:vMerge w:val="continue"/>
            <w:noWrap w:val="0"/>
            <w:vAlign w:val="center"/>
          </w:tcPr>
          <w:p w14:paraId="7CF1343A">
            <w:pPr>
              <w:spacing w:line="300" w:lineRule="exact"/>
              <w:jc w:val="left"/>
              <w:outlineLvl w:val="0"/>
              <w:rPr>
                <w:szCs w:val="24"/>
              </w:rPr>
            </w:pPr>
          </w:p>
        </w:tc>
      </w:tr>
      <w:tr w14:paraId="5AF1E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14:paraId="26D329A8">
            <w:pPr>
              <w:spacing w:line="300" w:lineRule="exact"/>
              <w:jc w:val="left"/>
              <w:rPr>
                <w:rFonts w:hint="eastAsia" w:eastAsia="方正书宋_GBK"/>
                <w:szCs w:val="24"/>
              </w:rPr>
            </w:pPr>
            <w:r>
              <w:rPr>
                <w:rFonts w:hint="eastAsia" w:ascii="方正书宋_GBK" w:eastAsia="方正书宋_GBK"/>
              </w:rPr>
              <w:t>宁晋县人大常委会</w:t>
            </w:r>
          </w:p>
        </w:tc>
        <w:tc>
          <w:tcPr>
            <w:tcW w:w="1134" w:type="dxa"/>
            <w:noWrap w:val="0"/>
            <w:vAlign w:val="center"/>
          </w:tcPr>
          <w:p w14:paraId="0D12DA2A">
            <w:pPr>
              <w:spacing w:line="300" w:lineRule="exact"/>
              <w:jc w:val="center"/>
              <w:rPr>
                <w:rFonts w:eastAsia="方正书宋_GBK"/>
                <w:szCs w:val="24"/>
              </w:rPr>
            </w:pPr>
            <w:r>
              <w:rPr>
                <w:rFonts w:hint="eastAsia" w:ascii="方正书宋_GBK" w:eastAsia="方正书宋_GBK"/>
              </w:rPr>
              <w:t>行政</w:t>
            </w:r>
          </w:p>
        </w:tc>
        <w:tc>
          <w:tcPr>
            <w:tcW w:w="1276" w:type="dxa"/>
            <w:noWrap w:val="0"/>
            <w:vAlign w:val="center"/>
          </w:tcPr>
          <w:p w14:paraId="5FE15B85">
            <w:pPr>
              <w:spacing w:line="300" w:lineRule="exact"/>
              <w:jc w:val="center"/>
              <w:rPr>
                <w:rFonts w:eastAsia="方正书宋_GBK"/>
                <w:szCs w:val="24"/>
              </w:rPr>
            </w:pPr>
            <w:r>
              <w:rPr>
                <w:rFonts w:hint="eastAsia" w:ascii="方正书宋_GBK" w:eastAsia="方正书宋_GBK"/>
              </w:rPr>
              <w:t>正处级</w:t>
            </w:r>
          </w:p>
        </w:tc>
        <w:tc>
          <w:tcPr>
            <w:tcW w:w="2902" w:type="dxa"/>
            <w:noWrap w:val="0"/>
            <w:vAlign w:val="center"/>
          </w:tcPr>
          <w:p w14:paraId="09762751">
            <w:pPr>
              <w:spacing w:line="300" w:lineRule="exact"/>
              <w:jc w:val="center"/>
              <w:rPr>
                <w:rFonts w:eastAsia="方正书宋_GBK"/>
                <w:szCs w:val="24"/>
              </w:rPr>
            </w:pPr>
            <w:r>
              <w:rPr>
                <w:rFonts w:hint="eastAsia" w:ascii="方正书宋_GBK" w:eastAsia="方正书宋_GBK"/>
              </w:rPr>
              <w:t>财政拨款</w:t>
            </w:r>
          </w:p>
        </w:tc>
      </w:tr>
      <w:tr w14:paraId="691F4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14:paraId="593DA836">
            <w:pPr>
              <w:spacing w:line="300" w:lineRule="exact"/>
              <w:jc w:val="left"/>
              <w:rPr>
                <w:rFonts w:eastAsia="方正书宋_GBK"/>
                <w:szCs w:val="24"/>
              </w:rPr>
            </w:pPr>
          </w:p>
        </w:tc>
        <w:tc>
          <w:tcPr>
            <w:tcW w:w="1134" w:type="dxa"/>
            <w:noWrap w:val="0"/>
            <w:vAlign w:val="center"/>
          </w:tcPr>
          <w:p w14:paraId="0503E5F7">
            <w:pPr>
              <w:spacing w:line="300" w:lineRule="exact"/>
              <w:jc w:val="left"/>
              <w:rPr>
                <w:rFonts w:eastAsia="方正书宋_GBK"/>
                <w:szCs w:val="24"/>
              </w:rPr>
            </w:pPr>
          </w:p>
        </w:tc>
        <w:tc>
          <w:tcPr>
            <w:tcW w:w="1276" w:type="dxa"/>
            <w:noWrap w:val="0"/>
            <w:vAlign w:val="center"/>
          </w:tcPr>
          <w:p w14:paraId="1BB07EEB">
            <w:pPr>
              <w:spacing w:line="300" w:lineRule="exact"/>
              <w:jc w:val="left"/>
              <w:rPr>
                <w:rFonts w:eastAsia="方正书宋_GBK"/>
                <w:szCs w:val="24"/>
              </w:rPr>
            </w:pPr>
          </w:p>
        </w:tc>
        <w:tc>
          <w:tcPr>
            <w:tcW w:w="2902" w:type="dxa"/>
            <w:noWrap w:val="0"/>
            <w:vAlign w:val="center"/>
          </w:tcPr>
          <w:p w14:paraId="581F7CCF">
            <w:pPr>
              <w:spacing w:line="300" w:lineRule="exact"/>
              <w:jc w:val="left"/>
              <w:rPr>
                <w:rFonts w:eastAsia="方正书宋_GBK"/>
                <w:szCs w:val="24"/>
              </w:rPr>
            </w:pPr>
          </w:p>
        </w:tc>
      </w:tr>
    </w:tbl>
    <w:p w14:paraId="245CB17B">
      <w:pPr>
        <w:widowControl/>
        <w:ind w:firstLine="320" w:firstLineChars="100"/>
        <w:jc w:val="left"/>
        <w:rPr>
          <w:rFonts w:hint="eastAsia" w:ascii="宋体" w:hAnsi="宋体" w:cs="宋体"/>
          <w:kern w:val="0"/>
          <w:sz w:val="32"/>
          <w:szCs w:val="32"/>
          <w:lang w:bidi="ar"/>
        </w:rPr>
      </w:pPr>
    </w:p>
    <w:p w14:paraId="227CC260">
      <w:pPr>
        <w:pStyle w:val="22"/>
        <w:numPr>
          <w:ilvl w:val="0"/>
          <w:numId w:val="1"/>
        </w:numPr>
        <w:ind w:firstLine="723"/>
        <w:rPr>
          <w:rFonts w:hint="eastAsia" w:ascii="黑体" w:hAnsi="黑体" w:eastAsia="黑体" w:cs="黑体"/>
          <w:b/>
          <w:kern w:val="0"/>
          <w:sz w:val="36"/>
          <w:szCs w:val="36"/>
        </w:rPr>
      </w:pPr>
      <w:r>
        <w:rPr>
          <w:rFonts w:hint="eastAsia" w:ascii="黑体" w:hAnsi="黑体" w:eastAsia="黑体" w:cs="黑体"/>
          <w:b/>
          <w:kern w:val="0"/>
          <w:sz w:val="36"/>
          <w:szCs w:val="36"/>
        </w:rPr>
        <w:t>部门预算安排总体情况</w:t>
      </w:r>
    </w:p>
    <w:p w14:paraId="2C35D95C">
      <w:pPr>
        <w:ind w:firstLine="640"/>
        <w:rPr>
          <w:rFonts w:eastAsia="方正仿宋_GBK"/>
          <w:sz w:val="28"/>
          <w:szCs w:val="28"/>
        </w:rPr>
      </w:pPr>
      <w:r>
        <w:rPr>
          <w:rFonts w:hint="eastAsia" w:ascii="黑体" w:eastAsia="黑体" w:cs="FZFSK--GBK1-0"/>
          <w:b/>
          <w:kern w:val="0"/>
          <w:sz w:val="36"/>
          <w:szCs w:val="36"/>
        </w:rPr>
        <w:t xml:space="preserve">   </w:t>
      </w:r>
      <w:r>
        <w:rPr>
          <w:rFonts w:eastAsia="方正仿宋_GBK"/>
          <w:sz w:val="28"/>
          <w:szCs w:val="28"/>
        </w:rPr>
        <w:t>按照预算管理有关规定，目前我</w:t>
      </w:r>
      <w:r>
        <w:rPr>
          <w:rFonts w:hint="eastAsia" w:eastAsia="方正仿宋_GBK"/>
          <w:sz w:val="28"/>
          <w:szCs w:val="28"/>
        </w:rPr>
        <w:t>单位</w:t>
      </w:r>
      <w:r>
        <w:rPr>
          <w:rFonts w:eastAsia="方正仿宋_GBK"/>
          <w:sz w:val="28"/>
          <w:szCs w:val="28"/>
        </w:rPr>
        <w:t>预算的编制实行综合预算制度，即全部收入和支出都反映的预算中。</w:t>
      </w:r>
      <w:r>
        <w:rPr>
          <w:rFonts w:hint="eastAsia" w:eastAsia="方正仿宋_GBK"/>
          <w:sz w:val="28"/>
          <w:szCs w:val="28"/>
          <w:lang w:val="en-US" w:eastAsia="zh-CN"/>
        </w:rPr>
        <w:t xml:space="preserve"> </w:t>
      </w:r>
      <w:r>
        <w:rPr>
          <w:rFonts w:hint="eastAsia" w:eastAsia="方正仿宋_GBK"/>
          <w:sz w:val="28"/>
          <w:szCs w:val="28"/>
        </w:rPr>
        <w:t>宁晋县人大办</w:t>
      </w:r>
      <w:r>
        <w:rPr>
          <w:rFonts w:eastAsia="方正仿宋_GBK"/>
          <w:sz w:val="28"/>
          <w:szCs w:val="28"/>
        </w:rPr>
        <w:t>的收支包含在部门预算中。</w:t>
      </w:r>
    </w:p>
    <w:p w14:paraId="31A09096">
      <w:pPr>
        <w:pStyle w:val="22"/>
        <w:ind w:firstLine="0" w:firstLineChars="0"/>
        <w:rPr>
          <w:rFonts w:hint="eastAsia" w:eastAsia="方正仿宋_GBK"/>
          <w:kern w:val="2"/>
          <w:sz w:val="28"/>
          <w:szCs w:val="28"/>
          <w:lang w:val="en-US" w:eastAsia="zh-CN" w:bidi="ar-SA"/>
        </w:rPr>
      </w:pPr>
      <w:r>
        <w:rPr>
          <w:rFonts w:hint="eastAsia" w:ascii="黑体" w:eastAsia="黑体" w:cs="FZFSK--GBK1-0"/>
          <w:b/>
          <w:kern w:val="0"/>
          <w:sz w:val="36"/>
          <w:szCs w:val="36"/>
        </w:rPr>
        <w:t xml:space="preserve">    </w:t>
      </w:r>
      <w:r>
        <w:rPr>
          <w:rFonts w:hint="eastAsia" w:eastAsia="方正仿宋_GBK"/>
          <w:kern w:val="2"/>
          <w:sz w:val="28"/>
          <w:szCs w:val="28"/>
          <w:lang w:val="en-US" w:eastAsia="zh-CN" w:bidi="ar-SA"/>
        </w:rPr>
        <w:t>1、收入说明</w:t>
      </w:r>
    </w:p>
    <w:p w14:paraId="24903FBA">
      <w:pPr>
        <w:ind w:firstLine="560" w:firstLineChars="200"/>
        <w:rPr>
          <w:rFonts w:hint="eastAsia" w:eastAsia="方正仿宋_GBK"/>
          <w:kern w:val="2"/>
          <w:sz w:val="28"/>
          <w:szCs w:val="28"/>
          <w:lang w:val="en-US" w:eastAsia="zh-CN" w:bidi="ar-SA"/>
        </w:rPr>
      </w:pPr>
      <w:r>
        <w:rPr>
          <w:rFonts w:hint="eastAsia" w:eastAsia="方正仿宋_GBK"/>
          <w:kern w:val="2"/>
          <w:sz w:val="28"/>
          <w:szCs w:val="28"/>
          <w:lang w:val="en-US" w:eastAsia="zh-CN" w:bidi="ar-SA"/>
        </w:rPr>
        <w:t>反应本部门当年全部收入，2021年预算收入488.67万元，其中：事业费限额0万元，非限额补助488.67万元。</w:t>
      </w:r>
    </w:p>
    <w:p w14:paraId="386F8BC8">
      <w:pPr>
        <w:numPr>
          <w:ilvl w:val="0"/>
          <w:numId w:val="2"/>
        </w:numPr>
        <w:ind w:firstLine="640"/>
        <w:rPr>
          <w:rFonts w:hint="eastAsia" w:eastAsia="方正仿宋_GBK"/>
          <w:kern w:val="2"/>
          <w:sz w:val="28"/>
          <w:szCs w:val="28"/>
          <w:lang w:val="en-US" w:eastAsia="zh-CN" w:bidi="ar-SA"/>
        </w:rPr>
      </w:pPr>
      <w:r>
        <w:rPr>
          <w:rFonts w:hint="eastAsia" w:eastAsia="方正仿宋_GBK"/>
          <w:kern w:val="2"/>
          <w:sz w:val="28"/>
          <w:szCs w:val="28"/>
          <w:lang w:val="en-US" w:eastAsia="zh-CN" w:bidi="ar-SA"/>
        </w:rPr>
        <w:t>支出说明</w:t>
      </w:r>
    </w:p>
    <w:p w14:paraId="0E2B12AB">
      <w:pPr>
        <w:rPr>
          <w:rFonts w:hint="eastAsia" w:eastAsia="方正仿宋_GBK"/>
          <w:kern w:val="2"/>
          <w:sz w:val="28"/>
          <w:szCs w:val="28"/>
          <w:lang w:val="en-US" w:eastAsia="zh-CN" w:bidi="ar-SA"/>
        </w:rPr>
      </w:pPr>
      <w:r>
        <w:rPr>
          <w:rFonts w:hint="eastAsia" w:eastAsia="方正仿宋_GBK"/>
          <w:kern w:val="2"/>
          <w:sz w:val="28"/>
          <w:szCs w:val="28"/>
          <w:lang w:val="en-US" w:eastAsia="zh-CN" w:bidi="ar-SA"/>
        </w:rPr>
        <w:t xml:space="preserve">    收支预算总表支出栏、基本支出表、项目支出表按经济分类和支出功能分类科目编制，反映宁晋县人大办年度部门预算中支出预算的总体情况。2021年部门支出预算为488.67万元，其中基本支出359.95万元，包括人员经费298.73万元和日常公用经费61.22万元；项目支出128.72万元，全部为本级支出。</w:t>
      </w:r>
    </w:p>
    <w:p w14:paraId="21137D26">
      <w:pPr>
        <w:numPr>
          <w:ilvl w:val="0"/>
          <w:numId w:val="2"/>
        </w:numPr>
        <w:ind w:firstLine="640"/>
        <w:rPr>
          <w:rFonts w:hint="eastAsia" w:eastAsia="方正仿宋_GBK"/>
          <w:kern w:val="2"/>
          <w:sz w:val="28"/>
          <w:szCs w:val="28"/>
          <w:lang w:val="en-US" w:eastAsia="zh-CN" w:bidi="ar-SA"/>
        </w:rPr>
      </w:pPr>
      <w:r>
        <w:rPr>
          <w:rFonts w:hint="eastAsia" w:eastAsia="方正仿宋_GBK"/>
          <w:kern w:val="2"/>
          <w:sz w:val="28"/>
          <w:szCs w:val="28"/>
          <w:lang w:val="en-US" w:eastAsia="zh-CN" w:bidi="ar-SA"/>
        </w:rPr>
        <w:t>比上年增减情况</w:t>
      </w:r>
    </w:p>
    <w:p w14:paraId="727680CD">
      <w:pPr>
        <w:rPr>
          <w:rFonts w:hint="eastAsia" w:eastAsia="方正仿宋_GBK"/>
          <w:kern w:val="2"/>
          <w:sz w:val="28"/>
          <w:szCs w:val="28"/>
          <w:lang w:val="en-US" w:eastAsia="zh-CN" w:bidi="ar-SA"/>
        </w:rPr>
      </w:pPr>
      <w:r>
        <w:rPr>
          <w:rFonts w:hint="eastAsia" w:eastAsia="方正仿宋_GBK"/>
          <w:kern w:val="2"/>
          <w:sz w:val="28"/>
          <w:szCs w:val="28"/>
          <w:lang w:val="en-US" w:eastAsia="zh-CN" w:bidi="ar-SA"/>
        </w:rPr>
        <w:t xml:space="preserve">    2021年部门预算较2020年增加81.48万元，其中：基本支出增加7.9万元，主要原因是人员增加工资调整，2021年项目预算128.72万元，增加73.58万元，主要原因是增加了王仁会死亡抚恤金和丧葬费23.02万，2020年度精神文明奖及平安建设奖52.20万，2020年度目标绩效奖11.44万。</w:t>
      </w:r>
    </w:p>
    <w:p w14:paraId="758F62EA">
      <w:pPr>
        <w:spacing w:line="560" w:lineRule="exact"/>
        <w:ind w:firstLine="723" w:firstLineChars="200"/>
        <w:rPr>
          <w:rFonts w:hint="eastAsia" w:ascii="黑体" w:hAnsi="黑体" w:eastAsia="黑体" w:cs="黑体"/>
          <w:b/>
          <w:bCs/>
          <w:kern w:val="0"/>
          <w:sz w:val="36"/>
          <w:szCs w:val="36"/>
        </w:rPr>
      </w:pPr>
      <w:r>
        <w:rPr>
          <w:rFonts w:hint="eastAsia" w:ascii="黑体" w:hAnsi="黑体" w:eastAsia="黑体" w:cs="黑体"/>
          <w:b/>
          <w:bCs/>
          <w:kern w:val="0"/>
          <w:sz w:val="36"/>
          <w:szCs w:val="36"/>
        </w:rPr>
        <w:t>三、机关运行经费情况</w:t>
      </w:r>
    </w:p>
    <w:p w14:paraId="6D0C21BC">
      <w:pPr>
        <w:spacing w:line="560" w:lineRule="exact"/>
        <w:ind w:firstLine="645"/>
        <w:rPr>
          <w:rFonts w:hint="eastAsia" w:ascii="宋体" w:hAnsi="宋体" w:cs="宋体"/>
          <w:kern w:val="0"/>
          <w:sz w:val="32"/>
          <w:szCs w:val="32"/>
          <w:lang w:bidi="ar"/>
        </w:rPr>
      </w:pPr>
      <w:r>
        <w:rPr>
          <w:rFonts w:hint="eastAsia" w:eastAsia="方正仿宋_GBK"/>
          <w:kern w:val="2"/>
          <w:sz w:val="28"/>
          <w:szCs w:val="28"/>
          <w:lang w:val="en-US" w:eastAsia="zh-CN" w:bidi="ar-SA"/>
        </w:rPr>
        <w:t>2021年我单位本级单位机关运行费61.22万元，比2020年（59.54万元）增加1.68万元，增加2.82%，主要原因是物价上涨，职责增加。其中，基础定额类支出安排51.54万元，主要用于办公、水电、取暖、差旅、福利、会议以及通讯和交通补贴等用于机关日常业务开展的支出。</w:t>
      </w:r>
    </w:p>
    <w:p w14:paraId="0FE3725D">
      <w:pPr>
        <w:spacing w:line="560" w:lineRule="exact"/>
        <w:ind w:firstLine="723" w:firstLineChars="200"/>
        <w:rPr>
          <w:rFonts w:hint="eastAsia" w:ascii="黑体" w:hAnsi="黑体" w:eastAsia="黑体" w:cs="黑体"/>
          <w:b/>
          <w:bCs/>
          <w:kern w:val="0"/>
          <w:sz w:val="36"/>
          <w:szCs w:val="36"/>
        </w:rPr>
      </w:pPr>
      <w:r>
        <w:rPr>
          <w:rFonts w:hint="eastAsia" w:ascii="黑体" w:hAnsi="黑体" w:eastAsia="黑体" w:cs="黑体"/>
          <w:b/>
          <w:bCs/>
          <w:kern w:val="0"/>
          <w:sz w:val="36"/>
          <w:szCs w:val="36"/>
          <w:lang w:bidi="ar"/>
        </w:rPr>
        <w:t>四、</w:t>
      </w:r>
      <w:r>
        <w:rPr>
          <w:rFonts w:hint="eastAsia" w:ascii="黑体" w:hAnsi="黑体" w:eastAsia="黑体" w:cs="黑体"/>
          <w:b/>
          <w:bCs/>
          <w:kern w:val="0"/>
          <w:sz w:val="36"/>
          <w:szCs w:val="36"/>
        </w:rPr>
        <w:t>财政拨款“三公”经费预算情况</w:t>
      </w:r>
    </w:p>
    <w:p w14:paraId="4E910425">
      <w:pPr>
        <w:spacing w:line="560" w:lineRule="exact"/>
        <w:ind w:firstLine="560" w:firstLineChars="200"/>
        <w:rPr>
          <w:rFonts w:hint="eastAsia" w:eastAsia="方正仿宋_GBK"/>
          <w:kern w:val="2"/>
          <w:sz w:val="28"/>
          <w:szCs w:val="28"/>
          <w:lang w:val="en-US" w:eastAsia="zh-CN" w:bidi="ar-SA"/>
        </w:rPr>
      </w:pPr>
      <w:r>
        <w:rPr>
          <w:rFonts w:hint="eastAsia" w:eastAsia="方正仿宋_GBK"/>
          <w:kern w:val="2"/>
          <w:sz w:val="28"/>
          <w:szCs w:val="28"/>
          <w:lang w:val="en-US" w:eastAsia="zh-CN" w:bidi="ar-SA"/>
        </w:rPr>
        <w:t>2021年我单位本级“三公”经费8.56万元，其中公车运行维护费6.5万元（其中：公务用车购置费0万元，公务用车运行费6.5万元)，公务接待费1.86万元，比2020年相比减少0.7万元，减少27%。主要原因是根据上级要求压缩开支。</w:t>
      </w:r>
    </w:p>
    <w:p w14:paraId="3CBB4496">
      <w:pPr>
        <w:rPr>
          <w:rFonts w:hint="eastAsia" w:ascii="仿宋_GB2312" w:hAnsi="宋体" w:eastAsia="仿宋_GB2312" w:cs="宋体"/>
          <w:b/>
          <w:kern w:val="0"/>
          <w:sz w:val="32"/>
          <w:szCs w:val="32"/>
        </w:rPr>
      </w:pPr>
      <w:r>
        <w:rPr>
          <w:rFonts w:hint="eastAsia" w:ascii="仿宋_GB2312" w:hAnsi="宋体" w:eastAsia="仿宋_GB2312" w:cs="宋体"/>
          <w:kern w:val="0"/>
          <w:sz w:val="32"/>
          <w:szCs w:val="32"/>
        </w:rPr>
        <w:t xml:space="preserve">    </w:t>
      </w:r>
      <w:r>
        <w:rPr>
          <w:rFonts w:hint="eastAsia" w:ascii="仿宋_GB2312" w:hAnsi="宋体" w:eastAsia="仿宋_GB2312" w:cs="宋体"/>
          <w:b/>
          <w:kern w:val="0"/>
          <w:sz w:val="32"/>
          <w:szCs w:val="32"/>
        </w:rPr>
        <w:t>总体绩效目标</w:t>
      </w:r>
    </w:p>
    <w:p w14:paraId="5D6E9EE2">
      <w:pPr>
        <w:spacing w:line="560" w:lineRule="exact"/>
        <w:ind w:firstLine="645"/>
        <w:rPr>
          <w:rFonts w:hint="eastAsia" w:eastAsia="方正仿宋_GBK"/>
          <w:kern w:val="2"/>
          <w:sz w:val="28"/>
          <w:szCs w:val="28"/>
          <w:lang w:val="en-US" w:eastAsia="zh-CN" w:bidi="ar-SA"/>
        </w:rPr>
      </w:pPr>
      <w:r>
        <w:rPr>
          <w:rFonts w:hint="eastAsia" w:eastAsia="方正仿宋_GBK"/>
          <w:kern w:val="2"/>
          <w:sz w:val="28"/>
          <w:szCs w:val="28"/>
          <w:lang w:val="en-US" w:eastAsia="zh-CN" w:bidi="ar-SA"/>
        </w:rPr>
        <w:t>实现年度发展规划主要依照宪法和监督法、代表法、组织法等法律法规，围绕县委重大决策战略部署、县人民代表大会和县人大常委会决议决定为依据和保障。其资金配置全部为县财政拨款方式。</w:t>
      </w:r>
    </w:p>
    <w:p w14:paraId="75CFB7A3">
      <w:pPr>
        <w:widowControl/>
        <w:rPr>
          <w:rFonts w:hint="eastAsia" w:ascii="仿宋_GB2312" w:hAnsi="宋体" w:eastAsia="仿宋_GB2312" w:cs="宋体"/>
          <w:b/>
          <w:kern w:val="0"/>
          <w:sz w:val="32"/>
          <w:szCs w:val="32"/>
        </w:rPr>
      </w:pPr>
      <w:r>
        <w:rPr>
          <w:rFonts w:hint="eastAsia" w:ascii="仿宋_GB2312" w:hAnsi="宋体" w:eastAsia="仿宋_GB2312" w:cs="宋体"/>
          <w:kern w:val="0"/>
          <w:sz w:val="32"/>
          <w:szCs w:val="32"/>
        </w:rPr>
        <w:t xml:space="preserve">    </w:t>
      </w:r>
      <w:r>
        <w:rPr>
          <w:rFonts w:hint="eastAsia" w:ascii="仿宋_GB2312" w:hAnsi="宋体" w:eastAsia="仿宋_GB2312" w:cs="宋体"/>
          <w:b/>
          <w:kern w:val="0"/>
          <w:sz w:val="32"/>
          <w:szCs w:val="32"/>
        </w:rPr>
        <w:t>职责分类绩效目标</w:t>
      </w:r>
    </w:p>
    <w:p w14:paraId="6C571131">
      <w:pPr>
        <w:spacing w:line="560" w:lineRule="exact"/>
        <w:ind w:firstLine="560" w:firstLineChars="200"/>
        <w:rPr>
          <w:rFonts w:hint="eastAsia" w:eastAsia="方正仿宋_GBK"/>
          <w:kern w:val="2"/>
          <w:sz w:val="28"/>
          <w:szCs w:val="28"/>
          <w:lang w:val="en-US" w:eastAsia="zh-CN" w:bidi="ar-SA"/>
        </w:rPr>
      </w:pPr>
      <w:r>
        <w:rPr>
          <w:rFonts w:hint="eastAsia" w:eastAsia="方正仿宋_GBK"/>
          <w:kern w:val="2"/>
          <w:sz w:val="28"/>
          <w:szCs w:val="28"/>
          <w:lang w:val="en-US" w:eastAsia="zh-CN" w:bidi="ar-SA"/>
        </w:rPr>
        <w:t xml:space="preserve">依法筹备召开县一年一度的人民代表大会会议；立足于宪法和法律赋予县人大常委会重大事项决议决定权、监督权、人事任免权等职责，围绕县委中心和全县工作大局，认真组织开展相关工作调研、视察、执法检查、评议、询问等活动，组织召开主任会议、常委会会议和各种工作会议，适时听取和审议“一府一委两院”及相关部门专项报告；承担对“一府一委两院”有关干部的任后监督、工作评议等工作；组织开展代表培训学习和一系列代表活动，开展代表建议交办督办；负责来信来访、上级来人接待、离退休人员服务、对外宣传报道及机关人事、党建、财务、车辆管理等工作。  </w:t>
      </w:r>
    </w:p>
    <w:p w14:paraId="0095B7FC">
      <w:pPr>
        <w:spacing w:line="560" w:lineRule="exact"/>
        <w:ind w:firstLine="645"/>
        <w:rPr>
          <w:rFonts w:hint="eastAsia" w:eastAsia="方正仿宋_GBK"/>
          <w:kern w:val="2"/>
          <w:sz w:val="28"/>
          <w:szCs w:val="28"/>
          <w:lang w:val="en-US" w:eastAsia="zh-CN" w:bidi="ar-SA"/>
        </w:rPr>
      </w:pPr>
      <w:r>
        <w:rPr>
          <w:rFonts w:hint="eastAsia" w:eastAsia="方正仿宋_GBK"/>
          <w:kern w:val="2"/>
          <w:sz w:val="28"/>
          <w:szCs w:val="28"/>
          <w:lang w:val="en-US" w:eastAsia="zh-CN" w:bidi="ar-SA"/>
        </w:rPr>
        <w:t xml:space="preserve"> “部门职责-工作活动”绩效目标指标明细表详见下表。</w:t>
      </w:r>
    </w:p>
    <w:p w14:paraId="1FB168B8">
      <w:pPr>
        <w:spacing w:line="560" w:lineRule="exact"/>
        <w:ind w:firstLine="640"/>
        <w:rPr>
          <w:rFonts w:hint="eastAsia" w:ascii="宋体" w:hAnsi="宋体"/>
          <w:sz w:val="32"/>
          <w:szCs w:val="32"/>
        </w:rP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14:paraId="7365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noWrap w:val="0"/>
            <w:vAlign w:val="center"/>
          </w:tcPr>
          <w:p w14:paraId="24D78EF8">
            <w:pPr>
              <w:spacing w:line="300" w:lineRule="exact"/>
              <w:jc w:val="left"/>
              <w:rPr>
                <w:rFonts w:ascii="方正小标宋_GBK" w:eastAsia="方正小标宋_GBK"/>
                <w:sz w:val="24"/>
              </w:rPr>
            </w:pPr>
          </w:p>
          <w:p w14:paraId="20424451">
            <w:pPr>
              <w:spacing w:line="300" w:lineRule="exact"/>
              <w:jc w:val="left"/>
              <w:rPr>
                <w:rFonts w:ascii="方正小标宋_GBK" w:eastAsia="方正小标宋_GBK"/>
                <w:sz w:val="24"/>
              </w:rPr>
            </w:pPr>
          </w:p>
          <w:p w14:paraId="6C568C1B">
            <w:pPr>
              <w:spacing w:line="300" w:lineRule="exact"/>
              <w:jc w:val="left"/>
              <w:rPr>
                <w:rFonts w:ascii="方正小标宋_GBK" w:eastAsia="方正小标宋_GBK"/>
                <w:sz w:val="24"/>
              </w:rPr>
            </w:pPr>
          </w:p>
          <w:p w14:paraId="29C67A22">
            <w:pPr>
              <w:spacing w:line="300" w:lineRule="exact"/>
              <w:jc w:val="left"/>
              <w:rPr>
                <w:rFonts w:ascii="方正小标宋_GBK" w:eastAsia="方正小标宋_GBK"/>
                <w:sz w:val="24"/>
              </w:rPr>
            </w:pPr>
            <w:r>
              <w:rPr>
                <w:rFonts w:ascii="方正小标宋_GBK" w:eastAsia="方正小标宋_GBK"/>
                <w:sz w:val="24"/>
              </w:rPr>
              <w:t>101</w:t>
            </w:r>
            <w:r>
              <w:rPr>
                <w:rFonts w:hint="eastAsia" w:ascii="方正小标宋_GBK" w:eastAsia="方正小标宋_GBK"/>
                <w:sz w:val="24"/>
              </w:rPr>
              <w:t>宁晋县人民代表大会常务委员会办公室</w:t>
            </w:r>
          </w:p>
        </w:tc>
        <w:tc>
          <w:tcPr>
            <w:tcW w:w="2948" w:type="dxa"/>
            <w:gridSpan w:val="4"/>
            <w:tcBorders>
              <w:top w:val="single" w:color="FFFFFF" w:sz="6" w:space="0"/>
              <w:left w:val="single" w:color="FFFFFF" w:sz="6" w:space="0"/>
              <w:right w:val="single" w:color="FFFFFF" w:sz="6" w:space="0"/>
            </w:tcBorders>
            <w:noWrap w:val="0"/>
            <w:vAlign w:val="center"/>
          </w:tcPr>
          <w:p w14:paraId="5430E352">
            <w:pPr>
              <w:spacing w:line="300" w:lineRule="exact"/>
              <w:jc w:val="right"/>
              <w:rPr>
                <w:rFonts w:ascii="方正书宋_GBK" w:eastAsia="方正书宋_GBK"/>
                <w:sz w:val="24"/>
              </w:rPr>
            </w:pPr>
            <w:r>
              <w:rPr>
                <w:rFonts w:hint="eastAsia" w:ascii="方正书宋_GBK" w:eastAsia="方正书宋_GBK"/>
                <w:sz w:val="24"/>
              </w:rPr>
              <w:t>单位：万元</w:t>
            </w:r>
          </w:p>
        </w:tc>
      </w:tr>
      <w:tr w14:paraId="768A8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noWrap w:val="0"/>
            <w:vAlign w:val="center"/>
          </w:tcPr>
          <w:p w14:paraId="7ED372DE">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noWrap w:val="0"/>
            <w:vAlign w:val="center"/>
          </w:tcPr>
          <w:p w14:paraId="7DB88042">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noWrap w:val="0"/>
            <w:vAlign w:val="center"/>
          </w:tcPr>
          <w:p w14:paraId="43B8DD82">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noWrap w:val="0"/>
            <w:vAlign w:val="center"/>
          </w:tcPr>
          <w:p w14:paraId="794283AD">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noWrap w:val="0"/>
            <w:vAlign w:val="center"/>
          </w:tcPr>
          <w:p w14:paraId="0193FC5A">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noWrap w:val="0"/>
            <w:vAlign w:val="center"/>
          </w:tcPr>
          <w:p w14:paraId="3B6FF51C">
            <w:pPr>
              <w:spacing w:line="300" w:lineRule="exact"/>
              <w:jc w:val="center"/>
              <w:rPr>
                <w:rFonts w:ascii="方正书宋_GBK" w:eastAsia="方正书宋_GBK"/>
                <w:b/>
              </w:rPr>
            </w:pPr>
            <w:r>
              <w:rPr>
                <w:rFonts w:hint="eastAsia" w:ascii="方正书宋_GBK" w:eastAsia="方正书宋_GBK"/>
                <w:b/>
              </w:rPr>
              <w:t>评价标准</w:t>
            </w:r>
          </w:p>
        </w:tc>
      </w:tr>
      <w:tr w14:paraId="64345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noWrap w:val="0"/>
            <w:vAlign w:val="center"/>
          </w:tcPr>
          <w:p w14:paraId="21C0A24E">
            <w:pPr>
              <w:spacing w:line="300" w:lineRule="exact"/>
              <w:jc w:val="left"/>
              <w:outlineLvl w:val="0"/>
            </w:pPr>
          </w:p>
        </w:tc>
        <w:tc>
          <w:tcPr>
            <w:tcW w:w="1276" w:type="dxa"/>
            <w:vMerge w:val="continue"/>
            <w:noWrap w:val="0"/>
            <w:vAlign w:val="center"/>
          </w:tcPr>
          <w:p w14:paraId="2E061BAC">
            <w:pPr>
              <w:spacing w:line="300" w:lineRule="exact"/>
              <w:jc w:val="left"/>
              <w:outlineLvl w:val="0"/>
            </w:pPr>
          </w:p>
        </w:tc>
        <w:tc>
          <w:tcPr>
            <w:tcW w:w="2976" w:type="dxa"/>
            <w:vMerge w:val="continue"/>
            <w:noWrap w:val="0"/>
            <w:vAlign w:val="center"/>
          </w:tcPr>
          <w:p w14:paraId="0EF539A2">
            <w:pPr>
              <w:spacing w:line="300" w:lineRule="exact"/>
              <w:jc w:val="left"/>
              <w:outlineLvl w:val="0"/>
            </w:pPr>
          </w:p>
        </w:tc>
        <w:tc>
          <w:tcPr>
            <w:tcW w:w="2976" w:type="dxa"/>
            <w:vMerge w:val="continue"/>
            <w:noWrap w:val="0"/>
            <w:vAlign w:val="center"/>
          </w:tcPr>
          <w:p w14:paraId="04BEF9A2">
            <w:pPr>
              <w:spacing w:line="300" w:lineRule="exact"/>
              <w:jc w:val="left"/>
              <w:outlineLvl w:val="0"/>
            </w:pPr>
          </w:p>
        </w:tc>
        <w:tc>
          <w:tcPr>
            <w:tcW w:w="1417" w:type="dxa"/>
            <w:vMerge w:val="continue"/>
            <w:noWrap w:val="0"/>
            <w:vAlign w:val="center"/>
          </w:tcPr>
          <w:p w14:paraId="54525F10">
            <w:pPr>
              <w:spacing w:line="300" w:lineRule="exact"/>
              <w:jc w:val="left"/>
              <w:outlineLvl w:val="0"/>
            </w:pPr>
          </w:p>
        </w:tc>
        <w:tc>
          <w:tcPr>
            <w:tcW w:w="737" w:type="dxa"/>
            <w:noWrap w:val="0"/>
            <w:vAlign w:val="center"/>
          </w:tcPr>
          <w:p w14:paraId="444E122F">
            <w:pPr>
              <w:spacing w:line="300" w:lineRule="exact"/>
              <w:jc w:val="center"/>
              <w:rPr>
                <w:rFonts w:ascii="方正书宋_GBK" w:eastAsia="方正书宋_GBK"/>
                <w:b/>
              </w:rPr>
            </w:pPr>
            <w:r>
              <w:rPr>
                <w:rFonts w:hint="eastAsia" w:ascii="方正书宋_GBK" w:eastAsia="方正书宋_GBK"/>
                <w:b/>
              </w:rPr>
              <w:t>优</w:t>
            </w:r>
          </w:p>
        </w:tc>
        <w:tc>
          <w:tcPr>
            <w:tcW w:w="737" w:type="dxa"/>
            <w:noWrap w:val="0"/>
            <w:vAlign w:val="center"/>
          </w:tcPr>
          <w:p w14:paraId="0C5267C5">
            <w:pPr>
              <w:spacing w:line="300" w:lineRule="exact"/>
              <w:jc w:val="center"/>
              <w:rPr>
                <w:rFonts w:ascii="方正书宋_GBK" w:eastAsia="方正书宋_GBK"/>
                <w:b/>
              </w:rPr>
            </w:pPr>
            <w:r>
              <w:rPr>
                <w:rFonts w:hint="eastAsia" w:ascii="方正书宋_GBK" w:eastAsia="方正书宋_GBK"/>
                <w:b/>
              </w:rPr>
              <w:t>良</w:t>
            </w:r>
          </w:p>
        </w:tc>
        <w:tc>
          <w:tcPr>
            <w:tcW w:w="737" w:type="dxa"/>
            <w:noWrap w:val="0"/>
            <w:vAlign w:val="center"/>
          </w:tcPr>
          <w:p w14:paraId="39EC9C1C">
            <w:pPr>
              <w:spacing w:line="300" w:lineRule="exact"/>
              <w:jc w:val="center"/>
              <w:rPr>
                <w:rFonts w:ascii="方正书宋_GBK" w:eastAsia="方正书宋_GBK"/>
                <w:b/>
              </w:rPr>
            </w:pPr>
            <w:r>
              <w:rPr>
                <w:rFonts w:hint="eastAsia" w:ascii="方正书宋_GBK" w:eastAsia="方正书宋_GBK"/>
                <w:b/>
              </w:rPr>
              <w:t>中</w:t>
            </w:r>
          </w:p>
        </w:tc>
        <w:tc>
          <w:tcPr>
            <w:tcW w:w="737" w:type="dxa"/>
            <w:noWrap w:val="0"/>
            <w:vAlign w:val="center"/>
          </w:tcPr>
          <w:p w14:paraId="1D9EE0F0">
            <w:pPr>
              <w:spacing w:line="300" w:lineRule="exact"/>
              <w:jc w:val="center"/>
              <w:rPr>
                <w:rFonts w:ascii="方正书宋_GBK" w:eastAsia="方正书宋_GBK"/>
                <w:b/>
              </w:rPr>
            </w:pPr>
            <w:r>
              <w:rPr>
                <w:rFonts w:hint="eastAsia" w:ascii="方正书宋_GBK" w:eastAsia="方正书宋_GBK"/>
                <w:b/>
              </w:rPr>
              <w:t>差</w:t>
            </w:r>
          </w:p>
        </w:tc>
      </w:tr>
      <w:tr w14:paraId="71CF7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14:paraId="0A1F8388">
            <w:pPr>
              <w:spacing w:line="300" w:lineRule="exact"/>
              <w:jc w:val="center"/>
              <w:rPr>
                <w:rFonts w:ascii="方正书宋_GBK" w:eastAsia="方正书宋_GBK"/>
                <w:b/>
              </w:rPr>
            </w:pPr>
            <w:r>
              <w:rPr>
                <w:rFonts w:hint="eastAsia" w:ascii="方正书宋_GBK" w:eastAsia="方正书宋_GBK"/>
                <w:b/>
              </w:rPr>
              <w:t>人大监督</w:t>
            </w:r>
          </w:p>
        </w:tc>
        <w:tc>
          <w:tcPr>
            <w:tcW w:w="1276" w:type="dxa"/>
            <w:noWrap w:val="0"/>
            <w:vAlign w:val="center"/>
          </w:tcPr>
          <w:p w14:paraId="5DA5128C">
            <w:pPr>
              <w:spacing w:line="300" w:lineRule="exact"/>
              <w:jc w:val="left"/>
              <w:rPr>
                <w:rFonts w:ascii="方正书宋_GBK" w:eastAsia="方正书宋_GBK"/>
              </w:rPr>
            </w:pPr>
          </w:p>
        </w:tc>
        <w:tc>
          <w:tcPr>
            <w:tcW w:w="2976" w:type="dxa"/>
            <w:noWrap w:val="0"/>
            <w:vAlign w:val="center"/>
          </w:tcPr>
          <w:p w14:paraId="109043BF">
            <w:pPr>
              <w:spacing w:line="300" w:lineRule="exact"/>
              <w:jc w:val="left"/>
              <w:rPr>
                <w:rFonts w:ascii="方正书宋_GBK" w:eastAsia="方正书宋_GBK"/>
              </w:rPr>
            </w:pPr>
            <w:r>
              <w:rPr>
                <w:rFonts w:hint="eastAsia" w:ascii="方正书宋_GBK" w:eastAsia="方正书宋_GBK"/>
              </w:rPr>
              <w:t>进行执法调研和执法检查；围绕政府工作报告和</w:t>
            </w:r>
            <w:r>
              <w:rPr>
                <w:rFonts w:hint="cs" w:ascii="方正书宋_GBK" w:eastAsia="方正书宋_GBK"/>
                <w:cs/>
              </w:rPr>
              <w:t>“</w:t>
            </w:r>
            <w:r>
              <w:rPr>
                <w:rFonts w:hint="eastAsia" w:ascii="方正书宋_GBK" w:eastAsia="方正书宋_GBK"/>
              </w:rPr>
              <w:t>一府两院</w:t>
            </w:r>
            <w:r>
              <w:rPr>
                <w:rFonts w:hint="cs" w:ascii="方正书宋_GBK" w:eastAsia="方正书宋_GBK"/>
                <w:cs/>
              </w:rPr>
              <w:t>”</w:t>
            </w:r>
            <w:r>
              <w:rPr>
                <w:rFonts w:hint="eastAsia" w:ascii="方正书宋_GBK" w:eastAsia="方正书宋_GBK"/>
              </w:rPr>
              <w:t>专项工作报告涉及内容开展调查研究，开展专题询问和工作评议；对</w:t>
            </w:r>
            <w:r>
              <w:rPr>
                <w:rFonts w:hint="cs" w:ascii="方正书宋_GBK" w:eastAsia="方正书宋_GBK"/>
                <w:cs/>
              </w:rPr>
              <w:t>“</w:t>
            </w:r>
            <w:r>
              <w:rPr>
                <w:rFonts w:hint="eastAsia" w:ascii="方正书宋_GBK" w:eastAsia="方正书宋_GBK"/>
              </w:rPr>
              <w:t>一府两院</w:t>
            </w:r>
            <w:r>
              <w:rPr>
                <w:rFonts w:hint="cs" w:ascii="方正书宋_GBK" w:eastAsia="方正书宋_GBK"/>
                <w:cs/>
              </w:rPr>
              <w:t>”</w:t>
            </w:r>
            <w:r>
              <w:rPr>
                <w:rFonts w:hint="eastAsia" w:ascii="方正书宋_GBK" w:eastAsia="方正书宋_GBK"/>
              </w:rPr>
              <w:t>进行监督。</w:t>
            </w:r>
          </w:p>
        </w:tc>
        <w:tc>
          <w:tcPr>
            <w:tcW w:w="2976" w:type="dxa"/>
            <w:noWrap w:val="0"/>
            <w:vAlign w:val="center"/>
          </w:tcPr>
          <w:p w14:paraId="42FBD7AF">
            <w:pPr>
              <w:spacing w:line="300" w:lineRule="exact"/>
              <w:jc w:val="left"/>
              <w:rPr>
                <w:rFonts w:ascii="方正书宋_GBK" w:eastAsia="方正书宋_GBK"/>
              </w:rPr>
            </w:pPr>
            <w:r>
              <w:rPr>
                <w:rFonts w:hint="eastAsia" w:ascii="方正书宋_GBK" w:eastAsia="方正书宋_GBK"/>
              </w:rPr>
              <w:t>促进各项法律法规、人大决议、报告等的落实；促进</w:t>
            </w:r>
            <w:r>
              <w:rPr>
                <w:rFonts w:hint="cs" w:ascii="方正书宋_GBK" w:eastAsia="方正书宋_GBK"/>
                <w:cs/>
              </w:rPr>
              <w:t>“</w:t>
            </w:r>
            <w:r>
              <w:rPr>
                <w:rFonts w:hint="eastAsia" w:ascii="方正书宋_GBK" w:eastAsia="方正书宋_GBK"/>
              </w:rPr>
              <w:t>一府两院</w:t>
            </w:r>
            <w:r>
              <w:rPr>
                <w:rFonts w:hint="cs" w:ascii="方正书宋_GBK" w:eastAsia="方正书宋_GBK"/>
                <w:cs/>
              </w:rPr>
              <w:t>”</w:t>
            </w:r>
            <w:r>
              <w:rPr>
                <w:rFonts w:hint="eastAsia" w:ascii="方正书宋_GBK" w:eastAsia="方正书宋_GBK"/>
              </w:rPr>
              <w:t>改进工作；提高规范性文件质量；促进社会和谐稳定。</w:t>
            </w:r>
          </w:p>
        </w:tc>
        <w:tc>
          <w:tcPr>
            <w:tcW w:w="1417" w:type="dxa"/>
            <w:noWrap w:val="0"/>
            <w:vAlign w:val="center"/>
          </w:tcPr>
          <w:p w14:paraId="50AFF87C">
            <w:pPr>
              <w:spacing w:line="300" w:lineRule="exact"/>
              <w:jc w:val="center"/>
              <w:rPr>
                <w:rFonts w:ascii="方正书宋_GBK" w:eastAsia="方正书宋_GBK"/>
              </w:rPr>
            </w:pPr>
            <w:r>
              <w:rPr>
                <w:rFonts w:hint="eastAsia" w:ascii="方正书宋_GBK" w:eastAsia="方正书宋_GBK"/>
              </w:rPr>
              <w:t>完成率</w:t>
            </w:r>
          </w:p>
        </w:tc>
        <w:tc>
          <w:tcPr>
            <w:tcW w:w="737" w:type="dxa"/>
            <w:noWrap w:val="0"/>
            <w:vAlign w:val="center"/>
          </w:tcPr>
          <w:p w14:paraId="77CC2EFB">
            <w:pPr>
              <w:spacing w:line="300" w:lineRule="exact"/>
              <w:jc w:val="center"/>
              <w:rPr>
                <w:rFonts w:ascii="方正书宋_GBK" w:eastAsia="方正书宋_GBK"/>
              </w:rPr>
            </w:pPr>
            <w:r>
              <w:rPr>
                <w:rFonts w:hint="eastAsia" w:ascii="方正书宋_GBK" w:eastAsia="方正书宋_GBK"/>
              </w:rPr>
              <w:t>≥10</w:t>
            </w:r>
            <w:r>
              <w:rPr>
                <w:rFonts w:ascii="方正书宋_GBK" w:eastAsia="方正书宋_GBK"/>
              </w:rPr>
              <w:t>0%</w:t>
            </w:r>
          </w:p>
        </w:tc>
        <w:tc>
          <w:tcPr>
            <w:tcW w:w="737" w:type="dxa"/>
            <w:noWrap w:val="0"/>
            <w:vAlign w:val="center"/>
          </w:tcPr>
          <w:p w14:paraId="6E5EDE4F">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6E25DAD9">
            <w:pPr>
              <w:spacing w:line="300" w:lineRule="exact"/>
              <w:jc w:val="center"/>
              <w:rPr>
                <w:rFonts w:ascii="方正书宋_GBK" w:eastAsia="方正书宋_GBK"/>
              </w:rPr>
            </w:pPr>
            <w:r>
              <w:rPr>
                <w:rFonts w:hint="eastAsia" w:ascii="方正书宋_GBK" w:eastAsia="方正书宋_GBK"/>
              </w:rPr>
              <w:t>≥80</w:t>
            </w:r>
            <w:r>
              <w:rPr>
                <w:rFonts w:ascii="方正书宋_GBK" w:eastAsia="方正书宋_GBK"/>
              </w:rPr>
              <w:t>%</w:t>
            </w:r>
          </w:p>
        </w:tc>
        <w:tc>
          <w:tcPr>
            <w:tcW w:w="737" w:type="dxa"/>
            <w:noWrap w:val="0"/>
            <w:vAlign w:val="center"/>
          </w:tcPr>
          <w:p w14:paraId="5DFCC0B1">
            <w:pPr>
              <w:spacing w:line="300" w:lineRule="exact"/>
              <w:jc w:val="center"/>
              <w:rPr>
                <w:rFonts w:ascii="方正书宋_GBK" w:eastAsia="方正书宋_GBK"/>
              </w:rPr>
            </w:pPr>
            <w:r>
              <w:rPr>
                <w:rFonts w:hint="eastAsia" w:ascii="方正书宋_GBK" w:eastAsia="方正书宋_GBK"/>
              </w:rPr>
              <w:t>≥7</w:t>
            </w:r>
            <w:r>
              <w:rPr>
                <w:rFonts w:ascii="方正书宋_GBK" w:eastAsia="方正书宋_GBK"/>
              </w:rPr>
              <w:t>0%</w:t>
            </w:r>
          </w:p>
        </w:tc>
      </w:tr>
      <w:tr w14:paraId="52723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00" w:hRule="atLeast"/>
          <w:jc w:val="center"/>
        </w:trPr>
        <w:tc>
          <w:tcPr>
            <w:tcW w:w="2341" w:type="dxa"/>
            <w:noWrap w:val="0"/>
            <w:vAlign w:val="center"/>
          </w:tcPr>
          <w:p w14:paraId="67975E0C">
            <w:pPr>
              <w:spacing w:line="300" w:lineRule="exact"/>
              <w:jc w:val="center"/>
              <w:rPr>
                <w:rFonts w:hint="eastAsia" w:ascii="方正书宋_GBK" w:eastAsia="方正书宋_GBK"/>
                <w:b/>
              </w:rPr>
            </w:pPr>
            <w:r>
              <w:rPr>
                <w:rFonts w:hint="eastAsia" w:ascii="方正书宋_GBK" w:eastAsia="方正书宋_GBK"/>
                <w:b/>
              </w:rPr>
              <w:t>专门委员会、常委及代表活动</w:t>
            </w:r>
          </w:p>
        </w:tc>
        <w:tc>
          <w:tcPr>
            <w:tcW w:w="1276" w:type="dxa"/>
            <w:noWrap w:val="0"/>
            <w:vAlign w:val="center"/>
          </w:tcPr>
          <w:p w14:paraId="1FF06DFB">
            <w:pPr>
              <w:spacing w:line="300" w:lineRule="exact"/>
              <w:jc w:val="left"/>
              <w:rPr>
                <w:rFonts w:ascii="方正书宋_GBK" w:eastAsia="方正书宋_GBK"/>
              </w:rPr>
            </w:pPr>
          </w:p>
        </w:tc>
        <w:tc>
          <w:tcPr>
            <w:tcW w:w="2976" w:type="dxa"/>
            <w:noWrap w:val="0"/>
            <w:vAlign w:val="center"/>
          </w:tcPr>
          <w:p w14:paraId="3C8D59FE">
            <w:pPr>
              <w:spacing w:line="300" w:lineRule="exact"/>
              <w:jc w:val="left"/>
              <w:rPr>
                <w:rFonts w:hint="eastAsia" w:ascii="方正书宋_GBK" w:eastAsia="方正书宋_GBK"/>
              </w:rPr>
            </w:pPr>
            <w:r>
              <w:rPr>
                <w:rFonts w:hint="eastAsia" w:ascii="方正书宋_GBK" w:eastAsia="方正书宋_GBK"/>
              </w:rPr>
              <w:t>组织专门委员会委员、各工作委员会及特聘专家进行对法律实施情况进行执法检查；组织县人大常委会委员及县人大代表进行执法检查和集中视察；开展代表建议督办；组织对常委及代表培训。</w:t>
            </w:r>
          </w:p>
        </w:tc>
        <w:tc>
          <w:tcPr>
            <w:tcW w:w="2976" w:type="dxa"/>
            <w:noWrap w:val="0"/>
            <w:vAlign w:val="center"/>
          </w:tcPr>
          <w:p w14:paraId="7EE6D92B">
            <w:pPr>
              <w:spacing w:line="300" w:lineRule="exact"/>
              <w:jc w:val="left"/>
              <w:rPr>
                <w:rFonts w:hint="eastAsia" w:ascii="方正书宋_GBK" w:eastAsia="方正书宋_GBK"/>
              </w:rPr>
            </w:pPr>
            <w:r>
              <w:rPr>
                <w:rFonts w:hint="eastAsia" w:ascii="方正书宋_GBK" w:eastAsia="方正书宋_GBK"/>
              </w:rPr>
              <w:t>发挥常委及代表的作用，集中反映民意，促进依法履职。</w:t>
            </w:r>
          </w:p>
        </w:tc>
        <w:tc>
          <w:tcPr>
            <w:tcW w:w="1417" w:type="dxa"/>
            <w:noWrap w:val="0"/>
            <w:vAlign w:val="center"/>
          </w:tcPr>
          <w:p w14:paraId="4943CAE7">
            <w:pPr>
              <w:spacing w:line="300" w:lineRule="exact"/>
              <w:jc w:val="center"/>
              <w:rPr>
                <w:rFonts w:ascii="方正书宋_GBK" w:eastAsia="方正书宋_GBK"/>
              </w:rPr>
            </w:pPr>
            <w:r>
              <w:rPr>
                <w:rFonts w:hint="eastAsia" w:ascii="方正书宋_GBK" w:eastAsia="方正书宋_GBK"/>
              </w:rPr>
              <w:t>完成率</w:t>
            </w:r>
          </w:p>
        </w:tc>
        <w:tc>
          <w:tcPr>
            <w:tcW w:w="737" w:type="dxa"/>
            <w:noWrap w:val="0"/>
            <w:vAlign w:val="center"/>
          </w:tcPr>
          <w:p w14:paraId="38178C45">
            <w:pPr>
              <w:spacing w:line="300" w:lineRule="exact"/>
              <w:jc w:val="center"/>
              <w:rPr>
                <w:rFonts w:ascii="方正书宋_GBK" w:eastAsia="方正书宋_GBK"/>
              </w:rPr>
            </w:pPr>
            <w:r>
              <w:rPr>
                <w:rFonts w:hint="eastAsia" w:ascii="方正书宋_GBK" w:eastAsia="方正书宋_GBK"/>
              </w:rPr>
              <w:t>≥10</w:t>
            </w:r>
            <w:r>
              <w:rPr>
                <w:rFonts w:ascii="方正书宋_GBK" w:eastAsia="方正书宋_GBK"/>
              </w:rPr>
              <w:t>0%</w:t>
            </w:r>
          </w:p>
        </w:tc>
        <w:tc>
          <w:tcPr>
            <w:tcW w:w="737" w:type="dxa"/>
            <w:noWrap w:val="0"/>
            <w:vAlign w:val="center"/>
          </w:tcPr>
          <w:p w14:paraId="745255C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60A1D89D">
            <w:pPr>
              <w:spacing w:line="300" w:lineRule="exact"/>
              <w:jc w:val="center"/>
              <w:rPr>
                <w:rFonts w:ascii="方正书宋_GBK" w:eastAsia="方正书宋_GBK"/>
              </w:rPr>
            </w:pPr>
            <w:r>
              <w:rPr>
                <w:rFonts w:hint="eastAsia" w:ascii="方正书宋_GBK" w:eastAsia="方正书宋_GBK"/>
              </w:rPr>
              <w:t>≥80</w:t>
            </w:r>
            <w:r>
              <w:rPr>
                <w:rFonts w:ascii="方正书宋_GBK" w:eastAsia="方正书宋_GBK"/>
              </w:rPr>
              <w:t>%</w:t>
            </w:r>
          </w:p>
        </w:tc>
        <w:tc>
          <w:tcPr>
            <w:tcW w:w="737" w:type="dxa"/>
            <w:noWrap w:val="0"/>
            <w:vAlign w:val="center"/>
          </w:tcPr>
          <w:p w14:paraId="33E2DCF4">
            <w:pPr>
              <w:spacing w:line="300" w:lineRule="exact"/>
              <w:jc w:val="center"/>
              <w:rPr>
                <w:rFonts w:ascii="方正书宋_GBK" w:eastAsia="方正书宋_GBK"/>
              </w:rPr>
            </w:pPr>
            <w:r>
              <w:rPr>
                <w:rFonts w:hint="eastAsia" w:ascii="方正书宋_GBK" w:eastAsia="方正书宋_GBK"/>
              </w:rPr>
              <w:t>≥7</w:t>
            </w:r>
            <w:r>
              <w:rPr>
                <w:rFonts w:ascii="方正书宋_GBK" w:eastAsia="方正书宋_GBK"/>
              </w:rPr>
              <w:t>0%</w:t>
            </w:r>
          </w:p>
        </w:tc>
      </w:tr>
      <w:tr w14:paraId="536DB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11" w:hRule="atLeast"/>
          <w:jc w:val="center"/>
        </w:trPr>
        <w:tc>
          <w:tcPr>
            <w:tcW w:w="2341" w:type="dxa"/>
            <w:noWrap w:val="0"/>
            <w:vAlign w:val="center"/>
          </w:tcPr>
          <w:p w14:paraId="0F5408DB">
            <w:pPr>
              <w:spacing w:line="300" w:lineRule="exact"/>
              <w:jc w:val="center"/>
              <w:rPr>
                <w:rFonts w:hint="eastAsia" w:ascii="方正书宋_GBK" w:eastAsia="方正书宋_GBK"/>
                <w:b/>
              </w:rPr>
            </w:pPr>
            <w:r>
              <w:rPr>
                <w:rFonts w:hint="eastAsia" w:ascii="方正书宋_GBK" w:eastAsia="方正书宋_GBK"/>
                <w:b/>
              </w:rPr>
              <w:t>人大会议</w:t>
            </w:r>
          </w:p>
        </w:tc>
        <w:tc>
          <w:tcPr>
            <w:tcW w:w="1276" w:type="dxa"/>
            <w:noWrap w:val="0"/>
            <w:vAlign w:val="center"/>
          </w:tcPr>
          <w:p w14:paraId="706BF532">
            <w:pPr>
              <w:spacing w:line="300" w:lineRule="exact"/>
              <w:jc w:val="left"/>
              <w:rPr>
                <w:rFonts w:ascii="方正书宋_GBK" w:eastAsia="方正书宋_GBK"/>
              </w:rPr>
            </w:pPr>
          </w:p>
        </w:tc>
        <w:tc>
          <w:tcPr>
            <w:tcW w:w="2976" w:type="dxa"/>
            <w:noWrap w:val="0"/>
            <w:vAlign w:val="center"/>
          </w:tcPr>
          <w:p w14:paraId="53F1259A">
            <w:pPr>
              <w:spacing w:line="300" w:lineRule="exact"/>
              <w:jc w:val="left"/>
              <w:rPr>
                <w:rFonts w:hint="eastAsia" w:ascii="方正书宋_GBK" w:eastAsia="方正书宋_GBK"/>
              </w:rPr>
            </w:pPr>
            <w:r>
              <w:rPr>
                <w:rFonts w:hint="eastAsia" w:ascii="方正书宋_GBK" w:eastAsia="方正书宋_GBK"/>
              </w:rPr>
              <w:t>承担县人民代表大会和常务委员会各种会议的筹备、会务工作，负责常委会文件起草、审核把关，常委会会议、主任会议及常委会党组会议决定事项、工作部署、重要文件及领导批示的传达和督办。</w:t>
            </w:r>
          </w:p>
        </w:tc>
        <w:tc>
          <w:tcPr>
            <w:tcW w:w="2976" w:type="dxa"/>
            <w:noWrap w:val="0"/>
            <w:vAlign w:val="center"/>
          </w:tcPr>
          <w:p w14:paraId="1A9B2B61">
            <w:pPr>
              <w:spacing w:line="300" w:lineRule="exact"/>
              <w:jc w:val="center"/>
              <w:rPr>
                <w:rFonts w:hint="eastAsia" w:ascii="方正书宋_GBK" w:eastAsia="方正书宋_GBK"/>
              </w:rPr>
            </w:pPr>
            <w:r>
              <w:rPr>
                <w:rFonts w:hint="eastAsia" w:ascii="方正书宋_GBK" w:eastAsia="方正书宋_GBK"/>
              </w:rPr>
              <w:t>完善各项会议制度，规范会议程序，提高会议质量，提高人大代表及常委会审议水平。</w:t>
            </w:r>
          </w:p>
        </w:tc>
        <w:tc>
          <w:tcPr>
            <w:tcW w:w="1417" w:type="dxa"/>
            <w:noWrap w:val="0"/>
            <w:vAlign w:val="center"/>
          </w:tcPr>
          <w:p w14:paraId="7F588B1E">
            <w:pPr>
              <w:spacing w:line="300" w:lineRule="exact"/>
              <w:jc w:val="center"/>
              <w:rPr>
                <w:rFonts w:hint="eastAsia" w:ascii="方正书宋_GBK" w:eastAsia="方正书宋_GBK"/>
              </w:rPr>
            </w:pPr>
            <w:r>
              <w:rPr>
                <w:rFonts w:hint="eastAsia" w:ascii="方正书宋_GBK" w:eastAsia="方正书宋_GBK"/>
              </w:rPr>
              <w:t>完成率</w:t>
            </w:r>
          </w:p>
        </w:tc>
        <w:tc>
          <w:tcPr>
            <w:tcW w:w="737" w:type="dxa"/>
            <w:noWrap w:val="0"/>
            <w:vAlign w:val="center"/>
          </w:tcPr>
          <w:p w14:paraId="00F9ACFA">
            <w:pPr>
              <w:spacing w:line="300" w:lineRule="exact"/>
              <w:jc w:val="center"/>
              <w:rPr>
                <w:rFonts w:ascii="方正书宋_GBK" w:eastAsia="方正书宋_GBK"/>
              </w:rPr>
            </w:pPr>
            <w:r>
              <w:rPr>
                <w:rFonts w:hint="eastAsia" w:ascii="方正书宋_GBK" w:eastAsia="方正书宋_GBK"/>
              </w:rPr>
              <w:t>≥10</w:t>
            </w:r>
            <w:r>
              <w:rPr>
                <w:rFonts w:ascii="方正书宋_GBK" w:eastAsia="方正书宋_GBK"/>
              </w:rPr>
              <w:t>0%</w:t>
            </w:r>
          </w:p>
        </w:tc>
        <w:tc>
          <w:tcPr>
            <w:tcW w:w="737" w:type="dxa"/>
            <w:noWrap w:val="0"/>
            <w:vAlign w:val="center"/>
          </w:tcPr>
          <w:p w14:paraId="7233F71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5B47B307">
            <w:pPr>
              <w:spacing w:line="300" w:lineRule="exact"/>
              <w:jc w:val="center"/>
              <w:rPr>
                <w:rFonts w:ascii="方正书宋_GBK" w:eastAsia="方正书宋_GBK"/>
              </w:rPr>
            </w:pPr>
            <w:r>
              <w:rPr>
                <w:rFonts w:hint="eastAsia" w:ascii="方正书宋_GBK" w:eastAsia="方正书宋_GBK"/>
              </w:rPr>
              <w:t>≥80</w:t>
            </w:r>
            <w:r>
              <w:rPr>
                <w:rFonts w:ascii="方正书宋_GBK" w:eastAsia="方正书宋_GBK"/>
              </w:rPr>
              <w:t>%</w:t>
            </w:r>
          </w:p>
        </w:tc>
        <w:tc>
          <w:tcPr>
            <w:tcW w:w="737" w:type="dxa"/>
            <w:noWrap w:val="0"/>
            <w:vAlign w:val="center"/>
          </w:tcPr>
          <w:p w14:paraId="449BBC52">
            <w:pPr>
              <w:spacing w:line="300" w:lineRule="exact"/>
              <w:jc w:val="center"/>
              <w:rPr>
                <w:rFonts w:ascii="方正书宋_GBK" w:eastAsia="方正书宋_GBK"/>
              </w:rPr>
            </w:pPr>
            <w:r>
              <w:rPr>
                <w:rFonts w:hint="eastAsia" w:ascii="方正书宋_GBK" w:eastAsia="方正书宋_GBK"/>
              </w:rPr>
              <w:t>≥7</w:t>
            </w:r>
            <w:r>
              <w:rPr>
                <w:rFonts w:ascii="方正书宋_GBK" w:eastAsia="方正书宋_GBK"/>
              </w:rPr>
              <w:t>0%</w:t>
            </w:r>
          </w:p>
        </w:tc>
      </w:tr>
      <w:tr w14:paraId="5B0BF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14:paraId="51798F5F">
            <w:pPr>
              <w:spacing w:line="300" w:lineRule="exact"/>
              <w:jc w:val="center"/>
              <w:rPr>
                <w:rFonts w:hint="eastAsia" w:ascii="方正书宋_GBK" w:eastAsia="方正书宋_GBK"/>
                <w:b/>
              </w:rPr>
            </w:pPr>
            <w:r>
              <w:rPr>
                <w:rFonts w:hint="eastAsia" w:ascii="方正书宋_GBK" w:eastAsia="方正书宋_GBK"/>
                <w:b/>
              </w:rPr>
              <w:t>选举和任免</w:t>
            </w:r>
          </w:p>
        </w:tc>
        <w:tc>
          <w:tcPr>
            <w:tcW w:w="1276" w:type="dxa"/>
            <w:noWrap w:val="0"/>
            <w:vAlign w:val="center"/>
          </w:tcPr>
          <w:p w14:paraId="6C3935AC">
            <w:pPr>
              <w:spacing w:line="300" w:lineRule="exact"/>
              <w:jc w:val="left"/>
              <w:rPr>
                <w:rFonts w:ascii="方正书宋_GBK" w:eastAsia="方正书宋_GBK"/>
              </w:rPr>
            </w:pPr>
          </w:p>
        </w:tc>
        <w:tc>
          <w:tcPr>
            <w:tcW w:w="2976" w:type="dxa"/>
            <w:noWrap w:val="0"/>
            <w:vAlign w:val="center"/>
          </w:tcPr>
          <w:p w14:paraId="74B86DC1">
            <w:pPr>
              <w:spacing w:line="300" w:lineRule="exact"/>
              <w:jc w:val="left"/>
              <w:rPr>
                <w:rFonts w:hint="eastAsia" w:ascii="方正书宋_GBK" w:eastAsia="方正书宋_GBK"/>
              </w:rPr>
            </w:pPr>
            <w:r>
              <w:rPr>
                <w:rFonts w:hint="eastAsia" w:ascii="方正书宋_GBK" w:eastAsia="方正书宋_GBK"/>
              </w:rPr>
              <w:t>检查监督代表法、选举法及其实施办法的贯彻实施；承担人大换届选举及人事任免服务工作；负责对县政府组成人员和县级人民法院、县人民检察院主要负责人的目标责任书、述职报告的督办工作。</w:t>
            </w:r>
          </w:p>
        </w:tc>
        <w:tc>
          <w:tcPr>
            <w:tcW w:w="2976" w:type="dxa"/>
            <w:noWrap w:val="0"/>
            <w:vAlign w:val="center"/>
          </w:tcPr>
          <w:p w14:paraId="21BDD8DC">
            <w:pPr>
              <w:spacing w:line="300" w:lineRule="exact"/>
              <w:ind w:firstLine="240" w:firstLineChars="100"/>
              <w:jc w:val="left"/>
              <w:rPr>
                <w:rFonts w:hint="eastAsia" w:ascii="方正书宋_GBK" w:eastAsia="方正书宋_GBK"/>
              </w:rPr>
            </w:pPr>
            <w:r>
              <w:rPr>
                <w:rFonts w:hint="eastAsia" w:ascii="方正书宋_GBK" w:eastAsia="方正书宋_GBK"/>
              </w:rPr>
              <w:t>确保换届选举工作顺利完成，实现省市和县委人事安排部署；提高组织换届选举工作</w:t>
            </w:r>
            <w:r>
              <w:rPr>
                <w:rFonts w:hint="eastAsia" w:ascii="方正书宋_GBK" w:eastAsia="方正书宋_GBK"/>
                <w:lang w:val="en-US" w:eastAsia="zh-CN"/>
              </w:rPr>
              <w:t xml:space="preserve"> 水</w:t>
            </w:r>
            <w:r>
              <w:rPr>
                <w:rFonts w:hint="eastAsia" w:ascii="方正书宋_GBK" w:eastAsia="方正书宋_GBK"/>
              </w:rPr>
              <w:t>平。</w:t>
            </w:r>
          </w:p>
        </w:tc>
        <w:tc>
          <w:tcPr>
            <w:tcW w:w="1417" w:type="dxa"/>
            <w:noWrap w:val="0"/>
            <w:vAlign w:val="center"/>
          </w:tcPr>
          <w:p w14:paraId="030405F1">
            <w:pPr>
              <w:spacing w:line="300" w:lineRule="exact"/>
              <w:jc w:val="center"/>
              <w:rPr>
                <w:rFonts w:hint="eastAsia" w:ascii="方正书宋_GBK" w:eastAsia="方正书宋_GBK"/>
              </w:rPr>
            </w:pPr>
            <w:r>
              <w:rPr>
                <w:rFonts w:hint="eastAsia" w:ascii="方正书宋_GBK" w:eastAsia="方正书宋_GBK"/>
              </w:rPr>
              <w:t>完成率</w:t>
            </w:r>
          </w:p>
        </w:tc>
        <w:tc>
          <w:tcPr>
            <w:tcW w:w="737" w:type="dxa"/>
            <w:noWrap w:val="0"/>
            <w:vAlign w:val="center"/>
          </w:tcPr>
          <w:p w14:paraId="3070F2D8">
            <w:pPr>
              <w:spacing w:line="300" w:lineRule="exact"/>
              <w:jc w:val="center"/>
              <w:rPr>
                <w:rFonts w:ascii="方正书宋_GBK" w:eastAsia="方正书宋_GBK"/>
              </w:rPr>
            </w:pPr>
            <w:r>
              <w:rPr>
                <w:rFonts w:hint="eastAsia" w:ascii="方正书宋_GBK" w:eastAsia="方正书宋_GBK"/>
              </w:rPr>
              <w:t>≥10</w:t>
            </w:r>
            <w:r>
              <w:rPr>
                <w:rFonts w:ascii="方正书宋_GBK" w:eastAsia="方正书宋_GBK"/>
              </w:rPr>
              <w:t>0%</w:t>
            </w:r>
          </w:p>
        </w:tc>
        <w:tc>
          <w:tcPr>
            <w:tcW w:w="737" w:type="dxa"/>
            <w:noWrap w:val="0"/>
            <w:vAlign w:val="center"/>
          </w:tcPr>
          <w:p w14:paraId="5B8E9B94">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162E6C24">
            <w:pPr>
              <w:spacing w:line="300" w:lineRule="exact"/>
              <w:jc w:val="center"/>
              <w:rPr>
                <w:rFonts w:ascii="方正书宋_GBK" w:eastAsia="方正书宋_GBK"/>
              </w:rPr>
            </w:pPr>
            <w:r>
              <w:rPr>
                <w:rFonts w:hint="eastAsia" w:ascii="方正书宋_GBK" w:eastAsia="方正书宋_GBK"/>
              </w:rPr>
              <w:t>≥80</w:t>
            </w:r>
            <w:r>
              <w:rPr>
                <w:rFonts w:ascii="方正书宋_GBK" w:eastAsia="方正书宋_GBK"/>
              </w:rPr>
              <w:t>%</w:t>
            </w:r>
          </w:p>
        </w:tc>
        <w:tc>
          <w:tcPr>
            <w:tcW w:w="737" w:type="dxa"/>
            <w:noWrap w:val="0"/>
            <w:vAlign w:val="center"/>
          </w:tcPr>
          <w:p w14:paraId="5EE2FB15">
            <w:pPr>
              <w:spacing w:line="300" w:lineRule="exact"/>
              <w:jc w:val="center"/>
              <w:rPr>
                <w:rFonts w:ascii="方正书宋_GBK" w:eastAsia="方正书宋_GBK"/>
              </w:rPr>
            </w:pPr>
            <w:r>
              <w:rPr>
                <w:rFonts w:hint="eastAsia" w:ascii="方正书宋_GBK" w:eastAsia="方正书宋_GBK"/>
              </w:rPr>
              <w:t>≥7</w:t>
            </w:r>
            <w:r>
              <w:rPr>
                <w:rFonts w:ascii="方正书宋_GBK" w:eastAsia="方正书宋_GBK"/>
              </w:rPr>
              <w:t>0%</w:t>
            </w:r>
          </w:p>
        </w:tc>
      </w:tr>
      <w:tr w14:paraId="286E9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56" w:hRule="atLeast"/>
          <w:jc w:val="center"/>
        </w:trPr>
        <w:tc>
          <w:tcPr>
            <w:tcW w:w="2341" w:type="dxa"/>
            <w:noWrap w:val="0"/>
            <w:vAlign w:val="center"/>
          </w:tcPr>
          <w:p w14:paraId="36B18D29">
            <w:pPr>
              <w:spacing w:line="300" w:lineRule="exact"/>
              <w:jc w:val="center"/>
              <w:rPr>
                <w:rFonts w:hint="eastAsia" w:ascii="方正书宋_GBK" w:eastAsia="方正书宋_GBK"/>
                <w:b/>
              </w:rPr>
            </w:pPr>
            <w:r>
              <w:rPr>
                <w:rFonts w:hint="eastAsia" w:ascii="方正书宋_GBK" w:eastAsia="方正书宋_GBK"/>
                <w:b/>
              </w:rPr>
              <w:t>换届选举及人事任免</w:t>
            </w:r>
          </w:p>
        </w:tc>
        <w:tc>
          <w:tcPr>
            <w:tcW w:w="1276" w:type="dxa"/>
            <w:noWrap w:val="0"/>
            <w:vAlign w:val="center"/>
          </w:tcPr>
          <w:p w14:paraId="2F11233D">
            <w:pPr>
              <w:spacing w:line="300" w:lineRule="exact"/>
              <w:jc w:val="left"/>
              <w:rPr>
                <w:rFonts w:ascii="方正书宋_GBK" w:eastAsia="方正书宋_GBK"/>
              </w:rPr>
            </w:pPr>
          </w:p>
        </w:tc>
        <w:tc>
          <w:tcPr>
            <w:tcW w:w="2976" w:type="dxa"/>
            <w:noWrap w:val="0"/>
            <w:vAlign w:val="center"/>
          </w:tcPr>
          <w:p w14:paraId="64EAEA5D">
            <w:pPr>
              <w:spacing w:line="300" w:lineRule="exact"/>
              <w:jc w:val="left"/>
              <w:rPr>
                <w:rFonts w:hint="eastAsia" w:ascii="方正书宋_GBK" w:eastAsia="方正书宋_GBK"/>
              </w:rPr>
            </w:pPr>
            <w:r>
              <w:rPr>
                <w:rFonts w:hint="eastAsia" w:ascii="方正书宋_GBK" w:eastAsia="方正书宋_GBK"/>
              </w:rPr>
              <w:t>承担县人大换届选举、县级国家机关领导人的选举和常委会人事任免的服务工作；指导市、县、乡人大换届选举工作；负责对县政府组成人员和县高级人民法院、县人民检察院主要负责人的目标责任书、述职报告的督办工作；对换届选举人员进行培训。</w:t>
            </w:r>
          </w:p>
        </w:tc>
        <w:tc>
          <w:tcPr>
            <w:tcW w:w="2976" w:type="dxa"/>
            <w:noWrap w:val="0"/>
            <w:vAlign w:val="center"/>
          </w:tcPr>
          <w:p w14:paraId="0257810E">
            <w:pPr>
              <w:spacing w:line="300" w:lineRule="exact"/>
              <w:jc w:val="left"/>
              <w:rPr>
                <w:rFonts w:hint="eastAsia" w:ascii="方正书宋_GBK" w:eastAsia="方正书宋_GBK"/>
              </w:rPr>
            </w:pPr>
            <w:r>
              <w:rPr>
                <w:rFonts w:hint="eastAsia" w:ascii="方正书宋_GBK" w:eastAsia="方正书宋_GBK"/>
              </w:rPr>
              <w:t>确保县人大和乡人大换届选举工作顺利完成，提高组织换届选举工作水平；高质量完成国家机关领导人选举和常委会人事任免服务工作；高效督办有关部门负责人的目标责任书和述职报告。</w:t>
            </w:r>
          </w:p>
        </w:tc>
        <w:tc>
          <w:tcPr>
            <w:tcW w:w="1417" w:type="dxa"/>
            <w:noWrap w:val="0"/>
            <w:vAlign w:val="center"/>
          </w:tcPr>
          <w:p w14:paraId="2B4A605A">
            <w:pPr>
              <w:spacing w:line="300" w:lineRule="exact"/>
              <w:jc w:val="center"/>
              <w:rPr>
                <w:rFonts w:ascii="方正书宋_GBK" w:eastAsia="方正书宋_GBK"/>
              </w:rPr>
            </w:pPr>
          </w:p>
          <w:p w14:paraId="2124C041">
            <w:pPr>
              <w:spacing w:line="300" w:lineRule="exact"/>
              <w:jc w:val="center"/>
              <w:rPr>
                <w:rFonts w:hint="eastAsia" w:ascii="方正书宋_GBK" w:eastAsia="方正书宋_GBK"/>
              </w:rPr>
            </w:pPr>
            <w:r>
              <w:rPr>
                <w:rFonts w:hint="eastAsia" w:ascii="方正书宋_GBK" w:eastAsia="方正书宋_GBK"/>
              </w:rPr>
              <w:t>完成率</w:t>
            </w:r>
          </w:p>
        </w:tc>
        <w:tc>
          <w:tcPr>
            <w:tcW w:w="737" w:type="dxa"/>
            <w:noWrap w:val="0"/>
            <w:vAlign w:val="center"/>
          </w:tcPr>
          <w:p w14:paraId="15000132">
            <w:pPr>
              <w:spacing w:line="300" w:lineRule="exact"/>
              <w:jc w:val="center"/>
              <w:rPr>
                <w:rFonts w:ascii="方正书宋_GBK" w:eastAsia="方正书宋_GBK"/>
              </w:rPr>
            </w:pPr>
            <w:r>
              <w:rPr>
                <w:rFonts w:hint="eastAsia" w:ascii="方正书宋_GBK" w:eastAsia="方正书宋_GBK"/>
              </w:rPr>
              <w:t>≥10</w:t>
            </w:r>
            <w:r>
              <w:rPr>
                <w:rFonts w:ascii="方正书宋_GBK" w:eastAsia="方正书宋_GBK"/>
              </w:rPr>
              <w:t>0%</w:t>
            </w:r>
          </w:p>
        </w:tc>
        <w:tc>
          <w:tcPr>
            <w:tcW w:w="737" w:type="dxa"/>
            <w:noWrap w:val="0"/>
            <w:vAlign w:val="center"/>
          </w:tcPr>
          <w:p w14:paraId="079B0BF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6DF08FD5">
            <w:pPr>
              <w:spacing w:line="300" w:lineRule="exact"/>
              <w:jc w:val="center"/>
              <w:rPr>
                <w:rFonts w:ascii="方正书宋_GBK" w:eastAsia="方正书宋_GBK"/>
              </w:rPr>
            </w:pPr>
            <w:r>
              <w:rPr>
                <w:rFonts w:hint="eastAsia" w:ascii="方正书宋_GBK" w:eastAsia="方正书宋_GBK"/>
              </w:rPr>
              <w:t>≥80</w:t>
            </w:r>
            <w:r>
              <w:rPr>
                <w:rFonts w:ascii="方正书宋_GBK" w:eastAsia="方正书宋_GBK"/>
              </w:rPr>
              <w:t>%</w:t>
            </w:r>
          </w:p>
        </w:tc>
        <w:tc>
          <w:tcPr>
            <w:tcW w:w="737" w:type="dxa"/>
            <w:noWrap w:val="0"/>
            <w:vAlign w:val="center"/>
          </w:tcPr>
          <w:p w14:paraId="53477E6F">
            <w:pPr>
              <w:spacing w:line="300" w:lineRule="exact"/>
              <w:jc w:val="center"/>
              <w:rPr>
                <w:rFonts w:ascii="方正书宋_GBK" w:eastAsia="方正书宋_GBK"/>
              </w:rPr>
            </w:pPr>
            <w:r>
              <w:rPr>
                <w:rFonts w:hint="eastAsia" w:ascii="方正书宋_GBK" w:eastAsia="方正书宋_GBK"/>
              </w:rPr>
              <w:t>≥7</w:t>
            </w:r>
            <w:r>
              <w:rPr>
                <w:rFonts w:ascii="方正书宋_GBK" w:eastAsia="方正书宋_GBK"/>
              </w:rPr>
              <w:t>0%</w:t>
            </w:r>
          </w:p>
        </w:tc>
      </w:tr>
      <w:tr w14:paraId="51BEC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4" w:hRule="atLeast"/>
          <w:jc w:val="center"/>
        </w:trPr>
        <w:tc>
          <w:tcPr>
            <w:tcW w:w="2341" w:type="dxa"/>
            <w:noWrap w:val="0"/>
            <w:vAlign w:val="center"/>
          </w:tcPr>
          <w:p w14:paraId="41FEE94A">
            <w:pPr>
              <w:spacing w:line="300" w:lineRule="exact"/>
              <w:jc w:val="center"/>
              <w:rPr>
                <w:rFonts w:hint="eastAsia" w:ascii="方正书宋_GBK" w:eastAsia="方正书宋_GBK"/>
                <w:b/>
              </w:rPr>
            </w:pPr>
            <w:r>
              <w:rPr>
                <w:rFonts w:hint="eastAsia" w:ascii="方正书宋_GBK" w:eastAsia="方正书宋_GBK"/>
                <w:b/>
              </w:rPr>
              <w:t>人大事务管理</w:t>
            </w:r>
          </w:p>
        </w:tc>
        <w:tc>
          <w:tcPr>
            <w:tcW w:w="1276" w:type="dxa"/>
            <w:noWrap w:val="0"/>
            <w:vAlign w:val="center"/>
          </w:tcPr>
          <w:p w14:paraId="4CD7E334">
            <w:pPr>
              <w:spacing w:line="300" w:lineRule="exact"/>
              <w:jc w:val="left"/>
              <w:rPr>
                <w:rFonts w:ascii="方正书宋_GBK" w:eastAsia="方正书宋_GBK"/>
              </w:rPr>
            </w:pPr>
          </w:p>
        </w:tc>
        <w:tc>
          <w:tcPr>
            <w:tcW w:w="2976" w:type="dxa"/>
            <w:noWrap w:val="0"/>
            <w:vAlign w:val="center"/>
          </w:tcPr>
          <w:p w14:paraId="4149CB80">
            <w:pPr>
              <w:spacing w:line="300" w:lineRule="exact"/>
              <w:jc w:val="left"/>
              <w:rPr>
                <w:rFonts w:hint="eastAsia" w:ascii="方正书宋_GBK" w:eastAsia="方正书宋_GBK"/>
              </w:rPr>
            </w:pPr>
            <w:r>
              <w:rPr>
                <w:rFonts w:hint="eastAsia" w:ascii="方正书宋_GBK" w:eastAsia="方正书宋_GBK"/>
              </w:rPr>
              <w:t>新闻宣传和机关信息化建设与维护；人代会及常委会会议表决系统、机关基础设施建设与维护；县</w:t>
            </w:r>
            <w:r>
              <w:rPr>
                <w:rFonts w:hint="eastAsia" w:ascii="方正书宋_GBK" w:eastAsia="方正书宋_GBK"/>
                <w:lang w:eastAsia="zh-CN"/>
              </w:rPr>
              <w:t>人大常委会机关</w:t>
            </w:r>
            <w:r>
              <w:rPr>
                <w:rFonts w:hint="eastAsia" w:ascii="方正书宋_GBK" w:eastAsia="方正书宋_GBK"/>
              </w:rPr>
              <w:t>日常管理事务；公报、年检的编辑印刷；信访工作。</w:t>
            </w:r>
          </w:p>
        </w:tc>
        <w:tc>
          <w:tcPr>
            <w:tcW w:w="2976" w:type="dxa"/>
            <w:noWrap w:val="0"/>
            <w:vAlign w:val="center"/>
          </w:tcPr>
          <w:p w14:paraId="0228BEE7">
            <w:pPr>
              <w:spacing w:line="300" w:lineRule="exact"/>
              <w:jc w:val="left"/>
              <w:rPr>
                <w:rFonts w:hint="eastAsia" w:ascii="方正书宋_GBK" w:eastAsia="方正书宋_GBK"/>
              </w:rPr>
            </w:pPr>
            <w:r>
              <w:rPr>
                <w:rFonts w:hint="eastAsia" w:ascii="方正书宋_GBK" w:eastAsia="方正书宋_GBK"/>
              </w:rPr>
              <w:t>促进机关自身建设、服务保障能力进一步提升。</w:t>
            </w:r>
          </w:p>
        </w:tc>
        <w:tc>
          <w:tcPr>
            <w:tcW w:w="1417" w:type="dxa"/>
            <w:noWrap w:val="0"/>
            <w:vAlign w:val="center"/>
          </w:tcPr>
          <w:p w14:paraId="2EF02958">
            <w:pPr>
              <w:spacing w:line="300" w:lineRule="exact"/>
              <w:jc w:val="center"/>
              <w:rPr>
                <w:rFonts w:hint="eastAsia" w:ascii="方正书宋_GBK" w:eastAsia="方正书宋_GBK"/>
              </w:rPr>
            </w:pPr>
            <w:r>
              <w:rPr>
                <w:rFonts w:hint="eastAsia" w:ascii="方正书宋_GBK" w:eastAsia="方正书宋_GBK"/>
              </w:rPr>
              <w:t>完成率</w:t>
            </w:r>
          </w:p>
        </w:tc>
        <w:tc>
          <w:tcPr>
            <w:tcW w:w="737" w:type="dxa"/>
            <w:noWrap w:val="0"/>
            <w:vAlign w:val="center"/>
          </w:tcPr>
          <w:p w14:paraId="52A30D35">
            <w:pPr>
              <w:spacing w:line="300" w:lineRule="exact"/>
              <w:jc w:val="center"/>
              <w:rPr>
                <w:rFonts w:ascii="方正书宋_GBK" w:eastAsia="方正书宋_GBK"/>
              </w:rPr>
            </w:pPr>
            <w:r>
              <w:rPr>
                <w:rFonts w:hint="eastAsia" w:ascii="方正书宋_GBK" w:eastAsia="方正书宋_GBK"/>
              </w:rPr>
              <w:t>≥10</w:t>
            </w:r>
            <w:r>
              <w:rPr>
                <w:rFonts w:ascii="方正书宋_GBK" w:eastAsia="方正书宋_GBK"/>
              </w:rPr>
              <w:t>0%</w:t>
            </w:r>
          </w:p>
        </w:tc>
        <w:tc>
          <w:tcPr>
            <w:tcW w:w="737" w:type="dxa"/>
            <w:noWrap w:val="0"/>
            <w:vAlign w:val="center"/>
          </w:tcPr>
          <w:p w14:paraId="1E7BC84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7243CBD0">
            <w:pPr>
              <w:spacing w:line="300" w:lineRule="exact"/>
              <w:jc w:val="center"/>
              <w:rPr>
                <w:rFonts w:ascii="方正书宋_GBK" w:eastAsia="方正书宋_GBK"/>
              </w:rPr>
            </w:pPr>
            <w:r>
              <w:rPr>
                <w:rFonts w:hint="eastAsia" w:ascii="方正书宋_GBK" w:eastAsia="方正书宋_GBK"/>
              </w:rPr>
              <w:t>≥80</w:t>
            </w:r>
            <w:r>
              <w:rPr>
                <w:rFonts w:ascii="方正书宋_GBK" w:eastAsia="方正书宋_GBK"/>
              </w:rPr>
              <w:t>%</w:t>
            </w:r>
          </w:p>
        </w:tc>
        <w:tc>
          <w:tcPr>
            <w:tcW w:w="737" w:type="dxa"/>
            <w:noWrap w:val="0"/>
            <w:vAlign w:val="center"/>
          </w:tcPr>
          <w:p w14:paraId="1E7C689B">
            <w:pPr>
              <w:spacing w:line="300" w:lineRule="exact"/>
              <w:jc w:val="center"/>
              <w:rPr>
                <w:rFonts w:ascii="方正书宋_GBK" w:eastAsia="方正书宋_GBK"/>
              </w:rPr>
            </w:pPr>
            <w:r>
              <w:rPr>
                <w:rFonts w:hint="eastAsia" w:ascii="方正书宋_GBK" w:eastAsia="方正书宋_GBK"/>
              </w:rPr>
              <w:t>≥7</w:t>
            </w:r>
            <w:r>
              <w:rPr>
                <w:rFonts w:ascii="方正书宋_GBK" w:eastAsia="方正书宋_GBK"/>
              </w:rPr>
              <w:t>0%</w:t>
            </w:r>
          </w:p>
        </w:tc>
      </w:tr>
      <w:tr w14:paraId="2B001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0" w:hRule="atLeast"/>
          <w:jc w:val="center"/>
        </w:trPr>
        <w:tc>
          <w:tcPr>
            <w:tcW w:w="2341" w:type="dxa"/>
            <w:noWrap w:val="0"/>
            <w:vAlign w:val="center"/>
          </w:tcPr>
          <w:p w14:paraId="39076BCC">
            <w:pPr>
              <w:spacing w:line="300" w:lineRule="exact"/>
              <w:jc w:val="left"/>
              <w:rPr>
                <w:rFonts w:hint="eastAsia" w:ascii="方正书宋_GBK" w:eastAsia="方正书宋_GBK"/>
                <w:b/>
              </w:rPr>
            </w:pPr>
            <w:r>
              <w:rPr>
                <w:rFonts w:hint="eastAsia" w:ascii="方正书宋_GBK" w:eastAsia="方正书宋_GBK"/>
                <w:b/>
              </w:rPr>
              <w:t>　　综合业务管理</w:t>
            </w:r>
          </w:p>
        </w:tc>
        <w:tc>
          <w:tcPr>
            <w:tcW w:w="1276" w:type="dxa"/>
            <w:noWrap w:val="0"/>
            <w:vAlign w:val="center"/>
          </w:tcPr>
          <w:p w14:paraId="0919B2D4">
            <w:pPr>
              <w:spacing w:line="300" w:lineRule="exact"/>
              <w:jc w:val="left"/>
              <w:rPr>
                <w:rFonts w:ascii="方正书宋_GBK" w:eastAsia="方正书宋_GBK"/>
              </w:rPr>
            </w:pPr>
          </w:p>
        </w:tc>
        <w:tc>
          <w:tcPr>
            <w:tcW w:w="2976" w:type="dxa"/>
            <w:noWrap w:val="0"/>
            <w:vAlign w:val="center"/>
          </w:tcPr>
          <w:p w14:paraId="45003D9B">
            <w:pPr>
              <w:spacing w:line="300" w:lineRule="exact"/>
              <w:jc w:val="left"/>
              <w:rPr>
                <w:rFonts w:hint="eastAsia" w:ascii="方正书宋_GBK" w:eastAsia="方正书宋_GBK"/>
              </w:rPr>
            </w:pPr>
            <w:r>
              <w:rPr>
                <w:rFonts w:hint="eastAsia" w:ascii="方正书宋_GBK" w:eastAsia="方正书宋_GBK"/>
              </w:rPr>
              <w:t>办理来信来访，日常外事活动和县人大代表团出访事务，内外宾接待，常委会新闻发布和对外宣传，人大系列工作的宣传报道；会议表决系统建设与维护；代表大会和常委会会议公报、人大工作年鉴、大事记和组织史的编写及印刷；负责县内外人大常委会联系；重大课题调研。</w:t>
            </w:r>
          </w:p>
        </w:tc>
        <w:tc>
          <w:tcPr>
            <w:tcW w:w="2976" w:type="dxa"/>
            <w:noWrap w:val="0"/>
            <w:vAlign w:val="center"/>
          </w:tcPr>
          <w:p w14:paraId="4ACD5672">
            <w:pPr>
              <w:spacing w:line="300" w:lineRule="exact"/>
              <w:jc w:val="left"/>
              <w:rPr>
                <w:rFonts w:hint="eastAsia" w:ascii="方正书宋_GBK" w:eastAsia="方正书宋_GBK"/>
              </w:rPr>
            </w:pPr>
            <w:r>
              <w:rPr>
                <w:rFonts w:hint="eastAsia" w:ascii="方正书宋_GBK" w:eastAsia="方正书宋_GBK"/>
              </w:rPr>
              <w:t>保障新闻宣传与新闻发布工作正常开展，提高人大信息透明度和影响力；保障会议表决系统正常运转；网络与办公平台正常运行；促进社会和谐稳定。</w:t>
            </w:r>
          </w:p>
        </w:tc>
        <w:tc>
          <w:tcPr>
            <w:tcW w:w="1417" w:type="dxa"/>
            <w:noWrap w:val="0"/>
            <w:vAlign w:val="center"/>
          </w:tcPr>
          <w:p w14:paraId="13832F11">
            <w:pPr>
              <w:spacing w:line="300" w:lineRule="exact"/>
              <w:jc w:val="center"/>
              <w:rPr>
                <w:rFonts w:ascii="方正书宋_GBK" w:eastAsia="方正书宋_GBK"/>
              </w:rPr>
            </w:pPr>
            <w:r>
              <w:rPr>
                <w:rFonts w:hint="eastAsia" w:ascii="方正书宋_GBK" w:eastAsia="方正书宋_GBK"/>
              </w:rPr>
              <w:t>完成率</w:t>
            </w:r>
          </w:p>
          <w:p w14:paraId="5B5FEA30">
            <w:pPr>
              <w:spacing w:line="300" w:lineRule="exact"/>
              <w:jc w:val="left"/>
              <w:rPr>
                <w:rFonts w:hint="eastAsia" w:ascii="方正书宋_GBK" w:eastAsia="方正书宋_GBK"/>
              </w:rPr>
            </w:pPr>
          </w:p>
        </w:tc>
        <w:tc>
          <w:tcPr>
            <w:tcW w:w="737" w:type="dxa"/>
            <w:noWrap w:val="0"/>
            <w:vAlign w:val="center"/>
          </w:tcPr>
          <w:p w14:paraId="36F66659">
            <w:pPr>
              <w:spacing w:line="300" w:lineRule="exact"/>
              <w:jc w:val="center"/>
              <w:rPr>
                <w:rFonts w:ascii="方正书宋_GBK" w:eastAsia="方正书宋_GBK"/>
              </w:rPr>
            </w:pPr>
            <w:r>
              <w:rPr>
                <w:rFonts w:hint="eastAsia" w:ascii="方正书宋_GBK" w:eastAsia="方正书宋_GBK"/>
              </w:rPr>
              <w:t>≥10</w:t>
            </w:r>
            <w:r>
              <w:rPr>
                <w:rFonts w:ascii="方正书宋_GBK" w:eastAsia="方正书宋_GBK"/>
              </w:rPr>
              <w:t>0%</w:t>
            </w:r>
          </w:p>
        </w:tc>
        <w:tc>
          <w:tcPr>
            <w:tcW w:w="737" w:type="dxa"/>
            <w:noWrap w:val="0"/>
            <w:vAlign w:val="center"/>
          </w:tcPr>
          <w:p w14:paraId="3A5437B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7D370DA4">
            <w:pPr>
              <w:spacing w:line="300" w:lineRule="exact"/>
              <w:jc w:val="center"/>
              <w:rPr>
                <w:rFonts w:ascii="方正书宋_GBK" w:eastAsia="方正书宋_GBK"/>
              </w:rPr>
            </w:pPr>
            <w:r>
              <w:rPr>
                <w:rFonts w:hint="eastAsia" w:ascii="方正书宋_GBK" w:eastAsia="方正书宋_GBK"/>
              </w:rPr>
              <w:t>≥80</w:t>
            </w:r>
            <w:r>
              <w:rPr>
                <w:rFonts w:ascii="方正书宋_GBK" w:eastAsia="方正书宋_GBK"/>
              </w:rPr>
              <w:t>%</w:t>
            </w:r>
          </w:p>
        </w:tc>
        <w:tc>
          <w:tcPr>
            <w:tcW w:w="737" w:type="dxa"/>
            <w:noWrap w:val="0"/>
            <w:vAlign w:val="center"/>
          </w:tcPr>
          <w:p w14:paraId="30FF9A0D">
            <w:pPr>
              <w:spacing w:line="300" w:lineRule="exact"/>
              <w:jc w:val="center"/>
              <w:rPr>
                <w:rFonts w:ascii="方正书宋_GBK" w:eastAsia="方正书宋_GBK"/>
              </w:rPr>
            </w:pPr>
            <w:r>
              <w:rPr>
                <w:rFonts w:hint="eastAsia" w:ascii="方正书宋_GBK" w:eastAsia="方正书宋_GBK"/>
              </w:rPr>
              <w:t>≥7</w:t>
            </w:r>
            <w:r>
              <w:rPr>
                <w:rFonts w:ascii="方正书宋_GBK" w:eastAsia="方正书宋_GBK"/>
              </w:rPr>
              <w:t>0%</w:t>
            </w:r>
          </w:p>
        </w:tc>
      </w:tr>
      <w:tr w14:paraId="6860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14:paraId="7E9127E9">
            <w:pPr>
              <w:spacing w:line="300" w:lineRule="exact"/>
              <w:jc w:val="left"/>
              <w:rPr>
                <w:rFonts w:hint="eastAsia" w:ascii="方正书宋_GBK" w:eastAsia="方正书宋_GBK"/>
                <w:b/>
              </w:rPr>
            </w:pPr>
            <w:r>
              <w:rPr>
                <w:rFonts w:hint="eastAsia" w:ascii="方正书宋_GBK" w:eastAsia="方正书宋_GBK"/>
                <w:b/>
              </w:rPr>
              <w:t>　　综合事务管理</w:t>
            </w:r>
          </w:p>
        </w:tc>
        <w:tc>
          <w:tcPr>
            <w:tcW w:w="1276" w:type="dxa"/>
            <w:noWrap w:val="0"/>
            <w:vAlign w:val="center"/>
          </w:tcPr>
          <w:p w14:paraId="2F4590CB">
            <w:pPr>
              <w:spacing w:line="300" w:lineRule="exact"/>
              <w:jc w:val="left"/>
              <w:rPr>
                <w:rFonts w:ascii="方正书宋_GBK" w:eastAsia="方正书宋_GBK"/>
              </w:rPr>
            </w:pPr>
          </w:p>
        </w:tc>
        <w:tc>
          <w:tcPr>
            <w:tcW w:w="2976" w:type="dxa"/>
            <w:noWrap w:val="0"/>
            <w:vAlign w:val="center"/>
          </w:tcPr>
          <w:p w14:paraId="21F061D2">
            <w:pPr>
              <w:spacing w:line="300" w:lineRule="exact"/>
              <w:jc w:val="left"/>
              <w:rPr>
                <w:rFonts w:hint="eastAsia" w:ascii="方正书宋_GBK" w:eastAsia="方正书宋_GBK"/>
              </w:rPr>
            </w:pPr>
            <w:r>
              <w:rPr>
                <w:rFonts w:hint="eastAsia" w:ascii="方正书宋_GBK" w:eastAsia="方正书宋_GBK"/>
              </w:rPr>
              <w:t>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w:t>
            </w:r>
          </w:p>
        </w:tc>
        <w:tc>
          <w:tcPr>
            <w:tcW w:w="2976" w:type="dxa"/>
            <w:noWrap w:val="0"/>
            <w:vAlign w:val="center"/>
          </w:tcPr>
          <w:p w14:paraId="1D030977">
            <w:pPr>
              <w:spacing w:line="300" w:lineRule="exact"/>
              <w:jc w:val="left"/>
              <w:rPr>
                <w:rFonts w:hint="eastAsia" w:ascii="方正书宋_GBK" w:eastAsia="方正书宋_GBK"/>
              </w:rPr>
            </w:pPr>
            <w:r>
              <w:rPr>
                <w:rFonts w:hint="eastAsia" w:ascii="方正书宋_GBK" w:eastAsia="方正书宋_GBK"/>
              </w:rPr>
              <w:t>机关基础设施设备正常运转，信息化保障、老干部服务保障能力进一步提高。</w:t>
            </w:r>
          </w:p>
        </w:tc>
        <w:tc>
          <w:tcPr>
            <w:tcW w:w="1417" w:type="dxa"/>
            <w:noWrap w:val="0"/>
            <w:vAlign w:val="center"/>
          </w:tcPr>
          <w:p w14:paraId="0DA278EC">
            <w:pPr>
              <w:spacing w:line="300" w:lineRule="exact"/>
              <w:jc w:val="center"/>
              <w:rPr>
                <w:rFonts w:hint="eastAsia" w:ascii="方正书宋_GBK" w:eastAsia="方正书宋_GBK"/>
              </w:rPr>
            </w:pPr>
            <w:r>
              <w:rPr>
                <w:rFonts w:hint="eastAsia" w:ascii="方正书宋_GBK" w:eastAsia="方正书宋_GBK"/>
              </w:rPr>
              <w:t>完成率</w:t>
            </w:r>
          </w:p>
        </w:tc>
        <w:tc>
          <w:tcPr>
            <w:tcW w:w="737" w:type="dxa"/>
            <w:noWrap w:val="0"/>
            <w:vAlign w:val="center"/>
          </w:tcPr>
          <w:p w14:paraId="427286CA">
            <w:pPr>
              <w:spacing w:line="300" w:lineRule="exact"/>
              <w:jc w:val="center"/>
              <w:rPr>
                <w:rFonts w:ascii="方正书宋_GBK" w:eastAsia="方正书宋_GBK"/>
              </w:rPr>
            </w:pPr>
            <w:r>
              <w:rPr>
                <w:rFonts w:hint="eastAsia" w:ascii="方正书宋_GBK" w:eastAsia="方正书宋_GBK"/>
              </w:rPr>
              <w:t>≥10</w:t>
            </w:r>
            <w:r>
              <w:rPr>
                <w:rFonts w:ascii="方正书宋_GBK" w:eastAsia="方正书宋_GBK"/>
              </w:rPr>
              <w:t>0%</w:t>
            </w:r>
          </w:p>
        </w:tc>
        <w:tc>
          <w:tcPr>
            <w:tcW w:w="737" w:type="dxa"/>
            <w:noWrap w:val="0"/>
            <w:vAlign w:val="center"/>
          </w:tcPr>
          <w:p w14:paraId="1904739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6A4991DA">
            <w:pPr>
              <w:spacing w:line="300" w:lineRule="exact"/>
              <w:jc w:val="center"/>
              <w:rPr>
                <w:rFonts w:ascii="方正书宋_GBK" w:eastAsia="方正书宋_GBK"/>
              </w:rPr>
            </w:pPr>
            <w:r>
              <w:rPr>
                <w:rFonts w:hint="eastAsia" w:ascii="方正书宋_GBK" w:eastAsia="方正书宋_GBK"/>
              </w:rPr>
              <w:t>≥80</w:t>
            </w:r>
            <w:r>
              <w:rPr>
                <w:rFonts w:ascii="方正书宋_GBK" w:eastAsia="方正书宋_GBK"/>
              </w:rPr>
              <w:t>%</w:t>
            </w:r>
          </w:p>
        </w:tc>
        <w:tc>
          <w:tcPr>
            <w:tcW w:w="737" w:type="dxa"/>
            <w:noWrap w:val="0"/>
            <w:vAlign w:val="center"/>
          </w:tcPr>
          <w:p w14:paraId="16C726CC">
            <w:pPr>
              <w:spacing w:line="300" w:lineRule="exact"/>
              <w:jc w:val="center"/>
              <w:rPr>
                <w:rFonts w:ascii="方正书宋_GBK" w:eastAsia="方正书宋_GBK"/>
              </w:rPr>
            </w:pPr>
            <w:r>
              <w:rPr>
                <w:rFonts w:hint="eastAsia" w:ascii="方正书宋_GBK" w:eastAsia="方正书宋_GBK"/>
              </w:rPr>
              <w:t>≥7</w:t>
            </w:r>
            <w:r>
              <w:rPr>
                <w:rFonts w:ascii="方正书宋_GBK" w:eastAsia="方正书宋_GBK"/>
              </w:rPr>
              <w:t>0%</w:t>
            </w:r>
          </w:p>
        </w:tc>
      </w:tr>
    </w:tbl>
    <w:p w14:paraId="6BF7D48B">
      <w:pPr>
        <w:spacing w:line="560" w:lineRule="exact"/>
        <w:rPr>
          <w:rFonts w:hint="eastAsia" w:ascii="宋体" w:hAnsi="宋体"/>
          <w:sz w:val="32"/>
          <w:szCs w:val="32"/>
        </w:rPr>
      </w:pPr>
    </w:p>
    <w:p w14:paraId="40D6961E">
      <w:pPr>
        <w:spacing w:line="560" w:lineRule="exact"/>
        <w:rPr>
          <w:rFonts w:hint="eastAsia" w:ascii="宋体" w:hAnsi="宋体"/>
          <w:sz w:val="32"/>
          <w:szCs w:val="32"/>
        </w:rPr>
      </w:pPr>
    </w:p>
    <w:p w14:paraId="65E9B8AC">
      <w:pPr>
        <w:spacing w:line="560" w:lineRule="exact"/>
        <w:ind w:firstLine="723" w:firstLineChars="200"/>
        <w:rPr>
          <w:rFonts w:hint="eastAsia" w:ascii="黑体" w:eastAsia="黑体" w:cs="FZFSK--GBK1-0"/>
          <w:b/>
          <w:kern w:val="0"/>
          <w:sz w:val="36"/>
          <w:szCs w:val="36"/>
        </w:rPr>
      </w:pPr>
      <w:r>
        <w:rPr>
          <w:rFonts w:hint="eastAsia" w:ascii="黑体" w:eastAsia="黑体" w:cs="FZFSK--GBK1-0"/>
          <w:b/>
          <w:kern w:val="0"/>
          <w:sz w:val="36"/>
          <w:szCs w:val="36"/>
        </w:rPr>
        <w:t>六、政府采购预算情况</w:t>
      </w:r>
    </w:p>
    <w:p w14:paraId="69CB3DDB">
      <w:pPr>
        <w:ind w:firstLine="1120" w:firstLineChars="400"/>
        <w:rPr>
          <w:rFonts w:hint="eastAsia" w:eastAsia="方正仿宋_GBK"/>
          <w:kern w:val="2"/>
          <w:sz w:val="28"/>
          <w:szCs w:val="28"/>
          <w:lang w:val="en-US" w:eastAsia="zh-CN" w:bidi="ar-SA"/>
        </w:rPr>
      </w:pPr>
      <w:r>
        <w:rPr>
          <w:rFonts w:hint="eastAsia" w:eastAsia="方正仿宋_GBK"/>
          <w:kern w:val="2"/>
          <w:sz w:val="28"/>
          <w:szCs w:val="28"/>
          <w:lang w:val="en-US" w:eastAsia="zh-CN" w:bidi="ar-SA"/>
        </w:rPr>
        <w:t>2021年县级部门预算未安排我部门政府采购项。</w:t>
      </w:r>
    </w:p>
    <w:tbl>
      <w:tblPr>
        <w:tblStyle w:val="5"/>
        <w:tblpPr w:leftFromText="180" w:rightFromText="180" w:vertAnchor="text" w:horzAnchor="page" w:tblpX="1132" w:tblpY="386"/>
        <w:tblW w:w="0" w:type="auto"/>
        <w:tblInd w:w="0" w:type="dxa"/>
        <w:tblLayout w:type="fixed"/>
        <w:tblCellMar>
          <w:top w:w="0" w:type="dxa"/>
          <w:left w:w="108" w:type="dxa"/>
          <w:bottom w:w="0" w:type="dxa"/>
          <w:right w:w="108" w:type="dxa"/>
        </w:tblCellMar>
      </w:tblPr>
      <w:tblGrid>
        <w:gridCol w:w="3740"/>
        <w:gridCol w:w="1020"/>
        <w:gridCol w:w="1280"/>
        <w:gridCol w:w="1340"/>
        <w:gridCol w:w="1040"/>
        <w:gridCol w:w="700"/>
        <w:gridCol w:w="1020"/>
        <w:gridCol w:w="1260"/>
        <w:gridCol w:w="1260"/>
        <w:gridCol w:w="1140"/>
        <w:gridCol w:w="1160"/>
      </w:tblGrid>
      <w:tr w14:paraId="7C63CD3C">
        <w:tblPrEx>
          <w:tblCellMar>
            <w:top w:w="0" w:type="dxa"/>
            <w:left w:w="108" w:type="dxa"/>
            <w:bottom w:w="0" w:type="dxa"/>
            <w:right w:w="108" w:type="dxa"/>
          </w:tblCellMar>
        </w:tblPrEx>
        <w:trPr>
          <w:trHeight w:val="319" w:hRule="atLeast"/>
        </w:trPr>
        <w:tc>
          <w:tcPr>
            <w:tcW w:w="4760" w:type="dxa"/>
            <w:gridSpan w:val="2"/>
            <w:tcBorders>
              <w:top w:val="single" w:color="auto" w:sz="4" w:space="0"/>
              <w:left w:val="single" w:color="auto" w:sz="4" w:space="0"/>
              <w:bottom w:val="single" w:color="auto" w:sz="4" w:space="0"/>
              <w:right w:val="single" w:color="auto" w:sz="4" w:space="0"/>
            </w:tcBorders>
            <w:noWrap w:val="0"/>
            <w:vAlign w:val="center"/>
          </w:tcPr>
          <w:p w14:paraId="6B52BDF3">
            <w:pPr>
              <w:widowControl/>
              <w:jc w:val="center"/>
              <w:rPr>
                <w:rFonts w:ascii="宋体" w:hAnsi="宋体" w:cs="宋体"/>
                <w:b/>
                <w:bCs/>
                <w:kern w:val="0"/>
                <w:sz w:val="20"/>
              </w:rPr>
            </w:pPr>
            <w:r>
              <w:rPr>
                <w:rFonts w:hint="eastAsia" w:ascii="宋体" w:hAnsi="宋体" w:cs="宋体"/>
                <w:b/>
                <w:bCs/>
                <w:kern w:val="0"/>
                <w:sz w:val="20"/>
              </w:rPr>
              <w:t>政府采购项目来源</w:t>
            </w:r>
          </w:p>
        </w:tc>
        <w:tc>
          <w:tcPr>
            <w:tcW w:w="1280" w:type="dxa"/>
            <w:vMerge w:val="restart"/>
            <w:tcBorders>
              <w:top w:val="single" w:color="auto" w:sz="4" w:space="0"/>
              <w:left w:val="single" w:color="auto" w:sz="4" w:space="0"/>
              <w:bottom w:val="single" w:color="auto" w:sz="4" w:space="0"/>
              <w:right w:val="single" w:color="auto" w:sz="4" w:space="0"/>
            </w:tcBorders>
            <w:noWrap w:val="0"/>
            <w:vAlign w:val="center"/>
          </w:tcPr>
          <w:p w14:paraId="5134613C">
            <w:pPr>
              <w:widowControl/>
              <w:jc w:val="center"/>
              <w:rPr>
                <w:rFonts w:ascii="宋体" w:hAnsi="宋体" w:cs="宋体"/>
                <w:b/>
                <w:bCs/>
                <w:kern w:val="0"/>
                <w:sz w:val="20"/>
              </w:rPr>
            </w:pPr>
            <w:r>
              <w:rPr>
                <w:rFonts w:hint="eastAsia" w:ascii="宋体" w:hAnsi="宋体" w:cs="宋体"/>
                <w:b/>
                <w:bCs/>
                <w:kern w:val="0"/>
                <w:sz w:val="20"/>
              </w:rPr>
              <w:t>采购物品名称</w:t>
            </w:r>
          </w:p>
        </w:tc>
        <w:tc>
          <w:tcPr>
            <w:tcW w:w="1340" w:type="dxa"/>
            <w:vMerge w:val="restart"/>
            <w:tcBorders>
              <w:top w:val="single" w:color="auto" w:sz="4" w:space="0"/>
              <w:left w:val="single" w:color="auto" w:sz="4" w:space="0"/>
              <w:bottom w:val="single" w:color="auto" w:sz="4" w:space="0"/>
              <w:right w:val="single" w:color="auto" w:sz="4" w:space="0"/>
            </w:tcBorders>
            <w:noWrap w:val="0"/>
            <w:vAlign w:val="center"/>
          </w:tcPr>
          <w:p w14:paraId="6BC1186B">
            <w:pPr>
              <w:widowControl/>
              <w:jc w:val="center"/>
              <w:rPr>
                <w:rFonts w:ascii="宋体" w:hAnsi="宋体" w:cs="宋体"/>
                <w:b/>
                <w:bCs/>
                <w:kern w:val="0"/>
                <w:sz w:val="20"/>
              </w:rPr>
            </w:pPr>
            <w:r>
              <w:rPr>
                <w:rFonts w:hint="eastAsia" w:ascii="宋体" w:hAnsi="宋体" w:cs="宋体"/>
                <w:b/>
                <w:bCs/>
                <w:kern w:val="0"/>
                <w:sz w:val="20"/>
              </w:rPr>
              <w:t>政府采购目录序号</w:t>
            </w:r>
          </w:p>
        </w:tc>
        <w:tc>
          <w:tcPr>
            <w:tcW w:w="1040" w:type="dxa"/>
            <w:vMerge w:val="restart"/>
            <w:tcBorders>
              <w:top w:val="single" w:color="auto" w:sz="4" w:space="0"/>
              <w:left w:val="single" w:color="auto" w:sz="4" w:space="0"/>
              <w:bottom w:val="single" w:color="auto" w:sz="4" w:space="0"/>
              <w:right w:val="single" w:color="auto" w:sz="4" w:space="0"/>
            </w:tcBorders>
            <w:noWrap w:val="0"/>
            <w:vAlign w:val="center"/>
          </w:tcPr>
          <w:p w14:paraId="712AEE75">
            <w:pPr>
              <w:widowControl/>
              <w:jc w:val="center"/>
              <w:rPr>
                <w:rFonts w:ascii="宋体" w:hAnsi="宋体" w:cs="宋体"/>
                <w:b/>
                <w:bCs/>
                <w:kern w:val="0"/>
                <w:sz w:val="20"/>
              </w:rPr>
            </w:pPr>
            <w:r>
              <w:rPr>
                <w:rFonts w:hint="eastAsia" w:ascii="宋体" w:hAnsi="宋体" w:cs="宋体"/>
                <w:b/>
                <w:bCs/>
                <w:kern w:val="0"/>
                <w:sz w:val="20"/>
              </w:rPr>
              <w:t>单位</w:t>
            </w:r>
          </w:p>
        </w:tc>
        <w:tc>
          <w:tcPr>
            <w:tcW w:w="700" w:type="dxa"/>
            <w:vMerge w:val="restart"/>
            <w:tcBorders>
              <w:top w:val="single" w:color="auto" w:sz="4" w:space="0"/>
              <w:left w:val="single" w:color="auto" w:sz="4" w:space="0"/>
              <w:bottom w:val="single" w:color="auto" w:sz="4" w:space="0"/>
              <w:right w:val="single" w:color="auto" w:sz="4" w:space="0"/>
            </w:tcBorders>
            <w:noWrap w:val="0"/>
            <w:vAlign w:val="center"/>
          </w:tcPr>
          <w:p w14:paraId="7A6B6BB6">
            <w:pPr>
              <w:widowControl/>
              <w:jc w:val="center"/>
              <w:rPr>
                <w:rFonts w:ascii="宋体" w:hAnsi="宋体" w:cs="宋体"/>
                <w:b/>
                <w:bCs/>
                <w:kern w:val="0"/>
                <w:sz w:val="20"/>
              </w:rPr>
            </w:pPr>
            <w:r>
              <w:rPr>
                <w:rFonts w:hint="eastAsia" w:ascii="宋体" w:hAnsi="宋体" w:cs="宋体"/>
                <w:b/>
                <w:bCs/>
                <w:kern w:val="0"/>
                <w:sz w:val="20"/>
              </w:rPr>
              <w:t>数量</w:t>
            </w:r>
          </w:p>
        </w:tc>
        <w:tc>
          <w:tcPr>
            <w:tcW w:w="1020" w:type="dxa"/>
            <w:vMerge w:val="restart"/>
            <w:tcBorders>
              <w:top w:val="single" w:color="auto" w:sz="4" w:space="0"/>
              <w:left w:val="single" w:color="auto" w:sz="4" w:space="0"/>
              <w:bottom w:val="single" w:color="auto" w:sz="4" w:space="0"/>
              <w:right w:val="single" w:color="auto" w:sz="4" w:space="0"/>
            </w:tcBorders>
            <w:noWrap w:val="0"/>
            <w:vAlign w:val="center"/>
          </w:tcPr>
          <w:p w14:paraId="4EC64461">
            <w:pPr>
              <w:widowControl/>
              <w:jc w:val="center"/>
              <w:rPr>
                <w:rFonts w:ascii="宋体" w:hAnsi="宋体" w:cs="宋体"/>
                <w:b/>
                <w:bCs/>
                <w:kern w:val="0"/>
                <w:sz w:val="20"/>
              </w:rPr>
            </w:pPr>
            <w:r>
              <w:rPr>
                <w:rFonts w:hint="eastAsia" w:ascii="宋体" w:hAnsi="宋体" w:cs="宋体"/>
                <w:b/>
                <w:bCs/>
                <w:kern w:val="0"/>
                <w:sz w:val="20"/>
              </w:rPr>
              <w:t>单价</w:t>
            </w:r>
          </w:p>
        </w:tc>
        <w:tc>
          <w:tcPr>
            <w:tcW w:w="4820" w:type="dxa"/>
            <w:gridSpan w:val="4"/>
            <w:tcBorders>
              <w:top w:val="single" w:color="auto" w:sz="4" w:space="0"/>
              <w:left w:val="nil"/>
              <w:bottom w:val="single" w:color="auto" w:sz="4" w:space="0"/>
              <w:right w:val="single" w:color="auto" w:sz="4" w:space="0"/>
            </w:tcBorders>
            <w:noWrap w:val="0"/>
            <w:vAlign w:val="center"/>
          </w:tcPr>
          <w:p w14:paraId="62382C6C">
            <w:pPr>
              <w:widowControl/>
              <w:jc w:val="center"/>
              <w:rPr>
                <w:rFonts w:ascii="宋体" w:hAnsi="宋体" w:cs="宋体"/>
                <w:b/>
                <w:bCs/>
                <w:kern w:val="0"/>
                <w:sz w:val="20"/>
              </w:rPr>
            </w:pPr>
            <w:r>
              <w:rPr>
                <w:rFonts w:hint="eastAsia" w:ascii="宋体" w:hAnsi="宋体" w:cs="宋体"/>
                <w:b/>
                <w:bCs/>
                <w:kern w:val="0"/>
                <w:sz w:val="20"/>
              </w:rPr>
              <w:t>政府采购金额</w:t>
            </w:r>
          </w:p>
        </w:tc>
      </w:tr>
      <w:tr w14:paraId="4B5B22D5">
        <w:tblPrEx>
          <w:tblCellMar>
            <w:top w:w="0" w:type="dxa"/>
            <w:left w:w="108" w:type="dxa"/>
            <w:bottom w:w="0" w:type="dxa"/>
            <w:right w:w="108" w:type="dxa"/>
          </w:tblCellMar>
        </w:tblPrEx>
        <w:trPr>
          <w:trHeight w:val="319" w:hRule="atLeast"/>
        </w:trPr>
        <w:tc>
          <w:tcPr>
            <w:tcW w:w="3740" w:type="dxa"/>
            <w:vMerge w:val="restart"/>
            <w:tcBorders>
              <w:top w:val="nil"/>
              <w:left w:val="single" w:color="auto" w:sz="4" w:space="0"/>
              <w:bottom w:val="single" w:color="auto" w:sz="4" w:space="0"/>
              <w:right w:val="single" w:color="auto" w:sz="4" w:space="0"/>
            </w:tcBorders>
            <w:noWrap w:val="0"/>
            <w:vAlign w:val="center"/>
          </w:tcPr>
          <w:p w14:paraId="3200C3C2">
            <w:pPr>
              <w:widowControl/>
              <w:jc w:val="center"/>
              <w:rPr>
                <w:rFonts w:hint="eastAsia" w:ascii="宋体" w:hAnsi="宋体" w:eastAsia="宋体" w:cs="宋体"/>
                <w:b/>
                <w:bCs/>
                <w:kern w:val="0"/>
                <w:sz w:val="20"/>
                <w:lang w:eastAsia="zh-CN"/>
              </w:rPr>
            </w:pPr>
            <w:r>
              <w:rPr>
                <w:rFonts w:hint="eastAsia" w:ascii="宋体" w:hAnsi="宋体" w:cs="宋体"/>
                <w:b/>
                <w:bCs/>
                <w:kern w:val="0"/>
                <w:sz w:val="20"/>
                <w:lang w:eastAsia="zh-CN"/>
              </w:rPr>
              <w:t>项目名称</w:t>
            </w:r>
          </w:p>
        </w:tc>
        <w:tc>
          <w:tcPr>
            <w:tcW w:w="1020" w:type="dxa"/>
            <w:vMerge w:val="restart"/>
            <w:tcBorders>
              <w:top w:val="nil"/>
              <w:left w:val="single" w:color="auto" w:sz="4" w:space="0"/>
              <w:bottom w:val="single" w:color="auto" w:sz="4" w:space="0"/>
              <w:right w:val="single" w:color="auto" w:sz="4" w:space="0"/>
            </w:tcBorders>
            <w:noWrap w:val="0"/>
            <w:vAlign w:val="center"/>
          </w:tcPr>
          <w:p w14:paraId="66E26530">
            <w:pPr>
              <w:widowControl/>
              <w:jc w:val="center"/>
              <w:rPr>
                <w:rFonts w:ascii="宋体" w:hAnsi="宋体" w:cs="宋体"/>
                <w:b/>
                <w:bCs/>
                <w:kern w:val="0"/>
                <w:sz w:val="20"/>
              </w:rPr>
            </w:pPr>
            <w:r>
              <w:rPr>
                <w:rFonts w:hint="eastAsia" w:ascii="宋体" w:hAnsi="宋体" w:cs="宋体"/>
                <w:b/>
                <w:bCs/>
                <w:kern w:val="0"/>
                <w:sz w:val="20"/>
              </w:rPr>
              <w:t>预算资金</w:t>
            </w:r>
          </w:p>
        </w:tc>
        <w:tc>
          <w:tcPr>
            <w:tcW w:w="1280" w:type="dxa"/>
            <w:vMerge w:val="continue"/>
            <w:tcBorders>
              <w:top w:val="single" w:color="auto" w:sz="4" w:space="0"/>
              <w:left w:val="single" w:color="auto" w:sz="4" w:space="0"/>
              <w:bottom w:val="single" w:color="auto" w:sz="4" w:space="0"/>
              <w:right w:val="single" w:color="auto" w:sz="4" w:space="0"/>
            </w:tcBorders>
            <w:noWrap w:val="0"/>
            <w:vAlign w:val="center"/>
          </w:tcPr>
          <w:p w14:paraId="55885D43">
            <w:pPr>
              <w:widowControl/>
              <w:jc w:val="left"/>
              <w:rPr>
                <w:rFonts w:ascii="宋体" w:hAnsi="宋体" w:cs="宋体"/>
                <w:b/>
                <w:bCs/>
                <w:kern w:val="0"/>
                <w:sz w:val="20"/>
              </w:rPr>
            </w:pPr>
          </w:p>
        </w:tc>
        <w:tc>
          <w:tcPr>
            <w:tcW w:w="1340" w:type="dxa"/>
            <w:vMerge w:val="continue"/>
            <w:tcBorders>
              <w:top w:val="single" w:color="auto" w:sz="4" w:space="0"/>
              <w:left w:val="single" w:color="auto" w:sz="4" w:space="0"/>
              <w:bottom w:val="single" w:color="auto" w:sz="4" w:space="0"/>
              <w:right w:val="single" w:color="auto" w:sz="4" w:space="0"/>
            </w:tcBorders>
            <w:noWrap w:val="0"/>
            <w:vAlign w:val="center"/>
          </w:tcPr>
          <w:p w14:paraId="127F6D8A">
            <w:pPr>
              <w:widowControl/>
              <w:jc w:val="left"/>
              <w:rPr>
                <w:rFonts w:ascii="宋体" w:hAnsi="宋体" w:cs="宋体"/>
                <w:b/>
                <w:bCs/>
                <w:kern w:val="0"/>
                <w:sz w:val="20"/>
              </w:rPr>
            </w:pPr>
          </w:p>
        </w:tc>
        <w:tc>
          <w:tcPr>
            <w:tcW w:w="1040" w:type="dxa"/>
            <w:vMerge w:val="continue"/>
            <w:tcBorders>
              <w:top w:val="single" w:color="auto" w:sz="4" w:space="0"/>
              <w:left w:val="single" w:color="auto" w:sz="4" w:space="0"/>
              <w:bottom w:val="single" w:color="auto" w:sz="4" w:space="0"/>
              <w:right w:val="single" w:color="auto" w:sz="4" w:space="0"/>
            </w:tcBorders>
            <w:noWrap w:val="0"/>
            <w:vAlign w:val="center"/>
          </w:tcPr>
          <w:p w14:paraId="3C87852E">
            <w:pPr>
              <w:widowControl/>
              <w:jc w:val="left"/>
              <w:rPr>
                <w:rFonts w:ascii="宋体" w:hAnsi="宋体" w:cs="宋体"/>
                <w:b/>
                <w:bCs/>
                <w:kern w:val="0"/>
                <w:sz w:val="20"/>
              </w:rPr>
            </w:pPr>
          </w:p>
        </w:tc>
        <w:tc>
          <w:tcPr>
            <w:tcW w:w="700" w:type="dxa"/>
            <w:vMerge w:val="continue"/>
            <w:tcBorders>
              <w:top w:val="single" w:color="auto" w:sz="4" w:space="0"/>
              <w:left w:val="single" w:color="auto" w:sz="4" w:space="0"/>
              <w:bottom w:val="single" w:color="auto" w:sz="4" w:space="0"/>
              <w:right w:val="single" w:color="auto" w:sz="4" w:space="0"/>
            </w:tcBorders>
            <w:noWrap w:val="0"/>
            <w:vAlign w:val="center"/>
          </w:tcPr>
          <w:p w14:paraId="4C5DC5D5">
            <w:pPr>
              <w:widowControl/>
              <w:jc w:val="left"/>
              <w:rPr>
                <w:rFonts w:ascii="宋体" w:hAnsi="宋体" w:cs="宋体"/>
                <w:b/>
                <w:bCs/>
                <w:kern w:val="0"/>
                <w:sz w:val="20"/>
              </w:rPr>
            </w:pPr>
          </w:p>
        </w:tc>
        <w:tc>
          <w:tcPr>
            <w:tcW w:w="1020" w:type="dxa"/>
            <w:vMerge w:val="continue"/>
            <w:tcBorders>
              <w:top w:val="single" w:color="auto" w:sz="4" w:space="0"/>
              <w:left w:val="single" w:color="auto" w:sz="4" w:space="0"/>
              <w:bottom w:val="single" w:color="auto" w:sz="4" w:space="0"/>
              <w:right w:val="single" w:color="auto" w:sz="4" w:space="0"/>
            </w:tcBorders>
            <w:noWrap w:val="0"/>
            <w:vAlign w:val="center"/>
          </w:tcPr>
          <w:p w14:paraId="3D9C9A05">
            <w:pPr>
              <w:widowControl/>
              <w:jc w:val="left"/>
              <w:rPr>
                <w:rFonts w:ascii="宋体" w:hAnsi="宋体" w:cs="宋体"/>
                <w:b/>
                <w:bCs/>
                <w:kern w:val="0"/>
                <w:sz w:val="20"/>
              </w:rPr>
            </w:pPr>
          </w:p>
        </w:tc>
        <w:tc>
          <w:tcPr>
            <w:tcW w:w="1260" w:type="dxa"/>
            <w:vMerge w:val="restart"/>
            <w:tcBorders>
              <w:top w:val="nil"/>
              <w:left w:val="single" w:color="auto" w:sz="4" w:space="0"/>
              <w:bottom w:val="single" w:color="auto" w:sz="4" w:space="0"/>
              <w:right w:val="single" w:color="auto" w:sz="4" w:space="0"/>
            </w:tcBorders>
            <w:noWrap w:val="0"/>
            <w:vAlign w:val="center"/>
          </w:tcPr>
          <w:p w14:paraId="5BD1DDCA">
            <w:pPr>
              <w:widowControl/>
              <w:jc w:val="center"/>
              <w:rPr>
                <w:rFonts w:ascii="宋体" w:hAnsi="宋体" w:cs="宋体"/>
                <w:b/>
                <w:bCs/>
                <w:kern w:val="0"/>
                <w:sz w:val="20"/>
              </w:rPr>
            </w:pPr>
            <w:r>
              <w:rPr>
                <w:rFonts w:hint="eastAsia" w:ascii="宋体" w:hAnsi="宋体" w:cs="宋体"/>
                <w:b/>
                <w:bCs/>
                <w:kern w:val="0"/>
                <w:sz w:val="20"/>
              </w:rPr>
              <w:t>总计</w:t>
            </w:r>
          </w:p>
        </w:tc>
        <w:tc>
          <w:tcPr>
            <w:tcW w:w="3560" w:type="dxa"/>
            <w:gridSpan w:val="3"/>
            <w:tcBorders>
              <w:top w:val="single" w:color="auto" w:sz="4" w:space="0"/>
              <w:left w:val="nil"/>
              <w:bottom w:val="single" w:color="auto" w:sz="4" w:space="0"/>
              <w:right w:val="single" w:color="auto" w:sz="4" w:space="0"/>
            </w:tcBorders>
            <w:noWrap w:val="0"/>
            <w:vAlign w:val="center"/>
          </w:tcPr>
          <w:p w14:paraId="5998CD61">
            <w:pPr>
              <w:widowControl/>
              <w:jc w:val="center"/>
              <w:rPr>
                <w:rFonts w:ascii="宋体" w:hAnsi="宋体" w:cs="宋体"/>
                <w:b/>
                <w:bCs/>
                <w:kern w:val="0"/>
                <w:sz w:val="20"/>
              </w:rPr>
            </w:pPr>
            <w:r>
              <w:rPr>
                <w:rFonts w:hint="eastAsia" w:ascii="宋体" w:hAnsi="宋体" w:cs="宋体"/>
                <w:b/>
                <w:bCs/>
                <w:kern w:val="0"/>
                <w:sz w:val="20"/>
              </w:rPr>
              <w:t>当年部门预算安排资金</w:t>
            </w:r>
          </w:p>
        </w:tc>
      </w:tr>
      <w:tr w14:paraId="4F2C498B">
        <w:tblPrEx>
          <w:tblCellMar>
            <w:top w:w="0" w:type="dxa"/>
            <w:left w:w="108" w:type="dxa"/>
            <w:bottom w:w="0" w:type="dxa"/>
            <w:right w:w="108" w:type="dxa"/>
          </w:tblCellMar>
        </w:tblPrEx>
        <w:trPr>
          <w:trHeight w:val="499" w:hRule="atLeast"/>
        </w:trPr>
        <w:tc>
          <w:tcPr>
            <w:tcW w:w="3740" w:type="dxa"/>
            <w:vMerge w:val="continue"/>
            <w:tcBorders>
              <w:top w:val="nil"/>
              <w:left w:val="single" w:color="auto" w:sz="4" w:space="0"/>
              <w:bottom w:val="single" w:color="auto" w:sz="4" w:space="0"/>
              <w:right w:val="single" w:color="auto" w:sz="4" w:space="0"/>
            </w:tcBorders>
            <w:noWrap w:val="0"/>
            <w:vAlign w:val="center"/>
          </w:tcPr>
          <w:p w14:paraId="596EEC39">
            <w:pPr>
              <w:widowControl/>
              <w:jc w:val="left"/>
              <w:rPr>
                <w:rFonts w:ascii="宋体" w:hAnsi="宋体" w:cs="宋体"/>
                <w:b/>
                <w:bCs/>
                <w:kern w:val="0"/>
                <w:sz w:val="20"/>
              </w:rPr>
            </w:pPr>
          </w:p>
        </w:tc>
        <w:tc>
          <w:tcPr>
            <w:tcW w:w="1020" w:type="dxa"/>
            <w:vMerge w:val="continue"/>
            <w:tcBorders>
              <w:top w:val="nil"/>
              <w:left w:val="single" w:color="auto" w:sz="4" w:space="0"/>
              <w:bottom w:val="single" w:color="auto" w:sz="4" w:space="0"/>
              <w:right w:val="single" w:color="auto" w:sz="4" w:space="0"/>
            </w:tcBorders>
            <w:noWrap w:val="0"/>
            <w:vAlign w:val="center"/>
          </w:tcPr>
          <w:p w14:paraId="70DEE292">
            <w:pPr>
              <w:widowControl/>
              <w:jc w:val="left"/>
              <w:rPr>
                <w:rFonts w:ascii="宋体" w:hAnsi="宋体" w:cs="宋体"/>
                <w:b/>
                <w:bCs/>
                <w:kern w:val="0"/>
                <w:sz w:val="20"/>
              </w:rPr>
            </w:pPr>
          </w:p>
        </w:tc>
        <w:tc>
          <w:tcPr>
            <w:tcW w:w="1280" w:type="dxa"/>
            <w:vMerge w:val="continue"/>
            <w:tcBorders>
              <w:top w:val="single" w:color="auto" w:sz="4" w:space="0"/>
              <w:left w:val="single" w:color="auto" w:sz="4" w:space="0"/>
              <w:bottom w:val="single" w:color="auto" w:sz="4" w:space="0"/>
              <w:right w:val="single" w:color="auto" w:sz="4" w:space="0"/>
            </w:tcBorders>
            <w:noWrap w:val="0"/>
            <w:vAlign w:val="center"/>
          </w:tcPr>
          <w:p w14:paraId="4A136FA1">
            <w:pPr>
              <w:widowControl/>
              <w:jc w:val="left"/>
              <w:rPr>
                <w:rFonts w:ascii="宋体" w:hAnsi="宋体" w:cs="宋体"/>
                <w:b/>
                <w:bCs/>
                <w:kern w:val="0"/>
                <w:sz w:val="20"/>
              </w:rPr>
            </w:pPr>
          </w:p>
        </w:tc>
        <w:tc>
          <w:tcPr>
            <w:tcW w:w="1340" w:type="dxa"/>
            <w:vMerge w:val="continue"/>
            <w:tcBorders>
              <w:top w:val="single" w:color="auto" w:sz="4" w:space="0"/>
              <w:left w:val="single" w:color="auto" w:sz="4" w:space="0"/>
              <w:bottom w:val="single" w:color="auto" w:sz="4" w:space="0"/>
              <w:right w:val="single" w:color="auto" w:sz="4" w:space="0"/>
            </w:tcBorders>
            <w:noWrap w:val="0"/>
            <w:vAlign w:val="center"/>
          </w:tcPr>
          <w:p w14:paraId="733A7822">
            <w:pPr>
              <w:widowControl/>
              <w:jc w:val="left"/>
              <w:rPr>
                <w:rFonts w:ascii="宋体" w:hAnsi="宋体" w:cs="宋体"/>
                <w:b/>
                <w:bCs/>
                <w:kern w:val="0"/>
                <w:sz w:val="20"/>
              </w:rPr>
            </w:pPr>
          </w:p>
        </w:tc>
        <w:tc>
          <w:tcPr>
            <w:tcW w:w="1040" w:type="dxa"/>
            <w:vMerge w:val="continue"/>
            <w:tcBorders>
              <w:top w:val="single" w:color="auto" w:sz="4" w:space="0"/>
              <w:left w:val="single" w:color="auto" w:sz="4" w:space="0"/>
              <w:bottom w:val="single" w:color="auto" w:sz="4" w:space="0"/>
              <w:right w:val="single" w:color="auto" w:sz="4" w:space="0"/>
            </w:tcBorders>
            <w:noWrap w:val="0"/>
            <w:vAlign w:val="center"/>
          </w:tcPr>
          <w:p w14:paraId="3C3E5939">
            <w:pPr>
              <w:widowControl/>
              <w:jc w:val="left"/>
              <w:rPr>
                <w:rFonts w:ascii="宋体" w:hAnsi="宋体" w:cs="宋体"/>
                <w:b/>
                <w:bCs/>
                <w:kern w:val="0"/>
                <w:sz w:val="20"/>
              </w:rPr>
            </w:pPr>
          </w:p>
        </w:tc>
        <w:tc>
          <w:tcPr>
            <w:tcW w:w="700" w:type="dxa"/>
            <w:vMerge w:val="continue"/>
            <w:tcBorders>
              <w:top w:val="single" w:color="auto" w:sz="4" w:space="0"/>
              <w:left w:val="single" w:color="auto" w:sz="4" w:space="0"/>
              <w:bottom w:val="single" w:color="auto" w:sz="4" w:space="0"/>
              <w:right w:val="single" w:color="auto" w:sz="4" w:space="0"/>
            </w:tcBorders>
            <w:noWrap w:val="0"/>
            <w:vAlign w:val="center"/>
          </w:tcPr>
          <w:p w14:paraId="25122811">
            <w:pPr>
              <w:widowControl/>
              <w:jc w:val="left"/>
              <w:rPr>
                <w:rFonts w:ascii="宋体" w:hAnsi="宋体" w:cs="宋体"/>
                <w:b/>
                <w:bCs/>
                <w:kern w:val="0"/>
                <w:sz w:val="20"/>
              </w:rPr>
            </w:pPr>
          </w:p>
        </w:tc>
        <w:tc>
          <w:tcPr>
            <w:tcW w:w="1020" w:type="dxa"/>
            <w:vMerge w:val="continue"/>
            <w:tcBorders>
              <w:top w:val="single" w:color="auto" w:sz="4" w:space="0"/>
              <w:left w:val="single" w:color="auto" w:sz="4" w:space="0"/>
              <w:bottom w:val="single" w:color="auto" w:sz="4" w:space="0"/>
              <w:right w:val="single" w:color="auto" w:sz="4" w:space="0"/>
            </w:tcBorders>
            <w:noWrap w:val="0"/>
            <w:vAlign w:val="center"/>
          </w:tcPr>
          <w:p w14:paraId="41A2075B">
            <w:pPr>
              <w:widowControl/>
              <w:jc w:val="left"/>
              <w:rPr>
                <w:rFonts w:ascii="宋体" w:hAnsi="宋体" w:cs="宋体"/>
                <w:b/>
                <w:bCs/>
                <w:kern w:val="0"/>
                <w:sz w:val="20"/>
              </w:rPr>
            </w:pPr>
          </w:p>
        </w:tc>
        <w:tc>
          <w:tcPr>
            <w:tcW w:w="1260" w:type="dxa"/>
            <w:vMerge w:val="continue"/>
            <w:tcBorders>
              <w:top w:val="nil"/>
              <w:left w:val="single" w:color="auto" w:sz="4" w:space="0"/>
              <w:bottom w:val="single" w:color="auto" w:sz="4" w:space="0"/>
              <w:right w:val="single" w:color="auto" w:sz="4" w:space="0"/>
            </w:tcBorders>
            <w:noWrap w:val="0"/>
            <w:vAlign w:val="center"/>
          </w:tcPr>
          <w:p w14:paraId="52A1B81E">
            <w:pPr>
              <w:widowControl/>
              <w:jc w:val="left"/>
              <w:rPr>
                <w:rFonts w:ascii="宋体" w:hAnsi="宋体" w:cs="宋体"/>
                <w:b/>
                <w:bCs/>
                <w:kern w:val="0"/>
                <w:sz w:val="20"/>
              </w:rPr>
            </w:pPr>
          </w:p>
        </w:tc>
        <w:tc>
          <w:tcPr>
            <w:tcW w:w="1260" w:type="dxa"/>
            <w:tcBorders>
              <w:top w:val="nil"/>
              <w:left w:val="nil"/>
              <w:bottom w:val="single" w:color="auto" w:sz="4" w:space="0"/>
              <w:right w:val="single" w:color="auto" w:sz="4" w:space="0"/>
            </w:tcBorders>
            <w:noWrap w:val="0"/>
            <w:vAlign w:val="center"/>
          </w:tcPr>
          <w:p w14:paraId="1B8B957A">
            <w:pPr>
              <w:widowControl/>
              <w:jc w:val="center"/>
              <w:rPr>
                <w:rFonts w:ascii="宋体" w:hAnsi="宋体" w:cs="宋体"/>
                <w:b/>
                <w:bCs/>
                <w:kern w:val="0"/>
                <w:sz w:val="20"/>
              </w:rPr>
            </w:pPr>
            <w:r>
              <w:rPr>
                <w:rFonts w:hint="eastAsia" w:ascii="宋体" w:hAnsi="宋体" w:cs="宋体"/>
                <w:b/>
                <w:bCs/>
                <w:kern w:val="0"/>
                <w:sz w:val="20"/>
              </w:rPr>
              <w:t>合计</w:t>
            </w:r>
          </w:p>
        </w:tc>
        <w:tc>
          <w:tcPr>
            <w:tcW w:w="1140" w:type="dxa"/>
            <w:tcBorders>
              <w:top w:val="nil"/>
              <w:left w:val="nil"/>
              <w:bottom w:val="single" w:color="auto" w:sz="4" w:space="0"/>
              <w:right w:val="single" w:color="auto" w:sz="4" w:space="0"/>
            </w:tcBorders>
            <w:noWrap w:val="0"/>
            <w:vAlign w:val="center"/>
          </w:tcPr>
          <w:p w14:paraId="0CF131C6">
            <w:pPr>
              <w:widowControl/>
              <w:jc w:val="center"/>
              <w:rPr>
                <w:rFonts w:ascii="宋体" w:hAnsi="宋体" w:cs="宋体"/>
                <w:b/>
                <w:bCs/>
                <w:kern w:val="0"/>
                <w:sz w:val="20"/>
              </w:rPr>
            </w:pPr>
            <w:r>
              <w:rPr>
                <w:rFonts w:hint="eastAsia" w:ascii="宋体" w:hAnsi="宋体" w:cs="宋体"/>
                <w:b/>
                <w:bCs/>
                <w:kern w:val="0"/>
                <w:sz w:val="20"/>
              </w:rPr>
              <w:t>一般公共预算拨款</w:t>
            </w:r>
          </w:p>
        </w:tc>
        <w:tc>
          <w:tcPr>
            <w:tcW w:w="1160" w:type="dxa"/>
            <w:tcBorders>
              <w:top w:val="nil"/>
              <w:left w:val="nil"/>
              <w:bottom w:val="single" w:color="auto" w:sz="4" w:space="0"/>
              <w:right w:val="single" w:color="auto" w:sz="4" w:space="0"/>
            </w:tcBorders>
            <w:noWrap w:val="0"/>
            <w:vAlign w:val="center"/>
          </w:tcPr>
          <w:p w14:paraId="2220D2B2">
            <w:pPr>
              <w:widowControl/>
              <w:jc w:val="center"/>
              <w:rPr>
                <w:rFonts w:ascii="宋体" w:hAnsi="宋体" w:cs="宋体"/>
                <w:b/>
                <w:bCs/>
                <w:kern w:val="0"/>
                <w:sz w:val="20"/>
              </w:rPr>
            </w:pPr>
            <w:r>
              <w:rPr>
                <w:rFonts w:hint="eastAsia" w:ascii="宋体" w:hAnsi="宋体" w:cs="宋体"/>
                <w:b/>
                <w:bCs/>
                <w:kern w:val="0"/>
                <w:sz w:val="20"/>
              </w:rPr>
              <w:t>其他来源收入</w:t>
            </w:r>
          </w:p>
        </w:tc>
      </w:tr>
      <w:tr w14:paraId="2E26602F">
        <w:tblPrEx>
          <w:tblCellMar>
            <w:top w:w="0" w:type="dxa"/>
            <w:left w:w="108" w:type="dxa"/>
            <w:bottom w:w="0" w:type="dxa"/>
            <w:right w:w="108" w:type="dxa"/>
          </w:tblCellMar>
        </w:tblPrEx>
        <w:trPr>
          <w:trHeight w:val="499" w:hRule="atLeast"/>
        </w:trPr>
        <w:tc>
          <w:tcPr>
            <w:tcW w:w="3740" w:type="dxa"/>
            <w:tcBorders>
              <w:top w:val="nil"/>
              <w:left w:val="single" w:color="auto" w:sz="4" w:space="0"/>
              <w:bottom w:val="single" w:color="auto" w:sz="4" w:space="0"/>
              <w:right w:val="single" w:color="auto" w:sz="4" w:space="0"/>
            </w:tcBorders>
            <w:noWrap w:val="0"/>
            <w:vAlign w:val="center"/>
          </w:tcPr>
          <w:p w14:paraId="2392E0B5">
            <w:pPr>
              <w:widowControl/>
              <w:jc w:val="center"/>
              <w:rPr>
                <w:rFonts w:ascii="宋体" w:hAnsi="宋体" w:cs="宋体"/>
                <w:b/>
                <w:bCs/>
                <w:kern w:val="0"/>
                <w:sz w:val="20"/>
              </w:rPr>
            </w:pPr>
            <w:r>
              <w:rPr>
                <w:rFonts w:hint="eastAsia" w:ascii="宋体" w:hAnsi="宋体" w:cs="宋体"/>
                <w:b/>
                <w:bCs/>
                <w:kern w:val="0"/>
                <w:sz w:val="20"/>
              </w:rPr>
              <w:t>合　计</w:t>
            </w:r>
          </w:p>
        </w:tc>
        <w:tc>
          <w:tcPr>
            <w:tcW w:w="1020" w:type="dxa"/>
            <w:tcBorders>
              <w:top w:val="nil"/>
              <w:left w:val="nil"/>
              <w:bottom w:val="single" w:color="auto" w:sz="4" w:space="0"/>
              <w:right w:val="single" w:color="auto" w:sz="4" w:space="0"/>
            </w:tcBorders>
            <w:noWrap w:val="0"/>
            <w:vAlign w:val="center"/>
          </w:tcPr>
          <w:p w14:paraId="1D5BAC8B">
            <w:pPr>
              <w:widowControl/>
              <w:jc w:val="right"/>
              <w:rPr>
                <w:rFonts w:ascii="宋体" w:hAnsi="宋体" w:cs="宋体"/>
                <w:b/>
                <w:bCs/>
                <w:kern w:val="0"/>
                <w:sz w:val="20"/>
              </w:rPr>
            </w:pPr>
            <w:r>
              <w:rPr>
                <w:rFonts w:hint="eastAsia" w:ascii="宋体" w:hAnsi="宋体" w:cs="宋体"/>
                <w:b/>
                <w:bCs/>
                <w:kern w:val="0"/>
                <w:sz w:val="20"/>
              </w:rPr>
              <w:t>　</w:t>
            </w:r>
          </w:p>
        </w:tc>
        <w:tc>
          <w:tcPr>
            <w:tcW w:w="1280" w:type="dxa"/>
            <w:tcBorders>
              <w:top w:val="nil"/>
              <w:left w:val="nil"/>
              <w:bottom w:val="single" w:color="auto" w:sz="4" w:space="0"/>
              <w:right w:val="single" w:color="auto" w:sz="4" w:space="0"/>
            </w:tcBorders>
            <w:noWrap w:val="0"/>
            <w:vAlign w:val="center"/>
          </w:tcPr>
          <w:p w14:paraId="1439A91C">
            <w:pPr>
              <w:widowControl/>
              <w:jc w:val="left"/>
              <w:rPr>
                <w:rFonts w:ascii="宋体" w:hAnsi="宋体" w:cs="宋体"/>
                <w:b/>
                <w:bCs/>
                <w:kern w:val="0"/>
                <w:sz w:val="20"/>
              </w:rPr>
            </w:pPr>
            <w:r>
              <w:rPr>
                <w:rFonts w:hint="eastAsia" w:ascii="宋体" w:hAnsi="宋体" w:cs="宋体"/>
                <w:b/>
                <w:bCs/>
                <w:kern w:val="0"/>
                <w:sz w:val="20"/>
              </w:rPr>
              <w:t>　</w:t>
            </w:r>
          </w:p>
        </w:tc>
        <w:tc>
          <w:tcPr>
            <w:tcW w:w="1340" w:type="dxa"/>
            <w:tcBorders>
              <w:top w:val="nil"/>
              <w:left w:val="nil"/>
              <w:bottom w:val="single" w:color="auto" w:sz="4" w:space="0"/>
              <w:right w:val="single" w:color="auto" w:sz="4" w:space="0"/>
            </w:tcBorders>
            <w:noWrap w:val="0"/>
            <w:vAlign w:val="center"/>
          </w:tcPr>
          <w:p w14:paraId="2EB29FE6">
            <w:pPr>
              <w:widowControl/>
              <w:jc w:val="left"/>
              <w:rPr>
                <w:rFonts w:ascii="宋体" w:hAnsi="宋体" w:cs="宋体"/>
                <w:b/>
                <w:bCs/>
                <w:kern w:val="0"/>
                <w:sz w:val="20"/>
              </w:rPr>
            </w:pPr>
            <w:r>
              <w:rPr>
                <w:rFonts w:hint="eastAsia" w:ascii="宋体" w:hAnsi="宋体" w:cs="宋体"/>
                <w:b/>
                <w:bCs/>
                <w:kern w:val="0"/>
                <w:sz w:val="20"/>
              </w:rPr>
              <w:t>　</w:t>
            </w:r>
          </w:p>
        </w:tc>
        <w:tc>
          <w:tcPr>
            <w:tcW w:w="1040" w:type="dxa"/>
            <w:tcBorders>
              <w:top w:val="nil"/>
              <w:left w:val="nil"/>
              <w:bottom w:val="single" w:color="auto" w:sz="4" w:space="0"/>
              <w:right w:val="single" w:color="auto" w:sz="4" w:space="0"/>
            </w:tcBorders>
            <w:noWrap w:val="0"/>
            <w:vAlign w:val="center"/>
          </w:tcPr>
          <w:p w14:paraId="781D416C">
            <w:pPr>
              <w:widowControl/>
              <w:jc w:val="center"/>
              <w:rPr>
                <w:rFonts w:ascii="宋体" w:hAnsi="宋体" w:cs="宋体"/>
                <w:b/>
                <w:bCs/>
                <w:kern w:val="0"/>
                <w:sz w:val="20"/>
              </w:rPr>
            </w:pPr>
            <w:r>
              <w:rPr>
                <w:rFonts w:hint="eastAsia" w:ascii="宋体" w:hAnsi="宋体" w:cs="宋体"/>
                <w:b/>
                <w:bCs/>
                <w:kern w:val="0"/>
                <w:sz w:val="20"/>
              </w:rPr>
              <w:t>　</w:t>
            </w:r>
          </w:p>
        </w:tc>
        <w:tc>
          <w:tcPr>
            <w:tcW w:w="700" w:type="dxa"/>
            <w:tcBorders>
              <w:top w:val="nil"/>
              <w:left w:val="nil"/>
              <w:bottom w:val="single" w:color="auto" w:sz="4" w:space="0"/>
              <w:right w:val="single" w:color="auto" w:sz="4" w:space="0"/>
            </w:tcBorders>
            <w:noWrap w:val="0"/>
            <w:vAlign w:val="center"/>
          </w:tcPr>
          <w:p w14:paraId="74827C8D">
            <w:pPr>
              <w:widowControl/>
              <w:jc w:val="center"/>
              <w:rPr>
                <w:rFonts w:ascii="宋体" w:hAnsi="宋体" w:cs="宋体"/>
                <w:b/>
                <w:bCs/>
                <w:kern w:val="0"/>
                <w:sz w:val="20"/>
              </w:rPr>
            </w:pPr>
            <w:r>
              <w:rPr>
                <w:rFonts w:hint="eastAsia" w:ascii="宋体" w:hAnsi="宋体" w:cs="宋体"/>
                <w:b/>
                <w:bCs/>
                <w:kern w:val="0"/>
                <w:sz w:val="20"/>
              </w:rPr>
              <w:t>　</w:t>
            </w:r>
          </w:p>
        </w:tc>
        <w:tc>
          <w:tcPr>
            <w:tcW w:w="1020" w:type="dxa"/>
            <w:tcBorders>
              <w:top w:val="nil"/>
              <w:left w:val="nil"/>
              <w:bottom w:val="single" w:color="auto" w:sz="4" w:space="0"/>
              <w:right w:val="single" w:color="auto" w:sz="4" w:space="0"/>
            </w:tcBorders>
            <w:noWrap w:val="0"/>
            <w:vAlign w:val="center"/>
          </w:tcPr>
          <w:p w14:paraId="2CB468D8">
            <w:pPr>
              <w:widowControl/>
              <w:jc w:val="right"/>
              <w:rPr>
                <w:rFonts w:ascii="宋体" w:hAnsi="宋体" w:cs="宋体"/>
                <w:b/>
                <w:bCs/>
                <w:kern w:val="0"/>
                <w:sz w:val="20"/>
              </w:rPr>
            </w:pPr>
            <w:r>
              <w:rPr>
                <w:rFonts w:hint="eastAsia" w:ascii="宋体" w:hAnsi="宋体" w:cs="宋体"/>
                <w:b/>
                <w:bCs/>
                <w:kern w:val="0"/>
                <w:sz w:val="20"/>
              </w:rPr>
              <w:t>　</w:t>
            </w:r>
          </w:p>
        </w:tc>
        <w:tc>
          <w:tcPr>
            <w:tcW w:w="1260" w:type="dxa"/>
            <w:tcBorders>
              <w:top w:val="nil"/>
              <w:left w:val="nil"/>
              <w:bottom w:val="single" w:color="auto" w:sz="4" w:space="0"/>
              <w:right w:val="single" w:color="auto" w:sz="4" w:space="0"/>
            </w:tcBorders>
            <w:noWrap w:val="0"/>
            <w:vAlign w:val="center"/>
          </w:tcPr>
          <w:p w14:paraId="5E2CB72C">
            <w:pPr>
              <w:widowControl/>
              <w:jc w:val="right"/>
              <w:rPr>
                <w:rFonts w:ascii="宋体" w:hAnsi="宋体" w:cs="宋体"/>
                <w:b/>
                <w:bCs/>
                <w:kern w:val="0"/>
                <w:sz w:val="20"/>
              </w:rPr>
            </w:pPr>
            <w:r>
              <w:rPr>
                <w:rFonts w:hint="eastAsia" w:ascii="宋体" w:hAnsi="宋体" w:cs="宋体"/>
                <w:b/>
                <w:bCs/>
                <w:kern w:val="0"/>
                <w:sz w:val="20"/>
              </w:rPr>
              <w:t>　</w:t>
            </w:r>
          </w:p>
        </w:tc>
        <w:tc>
          <w:tcPr>
            <w:tcW w:w="1260" w:type="dxa"/>
            <w:tcBorders>
              <w:top w:val="nil"/>
              <w:left w:val="nil"/>
              <w:bottom w:val="single" w:color="auto" w:sz="4" w:space="0"/>
              <w:right w:val="single" w:color="auto" w:sz="4" w:space="0"/>
            </w:tcBorders>
            <w:noWrap w:val="0"/>
            <w:vAlign w:val="center"/>
          </w:tcPr>
          <w:p w14:paraId="30F6EA64">
            <w:pPr>
              <w:widowControl/>
              <w:jc w:val="right"/>
              <w:rPr>
                <w:rFonts w:ascii="宋体" w:hAnsi="宋体" w:cs="宋体"/>
                <w:b/>
                <w:bCs/>
                <w:kern w:val="0"/>
                <w:sz w:val="20"/>
              </w:rPr>
            </w:pPr>
            <w:r>
              <w:rPr>
                <w:rFonts w:hint="eastAsia" w:ascii="宋体" w:hAnsi="宋体" w:cs="宋体"/>
                <w:b/>
                <w:bCs/>
                <w:kern w:val="0"/>
                <w:sz w:val="20"/>
              </w:rPr>
              <w:t>　</w:t>
            </w:r>
          </w:p>
        </w:tc>
        <w:tc>
          <w:tcPr>
            <w:tcW w:w="1140" w:type="dxa"/>
            <w:tcBorders>
              <w:top w:val="nil"/>
              <w:left w:val="nil"/>
              <w:bottom w:val="single" w:color="auto" w:sz="4" w:space="0"/>
              <w:right w:val="single" w:color="auto" w:sz="4" w:space="0"/>
            </w:tcBorders>
            <w:noWrap w:val="0"/>
            <w:vAlign w:val="center"/>
          </w:tcPr>
          <w:p w14:paraId="6B356D54">
            <w:pPr>
              <w:widowControl/>
              <w:jc w:val="right"/>
              <w:rPr>
                <w:rFonts w:ascii="宋体" w:hAnsi="宋体" w:cs="宋体"/>
                <w:b/>
                <w:bCs/>
                <w:kern w:val="0"/>
                <w:sz w:val="20"/>
              </w:rPr>
            </w:pPr>
            <w:r>
              <w:rPr>
                <w:rFonts w:hint="eastAsia" w:ascii="宋体" w:hAnsi="宋体" w:cs="宋体"/>
                <w:b/>
                <w:bCs/>
                <w:kern w:val="0"/>
                <w:sz w:val="20"/>
              </w:rPr>
              <w:t>　</w:t>
            </w:r>
          </w:p>
        </w:tc>
        <w:tc>
          <w:tcPr>
            <w:tcW w:w="1160" w:type="dxa"/>
            <w:tcBorders>
              <w:top w:val="nil"/>
              <w:left w:val="nil"/>
              <w:bottom w:val="single" w:color="auto" w:sz="4" w:space="0"/>
              <w:right w:val="single" w:color="auto" w:sz="4" w:space="0"/>
            </w:tcBorders>
            <w:noWrap w:val="0"/>
            <w:vAlign w:val="center"/>
          </w:tcPr>
          <w:p w14:paraId="188B9253">
            <w:pPr>
              <w:widowControl/>
              <w:jc w:val="right"/>
              <w:rPr>
                <w:rFonts w:ascii="宋体" w:hAnsi="宋体" w:cs="宋体"/>
                <w:b/>
                <w:bCs/>
                <w:kern w:val="0"/>
                <w:sz w:val="20"/>
              </w:rPr>
            </w:pPr>
            <w:r>
              <w:rPr>
                <w:rFonts w:hint="eastAsia" w:ascii="宋体" w:hAnsi="宋体" w:cs="宋体"/>
                <w:b/>
                <w:bCs/>
                <w:kern w:val="0"/>
                <w:sz w:val="20"/>
              </w:rPr>
              <w:t>　</w:t>
            </w:r>
          </w:p>
        </w:tc>
      </w:tr>
      <w:tr w14:paraId="662D6762">
        <w:tblPrEx>
          <w:tblCellMar>
            <w:top w:w="0" w:type="dxa"/>
            <w:left w:w="108" w:type="dxa"/>
            <w:bottom w:w="0" w:type="dxa"/>
            <w:right w:w="108" w:type="dxa"/>
          </w:tblCellMar>
        </w:tblPrEx>
        <w:trPr>
          <w:trHeight w:val="499" w:hRule="atLeast"/>
        </w:trPr>
        <w:tc>
          <w:tcPr>
            <w:tcW w:w="3740" w:type="dxa"/>
            <w:tcBorders>
              <w:top w:val="single" w:color="auto" w:sz="4" w:space="0"/>
              <w:left w:val="single" w:color="auto" w:sz="4" w:space="0"/>
              <w:bottom w:val="single" w:color="auto" w:sz="4" w:space="0"/>
              <w:right w:val="single" w:color="auto" w:sz="4" w:space="0"/>
            </w:tcBorders>
            <w:noWrap w:val="0"/>
            <w:vAlign w:val="center"/>
          </w:tcPr>
          <w:p w14:paraId="0D326D91">
            <w:pPr>
              <w:widowControl/>
              <w:jc w:val="center"/>
              <w:rPr>
                <w:rFonts w:hint="eastAsia" w:ascii="宋体" w:hAnsi="宋体" w:cs="宋体"/>
                <w:b/>
                <w:bCs/>
                <w:kern w:val="0"/>
                <w:sz w:val="20"/>
              </w:rPr>
            </w:pPr>
          </w:p>
        </w:tc>
        <w:tc>
          <w:tcPr>
            <w:tcW w:w="1020" w:type="dxa"/>
            <w:tcBorders>
              <w:top w:val="single" w:color="auto" w:sz="4" w:space="0"/>
              <w:left w:val="nil"/>
              <w:bottom w:val="single" w:color="auto" w:sz="4" w:space="0"/>
              <w:right w:val="single" w:color="auto" w:sz="4" w:space="0"/>
            </w:tcBorders>
            <w:noWrap w:val="0"/>
            <w:vAlign w:val="center"/>
          </w:tcPr>
          <w:p w14:paraId="01331318">
            <w:pPr>
              <w:widowControl/>
              <w:jc w:val="right"/>
              <w:rPr>
                <w:rFonts w:hint="eastAsia" w:ascii="宋体" w:hAnsi="宋体" w:cs="宋体"/>
                <w:b/>
                <w:bCs/>
                <w:kern w:val="0"/>
                <w:sz w:val="20"/>
              </w:rPr>
            </w:pPr>
          </w:p>
        </w:tc>
        <w:tc>
          <w:tcPr>
            <w:tcW w:w="1280" w:type="dxa"/>
            <w:tcBorders>
              <w:top w:val="single" w:color="auto" w:sz="4" w:space="0"/>
              <w:left w:val="nil"/>
              <w:bottom w:val="single" w:color="auto" w:sz="4" w:space="0"/>
              <w:right w:val="single" w:color="auto" w:sz="4" w:space="0"/>
            </w:tcBorders>
            <w:noWrap w:val="0"/>
            <w:vAlign w:val="center"/>
          </w:tcPr>
          <w:p w14:paraId="793575A7">
            <w:pPr>
              <w:widowControl/>
              <w:jc w:val="left"/>
              <w:rPr>
                <w:rFonts w:hint="eastAsia" w:ascii="宋体" w:hAnsi="宋体" w:cs="宋体"/>
                <w:b/>
                <w:bCs/>
                <w:kern w:val="0"/>
                <w:sz w:val="20"/>
              </w:rPr>
            </w:pPr>
          </w:p>
        </w:tc>
        <w:tc>
          <w:tcPr>
            <w:tcW w:w="1340" w:type="dxa"/>
            <w:tcBorders>
              <w:top w:val="single" w:color="auto" w:sz="4" w:space="0"/>
              <w:left w:val="nil"/>
              <w:bottom w:val="single" w:color="auto" w:sz="4" w:space="0"/>
              <w:right w:val="single" w:color="auto" w:sz="4" w:space="0"/>
            </w:tcBorders>
            <w:noWrap w:val="0"/>
            <w:vAlign w:val="center"/>
          </w:tcPr>
          <w:p w14:paraId="3E96E446">
            <w:pPr>
              <w:widowControl/>
              <w:jc w:val="left"/>
              <w:rPr>
                <w:rFonts w:hint="eastAsia" w:ascii="宋体" w:hAnsi="宋体" w:cs="宋体"/>
                <w:b/>
                <w:bCs/>
                <w:kern w:val="0"/>
                <w:sz w:val="20"/>
              </w:rPr>
            </w:pPr>
          </w:p>
        </w:tc>
        <w:tc>
          <w:tcPr>
            <w:tcW w:w="1040" w:type="dxa"/>
            <w:tcBorders>
              <w:top w:val="single" w:color="auto" w:sz="4" w:space="0"/>
              <w:left w:val="nil"/>
              <w:bottom w:val="single" w:color="auto" w:sz="4" w:space="0"/>
              <w:right w:val="single" w:color="auto" w:sz="4" w:space="0"/>
            </w:tcBorders>
            <w:noWrap w:val="0"/>
            <w:vAlign w:val="center"/>
          </w:tcPr>
          <w:p w14:paraId="3BE5C2B5">
            <w:pPr>
              <w:widowControl/>
              <w:jc w:val="center"/>
              <w:rPr>
                <w:rFonts w:hint="eastAsia" w:ascii="宋体" w:hAnsi="宋体" w:cs="宋体"/>
                <w:b/>
                <w:bCs/>
                <w:kern w:val="0"/>
                <w:sz w:val="20"/>
              </w:rPr>
            </w:pPr>
          </w:p>
        </w:tc>
        <w:tc>
          <w:tcPr>
            <w:tcW w:w="700" w:type="dxa"/>
            <w:tcBorders>
              <w:top w:val="single" w:color="auto" w:sz="4" w:space="0"/>
              <w:left w:val="nil"/>
              <w:bottom w:val="single" w:color="auto" w:sz="4" w:space="0"/>
              <w:right w:val="single" w:color="auto" w:sz="4" w:space="0"/>
            </w:tcBorders>
            <w:noWrap w:val="0"/>
            <w:vAlign w:val="center"/>
          </w:tcPr>
          <w:p w14:paraId="2E89E70C">
            <w:pPr>
              <w:widowControl/>
              <w:jc w:val="center"/>
              <w:rPr>
                <w:rFonts w:hint="eastAsia" w:ascii="宋体" w:hAnsi="宋体" w:cs="宋体"/>
                <w:b/>
                <w:bCs/>
                <w:kern w:val="0"/>
                <w:sz w:val="20"/>
              </w:rPr>
            </w:pPr>
          </w:p>
        </w:tc>
        <w:tc>
          <w:tcPr>
            <w:tcW w:w="1020" w:type="dxa"/>
            <w:tcBorders>
              <w:top w:val="single" w:color="auto" w:sz="4" w:space="0"/>
              <w:left w:val="nil"/>
              <w:bottom w:val="single" w:color="auto" w:sz="4" w:space="0"/>
              <w:right w:val="single" w:color="auto" w:sz="4" w:space="0"/>
            </w:tcBorders>
            <w:noWrap w:val="0"/>
            <w:vAlign w:val="center"/>
          </w:tcPr>
          <w:p w14:paraId="34CB326B">
            <w:pPr>
              <w:widowControl/>
              <w:jc w:val="right"/>
              <w:rPr>
                <w:rFonts w:hint="eastAsia" w:ascii="宋体" w:hAnsi="宋体" w:cs="宋体"/>
                <w:b/>
                <w:bCs/>
                <w:kern w:val="0"/>
                <w:sz w:val="20"/>
              </w:rPr>
            </w:pPr>
          </w:p>
        </w:tc>
        <w:tc>
          <w:tcPr>
            <w:tcW w:w="1260" w:type="dxa"/>
            <w:tcBorders>
              <w:top w:val="single" w:color="auto" w:sz="4" w:space="0"/>
              <w:left w:val="nil"/>
              <w:bottom w:val="single" w:color="auto" w:sz="4" w:space="0"/>
              <w:right w:val="single" w:color="auto" w:sz="4" w:space="0"/>
            </w:tcBorders>
            <w:noWrap w:val="0"/>
            <w:vAlign w:val="center"/>
          </w:tcPr>
          <w:p w14:paraId="658807F6">
            <w:pPr>
              <w:widowControl/>
              <w:jc w:val="right"/>
              <w:rPr>
                <w:rFonts w:hint="eastAsia" w:ascii="宋体" w:hAnsi="宋体" w:cs="宋体"/>
                <w:b/>
                <w:bCs/>
                <w:kern w:val="0"/>
                <w:sz w:val="20"/>
              </w:rPr>
            </w:pPr>
          </w:p>
        </w:tc>
        <w:tc>
          <w:tcPr>
            <w:tcW w:w="1260" w:type="dxa"/>
            <w:tcBorders>
              <w:top w:val="single" w:color="auto" w:sz="4" w:space="0"/>
              <w:left w:val="nil"/>
              <w:bottom w:val="single" w:color="auto" w:sz="4" w:space="0"/>
              <w:right w:val="single" w:color="auto" w:sz="4" w:space="0"/>
            </w:tcBorders>
            <w:noWrap w:val="0"/>
            <w:vAlign w:val="center"/>
          </w:tcPr>
          <w:p w14:paraId="5227F49A">
            <w:pPr>
              <w:widowControl/>
              <w:jc w:val="right"/>
              <w:rPr>
                <w:rFonts w:hint="eastAsia" w:ascii="宋体" w:hAnsi="宋体" w:cs="宋体"/>
                <w:b/>
                <w:bCs/>
                <w:kern w:val="0"/>
                <w:sz w:val="20"/>
              </w:rPr>
            </w:pPr>
          </w:p>
        </w:tc>
        <w:tc>
          <w:tcPr>
            <w:tcW w:w="1140" w:type="dxa"/>
            <w:tcBorders>
              <w:top w:val="single" w:color="auto" w:sz="4" w:space="0"/>
              <w:left w:val="nil"/>
              <w:bottom w:val="single" w:color="auto" w:sz="4" w:space="0"/>
              <w:right w:val="single" w:color="auto" w:sz="4" w:space="0"/>
            </w:tcBorders>
            <w:noWrap w:val="0"/>
            <w:vAlign w:val="center"/>
          </w:tcPr>
          <w:p w14:paraId="3C8F2418">
            <w:pPr>
              <w:widowControl/>
              <w:jc w:val="right"/>
              <w:rPr>
                <w:rFonts w:hint="eastAsia" w:ascii="宋体" w:hAnsi="宋体" w:cs="宋体"/>
                <w:b/>
                <w:bCs/>
                <w:kern w:val="0"/>
                <w:sz w:val="20"/>
              </w:rPr>
            </w:pPr>
          </w:p>
        </w:tc>
        <w:tc>
          <w:tcPr>
            <w:tcW w:w="1160" w:type="dxa"/>
            <w:tcBorders>
              <w:top w:val="single" w:color="auto" w:sz="4" w:space="0"/>
              <w:left w:val="nil"/>
              <w:bottom w:val="single" w:color="auto" w:sz="4" w:space="0"/>
              <w:right w:val="single" w:color="auto" w:sz="4" w:space="0"/>
            </w:tcBorders>
            <w:noWrap w:val="0"/>
            <w:vAlign w:val="center"/>
          </w:tcPr>
          <w:p w14:paraId="32F4FEF5">
            <w:pPr>
              <w:widowControl/>
              <w:jc w:val="right"/>
              <w:rPr>
                <w:rFonts w:hint="eastAsia" w:ascii="宋体" w:hAnsi="宋体" w:cs="宋体"/>
                <w:b/>
                <w:bCs/>
                <w:kern w:val="0"/>
                <w:sz w:val="20"/>
              </w:rPr>
            </w:pPr>
          </w:p>
        </w:tc>
      </w:tr>
      <w:tr w14:paraId="3B8B6C23">
        <w:tblPrEx>
          <w:tblCellMar>
            <w:top w:w="0" w:type="dxa"/>
            <w:left w:w="108" w:type="dxa"/>
            <w:bottom w:w="0" w:type="dxa"/>
            <w:right w:w="108" w:type="dxa"/>
          </w:tblCellMar>
        </w:tblPrEx>
        <w:trPr>
          <w:trHeight w:val="499" w:hRule="atLeast"/>
        </w:trPr>
        <w:tc>
          <w:tcPr>
            <w:tcW w:w="14960" w:type="dxa"/>
            <w:gridSpan w:val="11"/>
            <w:tcBorders>
              <w:top w:val="single" w:color="auto" w:sz="4" w:space="0"/>
              <w:left w:val="single" w:color="auto" w:sz="4" w:space="0"/>
              <w:bottom w:val="single" w:color="auto" w:sz="4" w:space="0"/>
              <w:right w:val="single" w:color="auto" w:sz="4" w:space="0"/>
            </w:tcBorders>
            <w:noWrap w:val="0"/>
            <w:vAlign w:val="center"/>
          </w:tcPr>
          <w:p w14:paraId="342B9095">
            <w:pPr>
              <w:widowControl/>
              <w:jc w:val="left"/>
              <w:rPr>
                <w:rFonts w:hint="eastAsia" w:ascii="宋体" w:hAnsi="宋体" w:eastAsia="宋体" w:cs="宋体"/>
                <w:b/>
                <w:bCs/>
                <w:kern w:val="0"/>
                <w:sz w:val="20"/>
                <w:lang w:val="en-US" w:eastAsia="zh-CN"/>
              </w:rPr>
            </w:pPr>
            <w:r>
              <w:rPr>
                <w:rFonts w:hint="eastAsia" w:ascii="宋体" w:hAnsi="宋体" w:cs="宋体"/>
                <w:b/>
                <w:bCs/>
                <w:kern w:val="0"/>
                <w:sz w:val="20"/>
                <w:lang w:val="en-US" w:eastAsia="zh-CN"/>
              </w:rPr>
              <w:t xml:space="preserve">       注：无政府采购项目，空表列示。</w:t>
            </w:r>
          </w:p>
        </w:tc>
      </w:tr>
    </w:tbl>
    <w:p w14:paraId="1817D000">
      <w:pPr>
        <w:spacing w:line="560" w:lineRule="exact"/>
        <w:ind w:firstLine="708" w:firstLineChars="196"/>
        <w:rPr>
          <w:rFonts w:hint="eastAsia" w:ascii="宋体" w:hAnsi="宋体" w:eastAsia="宋体" w:cs="宋体"/>
          <w:b w:val="0"/>
          <w:bCs/>
          <w:kern w:val="0"/>
          <w:sz w:val="24"/>
          <w:szCs w:val="24"/>
          <w:lang w:val="en-US" w:eastAsia="zh-CN"/>
        </w:rPr>
      </w:pPr>
      <w:r>
        <w:rPr>
          <w:rFonts w:hint="eastAsia" w:ascii="黑体" w:eastAsia="黑体" w:cs="FZFSK--GBK1-0"/>
          <w:b/>
          <w:kern w:val="0"/>
          <w:sz w:val="36"/>
          <w:szCs w:val="36"/>
          <w:lang w:val="en-US" w:eastAsia="zh-CN"/>
        </w:rPr>
        <w:t xml:space="preserve">                                                                 </w:t>
      </w:r>
      <w:r>
        <w:rPr>
          <w:rFonts w:hint="eastAsia" w:ascii="宋体" w:hAnsi="宋体" w:eastAsia="宋体" w:cs="宋体"/>
          <w:b/>
          <w:kern w:val="0"/>
          <w:sz w:val="24"/>
          <w:szCs w:val="24"/>
          <w:lang w:val="en-US" w:eastAsia="zh-CN"/>
        </w:rPr>
        <w:t xml:space="preserve"> </w:t>
      </w:r>
    </w:p>
    <w:p w14:paraId="7E7B10AD">
      <w:pPr>
        <w:spacing w:line="560" w:lineRule="exact"/>
        <w:ind w:firstLine="723" w:firstLineChars="200"/>
        <w:rPr>
          <w:rFonts w:hint="eastAsia" w:ascii="黑体" w:eastAsia="黑体" w:cs="FZFSK--GBK1-0"/>
          <w:b/>
          <w:kern w:val="0"/>
          <w:sz w:val="36"/>
          <w:szCs w:val="36"/>
        </w:rPr>
      </w:pPr>
      <w:r>
        <w:rPr>
          <w:rFonts w:hint="eastAsia" w:ascii="黑体" w:hAnsi="宋体" w:eastAsia="黑体" w:cs="FZFSK--GBK1-0"/>
          <w:b/>
          <w:kern w:val="0"/>
          <w:sz w:val="36"/>
          <w:szCs w:val="36"/>
        </w:rPr>
        <w:t xml:space="preserve">七、 </w:t>
      </w:r>
      <w:r>
        <w:rPr>
          <w:rFonts w:hint="eastAsia" w:ascii="黑体" w:eastAsia="黑体" w:cs="FZFSK--GBK1-0"/>
          <w:b/>
          <w:kern w:val="0"/>
          <w:sz w:val="36"/>
          <w:szCs w:val="36"/>
        </w:rPr>
        <w:t>国有资产信息</w:t>
      </w:r>
    </w:p>
    <w:p w14:paraId="62786F88">
      <w:pPr>
        <w:ind w:firstLine="1024" w:firstLineChars="366"/>
        <w:rPr>
          <w:rFonts w:hint="eastAsia" w:ascii="宋体" w:hAnsi="宋体" w:cs="宋体"/>
          <w:sz w:val="32"/>
          <w:szCs w:val="32"/>
        </w:rPr>
      </w:pPr>
      <w:r>
        <w:rPr>
          <w:rFonts w:hint="eastAsia" w:eastAsia="方正仿宋_GBK"/>
          <w:kern w:val="2"/>
          <w:sz w:val="28"/>
          <w:szCs w:val="28"/>
          <w:lang w:val="en-US" w:eastAsia="zh-CN" w:bidi="ar-SA"/>
        </w:rPr>
        <w:t>截止2020年12月31日，我单位固定资产清查值20.949万元，详见下表。</w:t>
      </w:r>
    </w:p>
    <w:tbl>
      <w:tblPr>
        <w:tblStyle w:val="5"/>
        <w:tblW w:w="0" w:type="auto"/>
        <w:jc w:val="center"/>
        <w:tblLayout w:type="fixed"/>
        <w:tblCellMar>
          <w:top w:w="15" w:type="dxa"/>
          <w:left w:w="15" w:type="dxa"/>
          <w:bottom w:w="15" w:type="dxa"/>
          <w:right w:w="15" w:type="dxa"/>
        </w:tblCellMar>
      </w:tblPr>
      <w:tblGrid>
        <w:gridCol w:w="3465"/>
        <w:gridCol w:w="3795"/>
        <w:gridCol w:w="5355"/>
      </w:tblGrid>
      <w:tr w14:paraId="6E3030FB">
        <w:tblPrEx>
          <w:tblCellMar>
            <w:top w:w="15" w:type="dxa"/>
            <w:left w:w="15" w:type="dxa"/>
            <w:bottom w:w="15" w:type="dxa"/>
            <w:right w:w="15" w:type="dxa"/>
          </w:tblCellMar>
        </w:tblPrEx>
        <w:trPr>
          <w:trHeight w:val="515" w:hRule="atLeast"/>
          <w:jc w:val="center"/>
        </w:trPr>
        <w:tc>
          <w:tcPr>
            <w:tcW w:w="3465" w:type="dxa"/>
            <w:tcBorders>
              <w:top w:val="single" w:color="000000" w:sz="4" w:space="0"/>
              <w:left w:val="single" w:color="000000" w:sz="4" w:space="0"/>
              <w:bottom w:val="single" w:color="000000" w:sz="4" w:space="0"/>
              <w:right w:val="single" w:color="000000" w:sz="4" w:space="0"/>
            </w:tcBorders>
            <w:noWrap w:val="0"/>
            <w:vAlign w:val="center"/>
          </w:tcPr>
          <w:p w14:paraId="1DB4234E">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项目</w:t>
            </w:r>
          </w:p>
        </w:tc>
        <w:tc>
          <w:tcPr>
            <w:tcW w:w="3795" w:type="dxa"/>
            <w:tcBorders>
              <w:top w:val="single" w:color="000000" w:sz="4" w:space="0"/>
              <w:left w:val="single" w:color="000000" w:sz="4" w:space="0"/>
              <w:bottom w:val="single" w:color="000000" w:sz="4" w:space="0"/>
              <w:right w:val="single" w:color="000000" w:sz="4" w:space="0"/>
            </w:tcBorders>
            <w:noWrap w:val="0"/>
            <w:vAlign w:val="center"/>
          </w:tcPr>
          <w:p w14:paraId="28530FD7">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数量</w:t>
            </w:r>
          </w:p>
        </w:tc>
        <w:tc>
          <w:tcPr>
            <w:tcW w:w="5355" w:type="dxa"/>
            <w:tcBorders>
              <w:top w:val="single" w:color="000000" w:sz="4" w:space="0"/>
              <w:left w:val="single" w:color="000000" w:sz="4" w:space="0"/>
              <w:bottom w:val="single" w:color="000000" w:sz="4" w:space="0"/>
              <w:right w:val="single" w:color="000000" w:sz="4" w:space="0"/>
            </w:tcBorders>
            <w:noWrap w:val="0"/>
            <w:vAlign w:val="center"/>
          </w:tcPr>
          <w:p w14:paraId="36936F49">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价值（金额单位：元）</w:t>
            </w:r>
          </w:p>
        </w:tc>
      </w:tr>
      <w:tr w14:paraId="35B86D44">
        <w:tblPrEx>
          <w:tblCellMar>
            <w:top w:w="15" w:type="dxa"/>
            <w:left w:w="15" w:type="dxa"/>
            <w:bottom w:w="15" w:type="dxa"/>
            <w:right w:w="15" w:type="dxa"/>
          </w:tblCellMar>
        </w:tblPrEx>
        <w:trPr>
          <w:trHeight w:val="395" w:hRule="atLeast"/>
          <w:jc w:val="center"/>
        </w:trPr>
        <w:tc>
          <w:tcPr>
            <w:tcW w:w="3465" w:type="dxa"/>
            <w:tcBorders>
              <w:top w:val="single" w:color="000000" w:sz="4" w:space="0"/>
              <w:left w:val="single" w:color="000000" w:sz="4" w:space="0"/>
              <w:bottom w:val="single" w:color="000000" w:sz="4" w:space="0"/>
              <w:right w:val="single" w:color="000000" w:sz="4" w:space="0"/>
            </w:tcBorders>
            <w:noWrap w:val="0"/>
            <w:vAlign w:val="center"/>
          </w:tcPr>
          <w:p w14:paraId="390D09A0">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固定资产总额</w:t>
            </w:r>
          </w:p>
        </w:tc>
        <w:tc>
          <w:tcPr>
            <w:tcW w:w="3795" w:type="dxa"/>
            <w:tcBorders>
              <w:top w:val="single" w:color="000000" w:sz="4" w:space="0"/>
              <w:left w:val="single" w:color="000000" w:sz="4" w:space="0"/>
              <w:bottom w:val="single" w:color="000000" w:sz="4" w:space="0"/>
              <w:right w:val="single" w:color="000000" w:sz="4" w:space="0"/>
            </w:tcBorders>
            <w:noWrap w:val="0"/>
            <w:vAlign w:val="center"/>
          </w:tcPr>
          <w:p w14:paraId="7EF49CDB">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w:t>
            </w:r>
          </w:p>
        </w:tc>
        <w:tc>
          <w:tcPr>
            <w:tcW w:w="5355" w:type="dxa"/>
            <w:tcBorders>
              <w:top w:val="single" w:color="000000" w:sz="4" w:space="0"/>
              <w:left w:val="single" w:color="000000" w:sz="4" w:space="0"/>
              <w:bottom w:val="single" w:color="000000" w:sz="4" w:space="0"/>
              <w:right w:val="single" w:color="000000" w:sz="4" w:space="0"/>
            </w:tcBorders>
            <w:noWrap w:val="0"/>
            <w:vAlign w:val="center"/>
          </w:tcPr>
          <w:p w14:paraId="3F51642F">
            <w:pPr>
              <w:widowControl/>
              <w:jc w:val="center"/>
              <w:textAlignment w:val="center"/>
              <w:rPr>
                <w:rFonts w:hint="default"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20.949</w:t>
            </w:r>
          </w:p>
        </w:tc>
      </w:tr>
      <w:tr w14:paraId="247E8AC8">
        <w:tblPrEx>
          <w:tblCellMar>
            <w:top w:w="15" w:type="dxa"/>
            <w:left w:w="15" w:type="dxa"/>
            <w:bottom w:w="15" w:type="dxa"/>
            <w:right w:w="15" w:type="dxa"/>
          </w:tblCellMar>
        </w:tblPrEx>
        <w:trPr>
          <w:trHeight w:val="600" w:hRule="atLeast"/>
          <w:jc w:val="center"/>
        </w:trPr>
        <w:tc>
          <w:tcPr>
            <w:tcW w:w="3465" w:type="dxa"/>
            <w:tcBorders>
              <w:top w:val="single" w:color="000000" w:sz="4" w:space="0"/>
              <w:left w:val="single" w:color="000000" w:sz="4" w:space="0"/>
              <w:bottom w:val="single" w:color="000000" w:sz="4" w:space="0"/>
              <w:right w:val="single" w:color="000000" w:sz="4" w:space="0"/>
            </w:tcBorders>
            <w:noWrap w:val="0"/>
            <w:vAlign w:val="center"/>
          </w:tcPr>
          <w:p w14:paraId="59118B1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1.房屋（平方米）</w:t>
            </w:r>
          </w:p>
        </w:tc>
        <w:tc>
          <w:tcPr>
            <w:tcW w:w="3795" w:type="dxa"/>
            <w:tcBorders>
              <w:top w:val="single" w:color="000000" w:sz="4" w:space="0"/>
              <w:left w:val="single" w:color="000000" w:sz="4" w:space="0"/>
              <w:bottom w:val="single" w:color="000000" w:sz="4" w:space="0"/>
              <w:right w:val="single" w:color="000000" w:sz="4" w:space="0"/>
            </w:tcBorders>
            <w:noWrap w:val="0"/>
            <w:vAlign w:val="center"/>
          </w:tcPr>
          <w:p w14:paraId="236675AF">
            <w:pPr>
              <w:rPr>
                <w:rFonts w:hint="eastAsia" w:ascii="宋体" w:hAnsi="宋体" w:cs="宋体"/>
                <w:color w:val="000000"/>
                <w:sz w:val="20"/>
                <w:szCs w:val="20"/>
              </w:rPr>
            </w:pPr>
          </w:p>
        </w:tc>
        <w:tc>
          <w:tcPr>
            <w:tcW w:w="5355" w:type="dxa"/>
            <w:tcBorders>
              <w:top w:val="single" w:color="000000" w:sz="4" w:space="0"/>
              <w:left w:val="single" w:color="000000" w:sz="4" w:space="0"/>
              <w:bottom w:val="single" w:color="000000" w:sz="4" w:space="0"/>
              <w:right w:val="single" w:color="000000" w:sz="4" w:space="0"/>
            </w:tcBorders>
            <w:noWrap w:val="0"/>
            <w:vAlign w:val="center"/>
          </w:tcPr>
          <w:p w14:paraId="27FB143D">
            <w:pPr>
              <w:rPr>
                <w:rFonts w:hint="eastAsia" w:ascii="宋体" w:hAnsi="宋体" w:cs="宋体"/>
                <w:color w:val="000000"/>
                <w:sz w:val="20"/>
                <w:szCs w:val="20"/>
              </w:rPr>
            </w:pPr>
          </w:p>
        </w:tc>
      </w:tr>
      <w:tr w14:paraId="06FEA09E">
        <w:tblPrEx>
          <w:tblCellMar>
            <w:top w:w="15" w:type="dxa"/>
            <w:left w:w="15" w:type="dxa"/>
            <w:bottom w:w="15" w:type="dxa"/>
            <w:right w:w="15" w:type="dxa"/>
          </w:tblCellMar>
        </w:tblPrEx>
        <w:trPr>
          <w:trHeight w:val="600" w:hRule="atLeast"/>
          <w:jc w:val="center"/>
        </w:trPr>
        <w:tc>
          <w:tcPr>
            <w:tcW w:w="3465" w:type="dxa"/>
            <w:tcBorders>
              <w:top w:val="single" w:color="000000" w:sz="4" w:space="0"/>
              <w:left w:val="single" w:color="000000" w:sz="4" w:space="0"/>
              <w:bottom w:val="single" w:color="000000" w:sz="4" w:space="0"/>
              <w:right w:val="single" w:color="000000" w:sz="4" w:space="0"/>
            </w:tcBorders>
            <w:noWrap w:val="0"/>
            <w:vAlign w:val="center"/>
          </w:tcPr>
          <w:p w14:paraId="15096EC8">
            <w:pPr>
              <w:widowControl/>
              <w:ind w:firstLine="400" w:firstLineChars="200"/>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其中：办公用房</w:t>
            </w:r>
          </w:p>
        </w:tc>
        <w:tc>
          <w:tcPr>
            <w:tcW w:w="3795" w:type="dxa"/>
            <w:tcBorders>
              <w:top w:val="single" w:color="000000" w:sz="4" w:space="0"/>
              <w:left w:val="single" w:color="000000" w:sz="4" w:space="0"/>
              <w:bottom w:val="single" w:color="000000" w:sz="4" w:space="0"/>
              <w:right w:val="single" w:color="000000" w:sz="4" w:space="0"/>
            </w:tcBorders>
            <w:noWrap w:val="0"/>
            <w:vAlign w:val="center"/>
          </w:tcPr>
          <w:p w14:paraId="7677E686">
            <w:pPr>
              <w:rPr>
                <w:rFonts w:hint="eastAsia" w:ascii="宋体" w:hAnsi="宋体" w:cs="宋体"/>
                <w:color w:val="000000"/>
                <w:sz w:val="20"/>
                <w:szCs w:val="20"/>
              </w:rPr>
            </w:pPr>
          </w:p>
        </w:tc>
        <w:tc>
          <w:tcPr>
            <w:tcW w:w="5355" w:type="dxa"/>
            <w:tcBorders>
              <w:top w:val="single" w:color="000000" w:sz="4" w:space="0"/>
              <w:left w:val="single" w:color="000000" w:sz="4" w:space="0"/>
              <w:bottom w:val="single" w:color="000000" w:sz="4" w:space="0"/>
              <w:right w:val="single" w:color="000000" w:sz="4" w:space="0"/>
            </w:tcBorders>
            <w:noWrap w:val="0"/>
            <w:vAlign w:val="center"/>
          </w:tcPr>
          <w:p w14:paraId="7AC8E81D">
            <w:pPr>
              <w:rPr>
                <w:rFonts w:hint="eastAsia" w:ascii="宋体" w:hAnsi="宋体" w:cs="宋体"/>
                <w:color w:val="000000"/>
                <w:sz w:val="20"/>
                <w:szCs w:val="20"/>
              </w:rPr>
            </w:pPr>
          </w:p>
        </w:tc>
      </w:tr>
      <w:tr w14:paraId="1557E8EF">
        <w:tblPrEx>
          <w:tblCellMar>
            <w:top w:w="15" w:type="dxa"/>
            <w:left w:w="15" w:type="dxa"/>
            <w:bottom w:w="15" w:type="dxa"/>
            <w:right w:w="15" w:type="dxa"/>
          </w:tblCellMar>
        </w:tblPrEx>
        <w:trPr>
          <w:trHeight w:val="600" w:hRule="atLeast"/>
          <w:jc w:val="center"/>
        </w:trPr>
        <w:tc>
          <w:tcPr>
            <w:tcW w:w="3465" w:type="dxa"/>
            <w:tcBorders>
              <w:top w:val="single" w:color="000000" w:sz="4" w:space="0"/>
              <w:left w:val="single" w:color="000000" w:sz="4" w:space="0"/>
              <w:bottom w:val="single" w:color="000000" w:sz="4" w:space="0"/>
              <w:right w:val="single" w:color="000000" w:sz="4" w:space="0"/>
            </w:tcBorders>
            <w:noWrap w:val="0"/>
            <w:vAlign w:val="center"/>
          </w:tcPr>
          <w:p w14:paraId="5BCE4CB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2.车辆（台、辆）</w:t>
            </w:r>
          </w:p>
        </w:tc>
        <w:tc>
          <w:tcPr>
            <w:tcW w:w="3795" w:type="dxa"/>
            <w:tcBorders>
              <w:top w:val="single" w:color="000000" w:sz="4" w:space="0"/>
              <w:left w:val="single" w:color="000000" w:sz="4" w:space="0"/>
              <w:bottom w:val="single" w:color="000000" w:sz="4" w:space="0"/>
              <w:right w:val="single" w:color="000000" w:sz="4" w:space="0"/>
            </w:tcBorders>
            <w:noWrap w:val="0"/>
            <w:vAlign w:val="center"/>
          </w:tcPr>
          <w:p w14:paraId="5AD7B62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5355" w:type="dxa"/>
            <w:tcBorders>
              <w:top w:val="single" w:color="000000" w:sz="4" w:space="0"/>
              <w:left w:val="single" w:color="000000" w:sz="4" w:space="0"/>
              <w:bottom w:val="single" w:color="000000" w:sz="4" w:space="0"/>
              <w:right w:val="single" w:color="000000" w:sz="4" w:space="0"/>
            </w:tcBorders>
            <w:noWrap w:val="0"/>
            <w:vAlign w:val="center"/>
          </w:tcPr>
          <w:p w14:paraId="24F1203C">
            <w:pPr>
              <w:widowControl/>
              <w:jc w:val="center"/>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val="en-US" w:eastAsia="zh-CN" w:bidi="ar"/>
              </w:rPr>
              <w:t>0</w:t>
            </w:r>
          </w:p>
        </w:tc>
      </w:tr>
      <w:tr w14:paraId="43370503">
        <w:tblPrEx>
          <w:tblCellMar>
            <w:top w:w="15" w:type="dxa"/>
            <w:left w:w="15" w:type="dxa"/>
            <w:bottom w:w="15" w:type="dxa"/>
            <w:right w:w="15" w:type="dxa"/>
          </w:tblCellMar>
        </w:tblPrEx>
        <w:trPr>
          <w:trHeight w:val="600" w:hRule="atLeast"/>
          <w:jc w:val="center"/>
        </w:trPr>
        <w:tc>
          <w:tcPr>
            <w:tcW w:w="3465" w:type="dxa"/>
            <w:tcBorders>
              <w:top w:val="single" w:color="000000" w:sz="4" w:space="0"/>
              <w:left w:val="single" w:color="000000" w:sz="4" w:space="0"/>
              <w:bottom w:val="single" w:color="000000" w:sz="4" w:space="0"/>
              <w:right w:val="single" w:color="000000" w:sz="4" w:space="0"/>
            </w:tcBorders>
            <w:noWrap w:val="0"/>
            <w:vAlign w:val="center"/>
          </w:tcPr>
          <w:p w14:paraId="5FAEB92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3.其他固定资产</w:t>
            </w:r>
          </w:p>
        </w:tc>
        <w:tc>
          <w:tcPr>
            <w:tcW w:w="3795" w:type="dxa"/>
            <w:tcBorders>
              <w:top w:val="single" w:color="000000" w:sz="4" w:space="0"/>
              <w:left w:val="single" w:color="000000" w:sz="4" w:space="0"/>
              <w:bottom w:val="single" w:color="000000" w:sz="4" w:space="0"/>
              <w:right w:val="single" w:color="000000" w:sz="4" w:space="0"/>
            </w:tcBorders>
            <w:noWrap w:val="0"/>
            <w:vAlign w:val="center"/>
          </w:tcPr>
          <w:p w14:paraId="2E43A3CA">
            <w:pPr>
              <w:widowControl/>
              <w:jc w:val="center"/>
              <w:textAlignment w:val="center"/>
              <w:rPr>
                <w:rFonts w:hint="eastAsia" w:ascii="宋体" w:hAnsi="宋体" w:cs="宋体"/>
                <w:color w:val="000000"/>
                <w:sz w:val="20"/>
                <w:szCs w:val="20"/>
              </w:rPr>
            </w:pPr>
          </w:p>
        </w:tc>
        <w:tc>
          <w:tcPr>
            <w:tcW w:w="5355" w:type="dxa"/>
            <w:tcBorders>
              <w:top w:val="single" w:color="000000" w:sz="4" w:space="0"/>
              <w:left w:val="single" w:color="000000" w:sz="4" w:space="0"/>
              <w:bottom w:val="single" w:color="000000" w:sz="4" w:space="0"/>
              <w:right w:val="single" w:color="000000" w:sz="4" w:space="0"/>
            </w:tcBorders>
            <w:noWrap w:val="0"/>
            <w:vAlign w:val="center"/>
          </w:tcPr>
          <w:p w14:paraId="37874CA8">
            <w:pPr>
              <w:widowControl/>
              <w:jc w:val="center"/>
              <w:textAlignment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20.949</w:t>
            </w:r>
          </w:p>
        </w:tc>
      </w:tr>
    </w:tbl>
    <w:p w14:paraId="41EE1FA2">
      <w:pPr>
        <w:ind w:firstLine="560"/>
        <w:rPr>
          <w:rFonts w:hint="eastAsia" w:ascii="宋体" w:hAnsi="宋体" w:cs="宋体"/>
          <w:sz w:val="32"/>
          <w:szCs w:val="32"/>
        </w:rPr>
      </w:pPr>
    </w:p>
    <w:p w14:paraId="08F3E81F">
      <w:pPr>
        <w:spacing w:line="560" w:lineRule="exact"/>
        <w:ind w:firstLine="645"/>
        <w:rPr>
          <w:rFonts w:hint="eastAsia" w:ascii="宋体" w:hAnsi="宋体" w:cs="FZFSK--GBK1-0"/>
          <w:b/>
          <w:bCs/>
          <w:kern w:val="0"/>
          <w:sz w:val="36"/>
          <w:szCs w:val="36"/>
        </w:rPr>
      </w:pPr>
      <w:r>
        <w:rPr>
          <w:rFonts w:hint="eastAsia" w:ascii="宋体" w:hAnsi="宋体" w:cs="FZFSK--GBK1-0"/>
          <w:b/>
          <w:bCs/>
          <w:kern w:val="0"/>
          <w:sz w:val="36"/>
          <w:szCs w:val="36"/>
        </w:rPr>
        <w:t>八、名词解释</w:t>
      </w:r>
    </w:p>
    <w:p w14:paraId="7FF38D4B">
      <w:pPr>
        <w:pStyle w:val="4"/>
        <w:spacing w:line="560" w:lineRule="exact"/>
        <w:ind w:firstLine="643" w:firstLineChars="200"/>
        <w:rPr>
          <w:rFonts w:ascii="仿宋_GB2312" w:hAnsi="仿宋" w:eastAsia="仿宋_GB2312" w:cs="Times New Roman"/>
          <w:kern w:val="2"/>
          <w:sz w:val="32"/>
          <w:szCs w:val="32"/>
        </w:rPr>
      </w:pPr>
      <w:r>
        <w:rPr>
          <w:rFonts w:hint="eastAsia" w:ascii="仿宋_GB2312" w:hAnsi="仿宋" w:eastAsia="仿宋_GB2312" w:cs="Times New Roman"/>
          <w:b/>
          <w:kern w:val="2"/>
          <w:sz w:val="32"/>
          <w:szCs w:val="32"/>
        </w:rPr>
        <w:t>1. 财政拨款收入：</w:t>
      </w:r>
      <w:r>
        <w:rPr>
          <w:rFonts w:hint="eastAsia" w:ascii="仿宋_GB2312" w:hAnsi="仿宋" w:eastAsia="仿宋_GB2312" w:cs="Times New Roman"/>
          <w:kern w:val="2"/>
          <w:sz w:val="32"/>
          <w:szCs w:val="32"/>
        </w:rPr>
        <w:t>指本级财政当年拨付的资金。</w:t>
      </w:r>
    </w:p>
    <w:p w14:paraId="47789F33">
      <w:pPr>
        <w:pStyle w:val="4"/>
        <w:spacing w:line="560" w:lineRule="exact"/>
        <w:ind w:firstLine="643" w:firstLineChars="200"/>
        <w:rPr>
          <w:rFonts w:ascii="仿宋_GB2312" w:hAnsi="仿宋" w:eastAsia="仿宋_GB2312" w:cs="Times New Roman"/>
          <w:kern w:val="2"/>
          <w:sz w:val="32"/>
          <w:szCs w:val="32"/>
        </w:rPr>
      </w:pPr>
      <w:r>
        <w:rPr>
          <w:rFonts w:hint="eastAsia" w:ascii="仿宋_GB2312" w:hAnsi="仿宋" w:eastAsia="仿宋_GB2312" w:cs="Times New Roman"/>
          <w:b/>
          <w:bCs/>
          <w:kern w:val="2"/>
          <w:sz w:val="32"/>
          <w:szCs w:val="32"/>
        </w:rPr>
        <w:t>2. 一般公共服务（101类）</w:t>
      </w:r>
      <w:r>
        <w:rPr>
          <w:rFonts w:hint="eastAsia" w:ascii="仿宋_GB2312" w:hAnsi="仿宋" w:eastAsia="仿宋_GB2312" w:cs="Times New Roman"/>
          <w:kern w:val="2"/>
          <w:sz w:val="32"/>
          <w:szCs w:val="32"/>
        </w:rPr>
        <w:t>：反映党委提供一般公共服务的支出。</w:t>
      </w:r>
    </w:p>
    <w:p w14:paraId="6EED1A6E">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xml:space="preserve">　  </w:t>
      </w:r>
      <w:r>
        <w:rPr>
          <w:rFonts w:hint="eastAsia" w:ascii="仿宋" w:hAnsi="仿宋" w:eastAsia="仿宋" w:cs="仿宋"/>
          <w:b/>
          <w:bCs/>
          <w:color w:val="000000"/>
          <w:sz w:val="32"/>
          <w:szCs w:val="32"/>
        </w:rPr>
        <w:t>3. 行政运行（101002项）</w:t>
      </w:r>
      <w:r>
        <w:rPr>
          <w:rFonts w:hint="eastAsia" w:ascii="仿宋" w:hAnsi="仿宋" w:eastAsia="仿宋" w:cs="仿宋"/>
          <w:color w:val="000000"/>
          <w:sz w:val="32"/>
          <w:szCs w:val="32"/>
        </w:rPr>
        <w:t>：反映行政单位（包括实行公务员管理的事业单位）的基本支出。</w:t>
      </w:r>
    </w:p>
    <w:p w14:paraId="0970A11A">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4. 社会保障和就业支出（208项）</w:t>
      </w:r>
      <w:r>
        <w:rPr>
          <w:rFonts w:hint="eastAsia" w:ascii="仿宋" w:hAnsi="仿宋" w:eastAsia="仿宋" w:cs="仿宋"/>
          <w:color w:val="000000"/>
          <w:sz w:val="32"/>
          <w:szCs w:val="32"/>
        </w:rPr>
        <w:t>：反映政府在社会保障与就业方面的支出。</w:t>
      </w:r>
    </w:p>
    <w:p w14:paraId="206C38C1">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5. 行政事业单位离退休（20805项）</w:t>
      </w:r>
      <w:r>
        <w:rPr>
          <w:rFonts w:hint="eastAsia" w:ascii="仿宋" w:hAnsi="仿宋" w:eastAsia="仿宋" w:cs="仿宋"/>
          <w:color w:val="000000"/>
          <w:sz w:val="32"/>
          <w:szCs w:val="32"/>
        </w:rPr>
        <w:t>：反映用于行政事业单位离退休方面的支出。</w:t>
      </w:r>
    </w:p>
    <w:p w14:paraId="39D5597C">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6. 医疗卫生与计划生育支出（210类）</w:t>
      </w:r>
      <w:r>
        <w:rPr>
          <w:rFonts w:hint="eastAsia" w:ascii="仿宋" w:hAnsi="仿宋" w:eastAsia="仿宋" w:cs="仿宋"/>
          <w:color w:val="000000"/>
          <w:sz w:val="32"/>
          <w:szCs w:val="32"/>
        </w:rPr>
        <w:t>：反映党委医疗卫生方面的支出。</w:t>
      </w:r>
    </w:p>
    <w:p w14:paraId="308CACB7">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7. 医疗保障（21005款）：</w:t>
      </w:r>
      <w:r>
        <w:rPr>
          <w:rFonts w:hint="eastAsia" w:ascii="仿宋" w:hAnsi="仿宋" w:eastAsia="仿宋" w:cs="仿宋"/>
          <w:color w:val="000000"/>
          <w:sz w:val="32"/>
          <w:szCs w:val="32"/>
        </w:rPr>
        <w:t>反映用于医疗保障方面的支出。</w:t>
      </w:r>
    </w:p>
    <w:p w14:paraId="2C6D531E">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xml:space="preserve">　　8. </w:t>
      </w:r>
      <w:r>
        <w:rPr>
          <w:rFonts w:hint="eastAsia" w:ascii="仿宋" w:hAnsi="仿宋" w:eastAsia="仿宋" w:cs="仿宋"/>
          <w:b/>
          <w:bCs/>
          <w:color w:val="000000"/>
          <w:sz w:val="32"/>
          <w:szCs w:val="32"/>
        </w:rPr>
        <w:t>行政单位医疗（2100501项）：</w:t>
      </w:r>
      <w:r>
        <w:rPr>
          <w:rFonts w:hint="eastAsia" w:ascii="仿宋" w:hAnsi="仿宋" w:eastAsia="仿宋" w:cs="仿宋"/>
          <w:color w:val="000000"/>
          <w:sz w:val="32"/>
          <w:szCs w:val="32"/>
        </w:rPr>
        <w:t>反映财政部门集中安排的行政单位基本医疗保险缴费经费，未参加医疗保险的行政单位的公费医疗经费，按国家规定享受离休人员、红军老战士待遇人员的医疗经费。</w:t>
      </w:r>
    </w:p>
    <w:p w14:paraId="1814B516">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9. 基本支出</w:t>
      </w:r>
      <w:r>
        <w:rPr>
          <w:rFonts w:hint="eastAsia" w:ascii="仿宋" w:hAnsi="仿宋" w:eastAsia="仿宋" w:cs="仿宋"/>
          <w:color w:val="000000"/>
          <w:sz w:val="32"/>
          <w:szCs w:val="32"/>
        </w:rPr>
        <w:t>：指为保障机构正常运转、完成日常工作任务而发生的人员支出（包括基本工资、津贴补贴等）和公用支出（包括办公费、水电费、邮电费、交通费、会议费、差旅费等）。</w:t>
      </w:r>
    </w:p>
    <w:p w14:paraId="58432F98">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10. 项目支出：</w:t>
      </w:r>
      <w:r>
        <w:rPr>
          <w:rFonts w:hint="eastAsia" w:ascii="仿宋" w:hAnsi="仿宋" w:eastAsia="仿宋" w:cs="仿宋"/>
          <w:color w:val="000000"/>
          <w:sz w:val="32"/>
          <w:szCs w:val="32"/>
        </w:rPr>
        <w:t>指在基本支出之外为完成特定行政任务和事业发展目标所发生的支出。</w:t>
      </w:r>
    </w:p>
    <w:p w14:paraId="41267F18">
      <w:pPr>
        <w:pStyle w:val="4"/>
        <w:spacing w:line="375" w:lineRule="atLeast"/>
        <w:rPr>
          <w:rFonts w:ascii="仿宋" w:hAnsi="仿宋" w:eastAsia="仿宋" w:cs="仿宋"/>
          <w:sz w:val="32"/>
          <w:szCs w:val="32"/>
        </w:rPr>
      </w:pPr>
      <w:r>
        <w:rPr>
          <w:rFonts w:hint="eastAsia" w:ascii="仿宋" w:hAnsi="仿宋" w:eastAsia="仿宋" w:cs="仿宋"/>
          <w:b/>
          <w:bCs/>
          <w:color w:val="000000"/>
          <w:sz w:val="32"/>
          <w:szCs w:val="32"/>
        </w:rPr>
        <w:t>　　11. "三公"经费：</w:t>
      </w:r>
      <w:r>
        <w:rPr>
          <w:rFonts w:hint="eastAsia" w:ascii="仿宋" w:hAnsi="仿宋" w:eastAsia="仿宋" w:cs="仿宋"/>
          <w:color w:val="000000"/>
          <w:sz w:val="32"/>
          <w:szCs w:val="32"/>
        </w:rPr>
        <w:t>按照有关规定，"三公"经费包括因公出国（境）费、公务接待费、公务用车购置及运行费。</w:t>
      </w:r>
    </w:p>
    <w:p w14:paraId="2DF45533">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12. 因公出国（境）费：</w:t>
      </w:r>
      <w:r>
        <w:rPr>
          <w:rFonts w:hint="eastAsia" w:ascii="仿宋" w:hAnsi="仿宋" w:eastAsia="仿宋" w:cs="仿宋"/>
          <w:color w:val="000000"/>
          <w:sz w:val="32"/>
          <w:szCs w:val="32"/>
        </w:rPr>
        <w:t>指单位工作人员因公务出国（境）的住宿费、旅费、伙食补助费、杂费、培训费等支出。</w:t>
      </w:r>
    </w:p>
    <w:p w14:paraId="34E1603F">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　13. 公务接待费：</w:t>
      </w:r>
      <w:r>
        <w:rPr>
          <w:rFonts w:hint="eastAsia" w:ascii="仿宋" w:hAnsi="仿宋" w:eastAsia="仿宋" w:cs="仿宋"/>
          <w:color w:val="000000"/>
          <w:sz w:val="32"/>
          <w:szCs w:val="32"/>
        </w:rPr>
        <w:t>指单位按规定开支的各类公务接待（含外宾接待）支出。</w:t>
      </w:r>
    </w:p>
    <w:p w14:paraId="6F98CD54">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　14. 公务用车：</w:t>
      </w:r>
      <w:r>
        <w:rPr>
          <w:rFonts w:hint="eastAsia" w:ascii="仿宋" w:hAnsi="仿宋" w:eastAsia="仿宋" w:cs="仿宋"/>
          <w:color w:val="000000"/>
          <w:sz w:val="32"/>
          <w:szCs w:val="32"/>
        </w:rPr>
        <w:t>指单位用于履行公务的车辆，包括领导干部专车、一般公务用车和执法执勤用车。</w:t>
      </w:r>
    </w:p>
    <w:p w14:paraId="68E14584">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16.公务用车购置及运行费：</w:t>
      </w:r>
      <w:r>
        <w:rPr>
          <w:rFonts w:hint="eastAsia" w:ascii="仿宋" w:hAnsi="仿宋" w:eastAsia="仿宋" w:cs="仿宋"/>
          <w:color w:val="000000"/>
          <w:sz w:val="32"/>
          <w:szCs w:val="32"/>
        </w:rPr>
        <w:t>指单位公务用车购置及租用费、燃料费、维修费、过桥过路费、保险费、安全奖励费用等支出。</w:t>
      </w:r>
    </w:p>
    <w:p w14:paraId="31062EF3">
      <w:pPr>
        <w:pStyle w:val="4"/>
        <w:spacing w:before="0" w:beforeAutospacing="0" w:after="0" w:afterAutospacing="0" w:line="560" w:lineRule="exact"/>
        <w:rPr>
          <w:rFonts w:cs="Times New Roman"/>
          <w:kern w:val="2"/>
          <w:sz w:val="30"/>
          <w:szCs w:val="30"/>
        </w:rPr>
      </w:pPr>
      <w:r>
        <w:rPr>
          <w:rFonts w:hint="eastAsia"/>
          <w:b/>
          <w:bCs/>
          <w:sz w:val="36"/>
          <w:szCs w:val="36"/>
          <w:lang w:bidi="ar"/>
        </w:rPr>
        <w:t xml:space="preserve"> 九、其他需要说明的事项</w:t>
      </w:r>
    </w:p>
    <w:p w14:paraId="33EF426D">
      <w:pPr>
        <w:pStyle w:val="4"/>
        <w:spacing w:before="0" w:beforeAutospacing="0" w:after="0" w:afterAutospacing="0" w:line="560" w:lineRule="exact"/>
        <w:ind w:firstLine="600" w:firstLineChars="200"/>
        <w:rPr>
          <w:rFonts w:hint="eastAsia" w:cs="Times New Roman"/>
          <w:kern w:val="2"/>
          <w:sz w:val="30"/>
          <w:szCs w:val="30"/>
        </w:rPr>
      </w:pPr>
      <w:r>
        <w:rPr>
          <w:rFonts w:hint="eastAsia" w:cs="Times New Roman"/>
          <w:kern w:val="2"/>
          <w:sz w:val="30"/>
          <w:szCs w:val="30"/>
        </w:rPr>
        <w:t>无其他需说明事项</w:t>
      </w:r>
    </w:p>
    <w:p w14:paraId="295D5981">
      <w:pPr>
        <w:spacing w:line="560" w:lineRule="exact"/>
        <w:ind w:firstLine="3975" w:firstLineChars="900"/>
        <w:jc w:val="both"/>
        <w:rPr>
          <w:rFonts w:hint="eastAsia" w:ascii="黑体" w:hAnsi="宋体" w:eastAsia="黑体"/>
          <w:b/>
          <w:sz w:val="44"/>
          <w:szCs w:val="44"/>
          <w:lang w:val="en-US" w:eastAsia="zh-CN"/>
        </w:rPr>
      </w:pPr>
    </w:p>
    <w:p w14:paraId="7752C3E4">
      <w:pPr>
        <w:spacing w:line="560" w:lineRule="exact"/>
        <w:ind w:firstLine="3975" w:firstLineChars="900"/>
        <w:jc w:val="both"/>
        <w:rPr>
          <w:rFonts w:hint="eastAsia" w:ascii="黑体" w:hAnsi="宋体" w:eastAsia="黑体"/>
          <w:b/>
          <w:sz w:val="44"/>
          <w:szCs w:val="44"/>
          <w:lang w:val="en-US" w:eastAsia="zh-CN"/>
        </w:rPr>
      </w:pPr>
    </w:p>
    <w:p w14:paraId="74BA344A">
      <w:pPr>
        <w:spacing w:line="560" w:lineRule="exact"/>
        <w:ind w:firstLine="3975" w:firstLineChars="900"/>
        <w:jc w:val="both"/>
        <w:rPr>
          <w:rFonts w:hint="eastAsia" w:ascii="黑体" w:hAnsi="宋体" w:eastAsia="黑体"/>
          <w:b/>
          <w:sz w:val="44"/>
          <w:szCs w:val="44"/>
          <w:lang w:val="en-US" w:eastAsia="zh-CN"/>
        </w:rPr>
      </w:pPr>
    </w:p>
    <w:p w14:paraId="010D60A0">
      <w:pPr>
        <w:spacing w:line="560" w:lineRule="exact"/>
        <w:ind w:firstLine="3975" w:firstLineChars="900"/>
        <w:jc w:val="both"/>
        <w:rPr>
          <w:rFonts w:hint="eastAsia" w:ascii="黑体" w:hAnsi="宋体" w:eastAsia="黑体"/>
          <w:b/>
          <w:sz w:val="44"/>
          <w:szCs w:val="44"/>
          <w:lang w:val="en-US" w:eastAsia="zh-CN"/>
        </w:rPr>
      </w:pPr>
    </w:p>
    <w:bookmarkEnd w:id="3"/>
    <w:p w14:paraId="403A8BAF">
      <w:pPr>
        <w:jc w:val="center"/>
        <w:rPr>
          <w:rFonts w:ascii="黑体" w:hAnsi="黑体" w:eastAsia="黑体" w:cs="黑体"/>
          <w:b/>
          <w:color w:val="000000"/>
          <w:sz w:val="30"/>
        </w:rPr>
      </w:pPr>
    </w:p>
    <w:p w14:paraId="14BC7525">
      <w:pPr>
        <w:jc w:val="center"/>
        <w:rPr>
          <w:rFonts w:ascii="黑体" w:hAnsi="黑体" w:eastAsia="黑体" w:cs="黑体"/>
          <w:b/>
          <w:color w:val="000000"/>
          <w:sz w:val="30"/>
        </w:rPr>
      </w:pPr>
    </w:p>
    <w:p w14:paraId="1CE9815C">
      <w:pPr>
        <w:jc w:val="center"/>
        <w:rPr>
          <w:rFonts w:ascii="黑体" w:hAnsi="黑体" w:eastAsia="黑体" w:cs="黑体"/>
          <w:b/>
          <w:color w:val="000000"/>
          <w:sz w:val="30"/>
        </w:rPr>
      </w:pPr>
    </w:p>
    <w:p w14:paraId="74EFA471">
      <w:pPr>
        <w:jc w:val="center"/>
        <w:rPr>
          <w:rFonts w:ascii="黑体" w:hAnsi="黑体" w:eastAsia="黑体" w:cs="黑体"/>
          <w:b/>
          <w:color w:val="000000"/>
          <w:sz w:val="30"/>
        </w:rPr>
      </w:pPr>
    </w:p>
    <w:p w14:paraId="5439AA16">
      <w:pPr>
        <w:jc w:val="center"/>
        <w:rPr>
          <w:rFonts w:ascii="黑体" w:hAnsi="黑体" w:eastAsia="黑体" w:cs="黑体"/>
          <w:b/>
          <w:color w:val="000000"/>
          <w:sz w:val="30"/>
        </w:rPr>
      </w:pPr>
    </w:p>
    <w:p w14:paraId="72502EA8">
      <w:pPr>
        <w:jc w:val="center"/>
        <w:rPr>
          <w:rFonts w:ascii="黑体" w:hAnsi="黑体" w:eastAsia="黑体" w:cs="黑体"/>
          <w:b/>
          <w:color w:val="000000"/>
          <w:sz w:val="30"/>
        </w:rPr>
      </w:pPr>
    </w:p>
    <w:p w14:paraId="317A0014">
      <w:pPr>
        <w:jc w:val="center"/>
        <w:rPr>
          <w:rFonts w:ascii="黑体" w:hAnsi="黑体" w:eastAsia="黑体" w:cs="黑体"/>
          <w:b/>
          <w:color w:val="000000"/>
          <w:sz w:val="30"/>
        </w:rPr>
      </w:pPr>
    </w:p>
    <w:p w14:paraId="2CABB313">
      <w:pPr>
        <w:jc w:val="center"/>
        <w:rPr>
          <w:rFonts w:ascii="黑体" w:hAnsi="黑体" w:eastAsia="黑体" w:cs="黑体"/>
          <w:b/>
          <w:color w:val="000000"/>
          <w:sz w:val="30"/>
        </w:rPr>
      </w:pPr>
    </w:p>
    <w:p w14:paraId="08390AD1">
      <w:pPr>
        <w:numPr>
          <w:ilvl w:val="0"/>
          <w:numId w:val="3"/>
        </w:numPr>
        <w:jc w:val="center"/>
        <w:rPr>
          <w:rFonts w:hint="eastAsia" w:ascii="黑体" w:hAnsi="黑体" w:eastAsia="黑体" w:cs="黑体"/>
          <w:b/>
          <w:color w:val="000000"/>
          <w:sz w:val="30"/>
          <w:lang w:eastAsia="zh-CN"/>
        </w:rPr>
      </w:pPr>
      <w:r>
        <w:rPr>
          <w:rFonts w:ascii="黑体" w:hAnsi="黑体" w:eastAsia="黑体" w:cs="黑体"/>
          <w:b/>
          <w:color w:val="000000"/>
          <w:sz w:val="30"/>
        </w:rPr>
        <w:t xml:space="preserve"> </w:t>
      </w:r>
      <w:r>
        <w:rPr>
          <w:rFonts w:hint="eastAsia" w:ascii="黑体" w:hAnsi="黑体" w:eastAsia="黑体" w:cs="黑体"/>
          <w:b/>
          <w:color w:val="000000"/>
          <w:sz w:val="30"/>
          <w:lang w:eastAsia="zh-CN"/>
        </w:rPr>
        <w:t>人大办本级</w:t>
      </w:r>
      <w:r>
        <w:rPr>
          <w:rFonts w:ascii="黑体" w:hAnsi="黑体" w:eastAsia="黑体" w:cs="黑体"/>
          <w:b/>
          <w:color w:val="000000"/>
          <w:sz w:val="30"/>
        </w:rPr>
        <w:t>单位预算</w:t>
      </w:r>
      <w:r>
        <w:rPr>
          <w:rFonts w:hint="eastAsia" w:ascii="黑体" w:hAnsi="黑体" w:eastAsia="黑体" w:cs="黑体"/>
          <w:b/>
          <w:color w:val="000000"/>
          <w:sz w:val="30"/>
          <w:lang w:eastAsia="zh-CN"/>
        </w:rPr>
        <w:t>公开说明</w:t>
      </w:r>
    </w:p>
    <w:p w14:paraId="3A7A59A6">
      <w:pPr>
        <w:numPr>
          <w:ilvl w:val="0"/>
          <w:numId w:val="0"/>
        </w:numPr>
        <w:jc w:val="both"/>
        <w:rPr>
          <w:rFonts w:hint="eastAsia" w:ascii="黑体" w:hAnsi="黑体" w:eastAsia="黑体" w:cs="黑体"/>
          <w:b/>
          <w:color w:val="000000"/>
          <w:sz w:val="30"/>
          <w:lang w:eastAsia="zh-CN"/>
        </w:rPr>
      </w:pPr>
      <w:r>
        <w:rPr>
          <w:lang w:val="en-US" w:eastAsia="zh-CN"/>
        </w:rPr>
        <w:object>
          <v:shape id="_x0000_i1033" o:spt="75" type="#_x0000_t75" style="height:519.1pt;width:769.2pt;" o:ole="t" filled="f" o:preferrelative="t" stroked="f" coordsize="21600,21600">
            <v:path/>
            <v:fill on="f" focussize="0,0"/>
            <v:stroke on="f"/>
            <v:imagedata r:id="rId25" o:title=""/>
            <o:lock v:ext="edit" aspectratio="f"/>
            <w10:wrap type="none"/>
            <w10:anchorlock/>
          </v:shape>
          <o:OLEObject Type="Embed" ProgID="Excel.Sheet.8" ShapeID="_x0000_i1033" DrawAspect="Content" ObjectID="_1468075733" r:id="rId24">
            <o:LockedField>false</o:LockedField>
          </o:OLEObject>
        </w:object>
      </w:r>
    </w:p>
    <w:p w14:paraId="3327A405">
      <w:pPr>
        <w:sectPr>
          <w:footerReference r:id="rId5" w:type="default"/>
          <w:footerReference r:id="rId6" w:type="even"/>
          <w:pgSz w:w="16840" w:h="11900" w:orient="landscape"/>
          <w:pgMar w:top="720" w:right="720" w:bottom="720" w:left="720" w:header="720" w:footer="720" w:gutter="0"/>
          <w:pgNumType w:fmt="decimal"/>
          <w:cols w:space="720" w:num="1"/>
        </w:sectPr>
      </w:pPr>
    </w:p>
    <w:p w14:paraId="06B5BD7D">
      <w:pPr>
        <w:jc w:val="center"/>
        <w:outlineLvl w:val="1"/>
        <w:rPr>
          <w:lang w:val="en-US" w:eastAsia="zh-CN"/>
        </w:rPr>
      </w:pPr>
      <w:r>
        <w:rPr>
          <w:lang w:val="en-US" w:eastAsia="zh-CN"/>
        </w:rPr>
        <w:object>
          <v:shape id="_x0000_i1034" o:spt="75" type="#_x0000_t75" style="height:348pt;width:769.3pt;" o:ole="t" filled="f" o:preferrelative="t" stroked="f" coordsize="21600,21600">
            <v:path/>
            <v:fill on="f" focussize="0,0"/>
            <v:stroke on="f"/>
            <v:imagedata r:id="rId27" o:title=""/>
            <o:lock v:ext="edit" aspectratio="f"/>
            <w10:wrap type="none"/>
            <w10:anchorlock/>
          </v:shape>
          <o:OLEObject Type="Embed" ProgID="Excel.Sheet.8" ShapeID="_x0000_i1034" DrawAspect="Content" ObjectID="_1468075734" r:id="rId26">
            <o:LockedField>false</o:LockedField>
          </o:OLEObject>
        </w:object>
      </w:r>
      <w:r>
        <w:object>
          <v:shape id="_x0000_i1035" o:spt="75" type="#_x0000_t75" style="height:384pt;width:725.25pt;" o:ole="t" filled="f" o:preferrelative="t" stroked="f" coordsize="21600,21600">
            <v:path/>
            <v:fill on="f" focussize="0,0"/>
            <v:stroke on="f"/>
            <v:imagedata r:id="rId29" o:title=""/>
            <o:lock v:ext="edit" aspectratio="f"/>
            <w10:wrap type="none"/>
            <w10:anchorlock/>
          </v:shape>
          <o:OLEObject Type="Embed" ProgID="Excel.Sheet.8" ShapeID="_x0000_i1035" DrawAspect="Content" ObjectID="_1468075735" r:id="rId28">
            <o:LockedField>false</o:LockedField>
          </o:OLEObject>
        </w:object>
      </w:r>
      <w:r>
        <w:object>
          <v:shape id="_x0000_i1036" o:spt="75" type="#_x0000_t75" style="height:515.65pt;width:767.95pt;" o:ole="t" filled="f" o:preferrelative="t" stroked="f" coordsize="21600,21600">
            <v:path/>
            <v:fill on="f" focussize="0,0"/>
            <v:stroke on="f"/>
            <v:imagedata r:id="rId31" o:title=""/>
            <o:lock v:ext="edit" aspectratio="f"/>
            <w10:wrap type="none"/>
            <w10:anchorlock/>
          </v:shape>
          <o:OLEObject Type="Embed" ProgID="Excel.Sheet.8" ShapeID="_x0000_i1036" DrawAspect="Content" ObjectID="_1468075736" r:id="rId30">
            <o:LockedField>false</o:LockedField>
          </o:OLEObject>
        </w:object>
      </w:r>
      <w:r>
        <w:object>
          <v:shape id="_x0000_i1037" o:spt="75" type="#_x0000_t75" style="height:384pt;width:696pt;" o:ole="t" filled="f" o:preferrelative="t" stroked="f" coordsize="21600,21600">
            <v:path/>
            <v:fill on="f" focussize="0,0"/>
            <v:stroke on="f"/>
            <v:imagedata r:id="rId33" o:title=""/>
            <o:lock v:ext="edit" aspectratio="f"/>
            <w10:wrap type="none"/>
            <w10:anchorlock/>
          </v:shape>
          <o:OLEObject Type="Embed" ProgID="Excel.Sheet.8" ShapeID="_x0000_i1037" DrawAspect="Content" ObjectID="_1468075737" r:id="rId32">
            <o:LockedField>false</o:LockedField>
          </o:OLEObject>
        </w:object>
      </w:r>
      <w:r>
        <w:rPr>
          <w:rFonts w:ascii="Calibri" w:hAnsi="Calibri" w:eastAsia="宋体" w:cs="Times New Roman"/>
          <w:kern w:val="2"/>
          <w:sz w:val="21"/>
          <w:szCs w:val="24"/>
          <w:lang w:val="en-US" w:eastAsia="zh-CN" w:bidi="ar-SA"/>
        </w:rPr>
        <w:object>
          <v:shape id="_x0000_i1038" o:spt="75" type="#_x0000_t75" style="height:459pt;width:725.25pt;" o:ole="t" filled="f" o:preferrelative="t" stroked="f" coordsize="21600,21600">
            <v:path/>
            <v:fill on="f" focussize="0,0"/>
            <v:stroke on="f"/>
            <v:imagedata r:id="rId35" o:title=""/>
            <o:lock v:ext="edit" aspectratio="f"/>
            <w10:wrap type="none"/>
            <w10:anchorlock/>
          </v:shape>
          <o:OLEObject Type="Embed" ProgID="Excel.Sheet.8" ShapeID="_x0000_i1038" DrawAspect="Content" ObjectID="_1468075738" r:id="rId34">
            <o:LockedField>false</o:LockedField>
          </o:OLEObject>
        </w:object>
      </w:r>
      <w:r>
        <w:rPr>
          <w:lang w:val="en-US" w:eastAsia="zh-CN"/>
        </w:rPr>
        <w:object>
          <v:shape id="_x0000_i1039" o:spt="75" type="#_x0000_t75" style="height:90pt;width:769.1pt;" o:ole="t" filled="f" o:preferrelative="t" stroked="f" coordsize="21600,21600">
            <v:path/>
            <v:fill on="f" focussize="0,0"/>
            <v:stroke on="f"/>
            <v:imagedata r:id="rId37" o:title=""/>
            <o:lock v:ext="edit" aspectratio="f"/>
            <w10:wrap type="none"/>
            <w10:anchorlock/>
          </v:shape>
          <o:OLEObject Type="Embed" ProgID="Excel.Sheet.12" ShapeID="_x0000_i1039" DrawAspect="Content" ObjectID="_1468075739" r:id="rId36">
            <o:LockedField>false</o:LockedField>
          </o:OLEObject>
        </w:object>
      </w:r>
    </w:p>
    <w:p w14:paraId="6C535033">
      <w:pPr>
        <w:bidi w:val="0"/>
        <w:rPr>
          <w:rFonts w:ascii="Times New Roman" w:hAnsi="Times New Roman" w:eastAsia="Times New Roman" w:cs="Times New Roman"/>
          <w:sz w:val="24"/>
          <w:szCs w:val="24"/>
          <w:lang w:val="en-US" w:eastAsia="zh-CN" w:bidi="ar-SA"/>
        </w:rPr>
      </w:pPr>
    </w:p>
    <w:p w14:paraId="1640D036">
      <w:pPr>
        <w:bidi w:val="0"/>
        <w:rPr>
          <w:lang w:val="en-US" w:eastAsia="zh-CN"/>
        </w:rPr>
      </w:pPr>
    </w:p>
    <w:p w14:paraId="53FDC6AF">
      <w:pPr>
        <w:bidi w:val="0"/>
        <w:rPr>
          <w:lang w:val="en-US" w:eastAsia="zh-CN"/>
        </w:rPr>
      </w:pPr>
    </w:p>
    <w:p w14:paraId="54CFE31C">
      <w:pPr>
        <w:bidi w:val="0"/>
        <w:rPr>
          <w:lang w:val="en-US" w:eastAsia="zh-CN"/>
        </w:rPr>
      </w:pPr>
    </w:p>
    <w:p w14:paraId="335ACE21">
      <w:pPr>
        <w:bidi w:val="0"/>
        <w:rPr>
          <w:lang w:val="en-US" w:eastAsia="zh-CN"/>
        </w:rPr>
      </w:pPr>
    </w:p>
    <w:p w14:paraId="3F3862AA">
      <w:pPr>
        <w:bidi w:val="0"/>
        <w:rPr>
          <w:lang w:val="en-US" w:eastAsia="zh-CN"/>
        </w:rPr>
      </w:pPr>
    </w:p>
    <w:p w14:paraId="003BAA6A">
      <w:pPr>
        <w:bidi w:val="0"/>
        <w:rPr>
          <w:lang w:val="en-US" w:eastAsia="zh-CN"/>
        </w:rPr>
      </w:pPr>
    </w:p>
    <w:p w14:paraId="1ECBC6C2">
      <w:pPr>
        <w:bidi w:val="0"/>
        <w:rPr>
          <w:lang w:val="en-US" w:eastAsia="zh-CN"/>
        </w:rPr>
      </w:pPr>
    </w:p>
    <w:p w14:paraId="591FD83C">
      <w:pPr>
        <w:tabs>
          <w:tab w:val="left" w:pos="8599"/>
        </w:tabs>
        <w:bidi w:val="0"/>
        <w:jc w:val="left"/>
        <w:rPr>
          <w:rFonts w:hint="eastAsia"/>
          <w:lang w:val="en-US" w:eastAsia="zh-CN"/>
        </w:rPr>
      </w:pPr>
    </w:p>
    <w:p w14:paraId="45F74194">
      <w:pPr>
        <w:tabs>
          <w:tab w:val="left" w:pos="8599"/>
        </w:tabs>
        <w:bidi w:val="0"/>
        <w:jc w:val="left"/>
        <w:rPr>
          <w:rFonts w:hint="eastAsia"/>
          <w:lang w:val="en-US" w:eastAsia="zh-CN"/>
        </w:rPr>
      </w:pPr>
    </w:p>
    <w:p w14:paraId="7BE4049D">
      <w:pPr>
        <w:tabs>
          <w:tab w:val="left" w:pos="8599"/>
        </w:tabs>
        <w:bidi w:val="0"/>
        <w:jc w:val="left"/>
        <w:rPr>
          <w:rFonts w:hint="eastAsia"/>
          <w:lang w:val="en-US" w:eastAsia="zh-CN"/>
        </w:rPr>
      </w:pPr>
    </w:p>
    <w:p w14:paraId="0F8A26A8">
      <w:pPr>
        <w:tabs>
          <w:tab w:val="left" w:pos="8599"/>
        </w:tabs>
        <w:bidi w:val="0"/>
        <w:jc w:val="left"/>
        <w:rPr>
          <w:rFonts w:hint="eastAsia"/>
          <w:lang w:val="en-US" w:eastAsia="zh-CN"/>
        </w:rPr>
      </w:pPr>
    </w:p>
    <w:p w14:paraId="6A4ACD28">
      <w:pPr>
        <w:tabs>
          <w:tab w:val="left" w:pos="8599"/>
        </w:tabs>
        <w:bidi w:val="0"/>
        <w:jc w:val="left"/>
        <w:rPr>
          <w:rFonts w:hint="eastAsia"/>
          <w:lang w:val="en-US" w:eastAsia="zh-CN"/>
        </w:rPr>
      </w:pPr>
    </w:p>
    <w:p w14:paraId="7BF4F447">
      <w:pPr>
        <w:tabs>
          <w:tab w:val="left" w:pos="8599"/>
        </w:tabs>
        <w:bidi w:val="0"/>
        <w:jc w:val="left"/>
        <w:rPr>
          <w:rFonts w:hint="eastAsia"/>
          <w:lang w:val="en-US" w:eastAsia="zh-CN"/>
        </w:rPr>
      </w:pPr>
    </w:p>
    <w:p w14:paraId="1CE4E17A">
      <w:pPr>
        <w:tabs>
          <w:tab w:val="left" w:pos="8599"/>
        </w:tabs>
        <w:bidi w:val="0"/>
        <w:jc w:val="left"/>
        <w:rPr>
          <w:rFonts w:hint="eastAsia"/>
          <w:lang w:val="en-US" w:eastAsia="zh-CN"/>
        </w:rPr>
      </w:pPr>
    </w:p>
    <w:p w14:paraId="641CD700">
      <w:pPr>
        <w:tabs>
          <w:tab w:val="left" w:pos="8599"/>
        </w:tabs>
        <w:bidi w:val="0"/>
        <w:jc w:val="left"/>
        <w:rPr>
          <w:rFonts w:hint="eastAsia"/>
          <w:lang w:val="en-US" w:eastAsia="zh-CN"/>
        </w:rPr>
      </w:pPr>
    </w:p>
    <w:p w14:paraId="532E504F">
      <w:pPr>
        <w:tabs>
          <w:tab w:val="left" w:pos="8599"/>
        </w:tabs>
        <w:bidi w:val="0"/>
        <w:jc w:val="left"/>
        <w:rPr>
          <w:rFonts w:hint="eastAsia"/>
          <w:lang w:val="en-US" w:eastAsia="zh-CN"/>
        </w:rPr>
      </w:pPr>
    </w:p>
    <w:p w14:paraId="6325385A">
      <w:pPr>
        <w:tabs>
          <w:tab w:val="left" w:pos="8599"/>
        </w:tabs>
        <w:bidi w:val="0"/>
        <w:jc w:val="left"/>
        <w:rPr>
          <w:rFonts w:hint="eastAsia"/>
          <w:lang w:val="en-US" w:eastAsia="zh-CN"/>
        </w:rPr>
      </w:pPr>
    </w:p>
    <w:p w14:paraId="2E04E944">
      <w:pPr>
        <w:tabs>
          <w:tab w:val="left" w:pos="8599"/>
        </w:tabs>
        <w:bidi w:val="0"/>
        <w:jc w:val="left"/>
        <w:rPr>
          <w:lang w:val="en-US" w:eastAsia="zh-CN"/>
        </w:rPr>
      </w:pPr>
      <w:r>
        <w:rPr>
          <w:rFonts w:hint="eastAsia"/>
          <w:lang w:val="en-US" w:eastAsia="zh-CN"/>
        </w:rPr>
        <w:tab/>
      </w:r>
      <w:r>
        <w:rPr>
          <w:lang w:val="en-US" w:eastAsia="zh-CN"/>
        </w:rPr>
        <w:object>
          <v:shape id="_x0000_i1040" o:spt="75" type="#_x0000_t75" style="height:100.7pt;width:769.25pt;" o:ole="t" filled="f" o:preferrelative="t" stroked="f" coordsize="21600,21600">
            <v:path/>
            <v:fill on="f" focussize="0,0"/>
            <v:stroke on="f"/>
            <v:imagedata r:id="rId39" o:title=""/>
            <o:lock v:ext="edit" aspectratio="f"/>
            <w10:wrap type="none"/>
            <w10:anchorlock/>
          </v:shape>
          <o:OLEObject Type="Embed" ProgID="Excel.Sheet.12" ShapeID="_x0000_i1040" DrawAspect="Content" ObjectID="_1468075740" r:id="rId38">
            <o:LockedField>false</o:LockedField>
          </o:OLEObject>
        </w:object>
      </w:r>
    </w:p>
    <w:p w14:paraId="00D71F10">
      <w:pPr>
        <w:bidi w:val="0"/>
        <w:rPr>
          <w:rFonts w:ascii="Times New Roman" w:hAnsi="Times New Roman" w:eastAsia="Times New Roman" w:cs="Times New Roman"/>
          <w:sz w:val="24"/>
          <w:szCs w:val="24"/>
          <w:lang w:val="en-US" w:eastAsia="zh-CN" w:bidi="ar-SA"/>
        </w:rPr>
      </w:pPr>
    </w:p>
    <w:p w14:paraId="2AF4CEF2">
      <w:pPr>
        <w:bidi w:val="0"/>
        <w:rPr>
          <w:lang w:val="en-US" w:eastAsia="zh-CN"/>
        </w:rPr>
      </w:pPr>
    </w:p>
    <w:p w14:paraId="4CC0B880">
      <w:pPr>
        <w:bidi w:val="0"/>
        <w:rPr>
          <w:lang w:val="en-US" w:eastAsia="zh-CN"/>
        </w:rPr>
      </w:pPr>
    </w:p>
    <w:p w14:paraId="5F154119">
      <w:pPr>
        <w:bidi w:val="0"/>
        <w:rPr>
          <w:lang w:val="en-US" w:eastAsia="zh-CN"/>
        </w:rPr>
      </w:pPr>
    </w:p>
    <w:p w14:paraId="70E18E12">
      <w:pPr>
        <w:bidi w:val="0"/>
        <w:rPr>
          <w:lang w:val="en-US" w:eastAsia="zh-CN"/>
        </w:rPr>
      </w:pPr>
    </w:p>
    <w:p w14:paraId="570FD3DF">
      <w:pPr>
        <w:bidi w:val="0"/>
        <w:rPr>
          <w:lang w:val="en-US" w:eastAsia="zh-CN"/>
        </w:rPr>
      </w:pPr>
    </w:p>
    <w:p w14:paraId="344C8E0C">
      <w:pPr>
        <w:bidi w:val="0"/>
        <w:rPr>
          <w:lang w:val="en-US" w:eastAsia="zh-CN"/>
        </w:rPr>
      </w:pPr>
    </w:p>
    <w:p w14:paraId="7C86941D">
      <w:pPr>
        <w:bidi w:val="0"/>
        <w:rPr>
          <w:lang w:val="en-US" w:eastAsia="zh-CN"/>
        </w:rPr>
      </w:pPr>
    </w:p>
    <w:p w14:paraId="0AF48A34">
      <w:pPr>
        <w:bidi w:val="0"/>
        <w:rPr>
          <w:lang w:val="en-US" w:eastAsia="zh-CN"/>
        </w:rPr>
      </w:pPr>
    </w:p>
    <w:p w14:paraId="64F316B6">
      <w:pPr>
        <w:bidi w:val="0"/>
        <w:rPr>
          <w:lang w:val="en-US" w:eastAsia="zh-CN"/>
        </w:rPr>
      </w:pPr>
    </w:p>
    <w:p w14:paraId="5C8FDA98">
      <w:pPr>
        <w:bidi w:val="0"/>
        <w:rPr>
          <w:lang w:val="en-US" w:eastAsia="zh-CN"/>
        </w:rPr>
      </w:pPr>
    </w:p>
    <w:p w14:paraId="52DF290E">
      <w:pPr>
        <w:jc w:val="center"/>
        <w:outlineLvl w:val="1"/>
      </w:pPr>
      <w:r>
        <w:rPr>
          <w:rFonts w:hint="eastAsia"/>
          <w:lang w:val="en-US" w:eastAsia="zh-CN"/>
        </w:rPr>
        <w:tab/>
      </w:r>
      <w:r>
        <w:object>
          <v:shape id="_x0000_i1041" o:spt="75" type="#_x0000_t75" style="height:189pt;width:714pt;" o:ole="t" filled="f" o:preferrelative="t" stroked="f" coordsize="21600,21600">
            <v:path/>
            <v:fill on="f" focussize="0,0"/>
            <v:stroke on="f"/>
            <v:imagedata r:id="rId41" o:title=""/>
            <o:lock v:ext="edit" aspectratio="f"/>
            <w10:wrap type="none"/>
            <w10:anchorlock/>
          </v:shape>
          <o:OLEObject Type="Embed" ProgID="Excel.Sheet.8" ShapeID="_x0000_i1041" DrawAspect="Content" ObjectID="_1468075741" r:id="rId40">
            <o:LockedField>false</o:LockedField>
          </o:OLEObject>
        </w:object>
      </w:r>
    </w:p>
    <w:p w14:paraId="0FE6410B">
      <w:pPr>
        <w:jc w:val="center"/>
        <w:outlineLvl w:val="1"/>
      </w:pPr>
    </w:p>
    <w:p w14:paraId="37D04450">
      <w:pPr>
        <w:jc w:val="both"/>
        <w:outlineLvl w:val="1"/>
        <w:rPr>
          <w:rFonts w:hint="eastAsia" w:ascii="方正小标宋_GBK" w:hAnsi="方正小标宋_GBK" w:eastAsia="方正小标宋_GBK" w:cs="方正小标宋_GBK"/>
          <w:color w:val="000000"/>
          <w:sz w:val="32"/>
          <w:lang w:val="en-US" w:eastAsia="zh-CN"/>
        </w:rPr>
      </w:pPr>
    </w:p>
    <w:p w14:paraId="12EE3F2B">
      <w:pPr>
        <w:jc w:val="center"/>
        <w:outlineLvl w:val="1"/>
        <w:rPr>
          <w:rFonts w:hint="eastAsia" w:ascii="方正小标宋_GBK" w:hAnsi="方正小标宋_GBK" w:eastAsia="方正小标宋_GBK" w:cs="方正小标宋_GBK"/>
          <w:color w:val="000000"/>
          <w:sz w:val="32"/>
          <w:lang w:val="en-US" w:eastAsia="zh-CN"/>
        </w:rPr>
      </w:pPr>
    </w:p>
    <w:p w14:paraId="076A3377">
      <w:pPr>
        <w:jc w:val="center"/>
        <w:outlineLvl w:val="1"/>
        <w:rPr>
          <w:rFonts w:hint="eastAsia" w:ascii="方正小标宋_GBK" w:hAnsi="方正小标宋_GBK" w:eastAsia="方正小标宋_GBK" w:cs="方正小标宋_GBK"/>
          <w:color w:val="000000"/>
          <w:sz w:val="32"/>
          <w:lang w:val="en-US" w:eastAsia="zh-CN"/>
        </w:rPr>
      </w:pPr>
    </w:p>
    <w:p w14:paraId="5A761AE7">
      <w:pPr>
        <w:jc w:val="center"/>
        <w:outlineLvl w:val="1"/>
        <w:rPr>
          <w:lang w:val="en-US" w:eastAsia="zh-CN"/>
        </w:rPr>
      </w:pPr>
    </w:p>
    <w:p w14:paraId="24A98E18">
      <w:pPr>
        <w:jc w:val="center"/>
        <w:outlineLvl w:val="1"/>
        <w:rPr>
          <w:lang w:val="en-US" w:eastAsia="zh-CN"/>
        </w:rPr>
      </w:pPr>
    </w:p>
    <w:p w14:paraId="37586DEF">
      <w:pPr>
        <w:jc w:val="center"/>
        <w:outlineLvl w:val="1"/>
        <w:rPr>
          <w:lang w:val="en-US" w:eastAsia="zh-CN"/>
        </w:rPr>
      </w:pPr>
    </w:p>
    <w:p w14:paraId="73E27F1A">
      <w:pPr>
        <w:jc w:val="center"/>
        <w:outlineLvl w:val="1"/>
        <w:rPr>
          <w:lang w:val="en-US" w:eastAsia="zh-CN"/>
        </w:rPr>
      </w:pPr>
    </w:p>
    <w:p w14:paraId="25D5B5BD">
      <w:pPr>
        <w:jc w:val="center"/>
        <w:outlineLvl w:val="1"/>
        <w:rPr>
          <w:lang w:val="en-US" w:eastAsia="zh-CN"/>
        </w:rPr>
      </w:pPr>
    </w:p>
    <w:p w14:paraId="2BEF857D">
      <w:pPr>
        <w:jc w:val="center"/>
        <w:outlineLvl w:val="1"/>
        <w:rPr>
          <w:lang w:val="en-US" w:eastAsia="zh-CN"/>
        </w:rPr>
      </w:pPr>
    </w:p>
    <w:p w14:paraId="347DCF9F">
      <w:pPr>
        <w:jc w:val="center"/>
        <w:outlineLvl w:val="1"/>
        <w:rPr>
          <w:lang w:val="en-US" w:eastAsia="zh-CN"/>
        </w:rPr>
      </w:pPr>
    </w:p>
    <w:p w14:paraId="20B6B86D">
      <w:pPr>
        <w:jc w:val="center"/>
        <w:outlineLvl w:val="1"/>
        <w:rPr>
          <w:lang w:val="en-US" w:eastAsia="zh-CN"/>
        </w:rPr>
      </w:pPr>
    </w:p>
    <w:p w14:paraId="462D3C0F">
      <w:pPr>
        <w:jc w:val="center"/>
        <w:outlineLvl w:val="1"/>
        <w:rPr>
          <w:lang w:val="en-US" w:eastAsia="zh-CN"/>
        </w:rPr>
      </w:pPr>
    </w:p>
    <w:p w14:paraId="5729A2C6">
      <w:pPr>
        <w:jc w:val="center"/>
        <w:outlineLvl w:val="1"/>
        <w:rPr>
          <w:lang w:val="en-US" w:eastAsia="zh-CN"/>
        </w:rPr>
      </w:pPr>
    </w:p>
    <w:p w14:paraId="153C0ECE">
      <w:pPr>
        <w:jc w:val="center"/>
        <w:outlineLvl w:val="1"/>
        <w:rPr>
          <w:lang w:val="en-US" w:eastAsia="zh-CN"/>
        </w:rPr>
      </w:pPr>
    </w:p>
    <w:p w14:paraId="3BFDCB67">
      <w:pPr>
        <w:jc w:val="center"/>
        <w:outlineLvl w:val="1"/>
        <w:rPr>
          <w:lang w:val="en-US" w:eastAsia="zh-CN"/>
        </w:rPr>
      </w:pPr>
    </w:p>
    <w:p w14:paraId="09DCD9BC">
      <w:pPr>
        <w:spacing w:line="560" w:lineRule="exact"/>
        <w:jc w:val="center"/>
        <w:rPr>
          <w:rFonts w:hint="eastAsia" w:ascii="黑体" w:hAnsi="宋体" w:eastAsia="黑体"/>
          <w:b/>
          <w:sz w:val="44"/>
          <w:szCs w:val="44"/>
        </w:rPr>
      </w:pPr>
      <w:r>
        <w:rPr>
          <w:rFonts w:hint="eastAsia" w:ascii="黑体" w:hAnsi="宋体" w:eastAsia="黑体"/>
          <w:b/>
          <w:sz w:val="44"/>
          <w:szCs w:val="44"/>
          <w:lang w:val="en-US" w:eastAsia="zh-CN"/>
        </w:rPr>
        <w:t>2021</w:t>
      </w:r>
      <w:r>
        <w:rPr>
          <w:rFonts w:hint="eastAsia" w:ascii="黑体" w:hAnsi="宋体" w:eastAsia="黑体"/>
          <w:b/>
          <w:sz w:val="44"/>
          <w:szCs w:val="44"/>
        </w:rPr>
        <w:t>年</w:t>
      </w:r>
      <w:r>
        <w:rPr>
          <w:rFonts w:hint="eastAsia" w:ascii="黑体" w:hAnsi="宋体" w:eastAsia="黑体"/>
          <w:b/>
          <w:sz w:val="44"/>
          <w:szCs w:val="44"/>
          <w:lang w:eastAsia="zh-CN"/>
        </w:rPr>
        <w:t>本级</w:t>
      </w:r>
      <w:r>
        <w:rPr>
          <w:rFonts w:hint="eastAsia" w:ascii="黑体" w:hAnsi="宋体" w:eastAsia="黑体"/>
          <w:b/>
          <w:sz w:val="44"/>
          <w:szCs w:val="44"/>
        </w:rPr>
        <w:t>预算信息公开情况说明</w:t>
      </w:r>
    </w:p>
    <w:p w14:paraId="2FD0DBC0">
      <w:pPr>
        <w:ind w:firstLine="640"/>
        <w:rPr>
          <w:rFonts w:hint="eastAsia" w:eastAsia="方正仿宋_GBK"/>
          <w:sz w:val="28"/>
          <w:szCs w:val="28"/>
          <w:lang w:val="en-US" w:eastAsia="zh-CN"/>
        </w:rPr>
      </w:pPr>
      <w:r>
        <w:rPr>
          <w:rFonts w:hint="eastAsia" w:eastAsia="方正仿宋_GBK"/>
          <w:sz w:val="28"/>
          <w:szCs w:val="28"/>
          <w:lang w:val="en-US" w:eastAsia="zh-CN"/>
        </w:rPr>
        <w:t>按照《中华人民共和国预算法》、《地方预决算公开操作规程》和《河北省省级预算公开办法》规定，现将宁晋县人大办2021年本级预算公开如下：</w:t>
      </w:r>
    </w:p>
    <w:p w14:paraId="51252320">
      <w:pPr>
        <w:numPr>
          <w:ilvl w:val="0"/>
          <w:numId w:val="1"/>
        </w:numPr>
        <w:ind w:firstLine="723" w:firstLineChars="200"/>
        <w:rPr>
          <w:rFonts w:hint="eastAsia" w:ascii="黑体" w:hAnsi="黑体" w:eastAsia="黑体" w:cs="黑体"/>
          <w:b/>
          <w:sz w:val="36"/>
          <w:szCs w:val="36"/>
        </w:rPr>
      </w:pPr>
      <w:r>
        <w:rPr>
          <w:rFonts w:hint="eastAsia" w:ascii="黑体" w:hAnsi="黑体" w:eastAsia="黑体" w:cs="黑体"/>
          <w:b/>
          <w:sz w:val="36"/>
          <w:szCs w:val="36"/>
          <w:lang w:eastAsia="zh-CN"/>
        </w:rPr>
        <w:t>本级</w:t>
      </w:r>
      <w:r>
        <w:rPr>
          <w:rFonts w:hint="eastAsia" w:ascii="黑体" w:hAnsi="黑体" w:eastAsia="黑体" w:cs="黑体"/>
          <w:b/>
          <w:sz w:val="36"/>
          <w:szCs w:val="36"/>
        </w:rPr>
        <w:t>职责、机构设置等基本情况</w:t>
      </w:r>
    </w:p>
    <w:p w14:paraId="4A7729D3">
      <w:pPr>
        <w:ind w:firstLine="640"/>
        <w:rPr>
          <w:rFonts w:hint="eastAsia" w:eastAsia="方正仿宋_GBK"/>
          <w:sz w:val="28"/>
          <w:szCs w:val="28"/>
        </w:rPr>
      </w:pPr>
      <w:r>
        <w:rPr>
          <w:rFonts w:hint="eastAsia" w:eastAsia="方正仿宋_GBK"/>
          <w:sz w:val="28"/>
          <w:szCs w:val="28"/>
          <w:lang w:eastAsia="zh-CN"/>
        </w:rPr>
        <w:t>（一）本级</w:t>
      </w:r>
      <w:r>
        <w:rPr>
          <w:rFonts w:hint="eastAsia" w:eastAsia="方正仿宋_GBK"/>
          <w:sz w:val="28"/>
          <w:szCs w:val="28"/>
        </w:rPr>
        <w:t>职责</w:t>
      </w:r>
    </w:p>
    <w:p w14:paraId="28540095">
      <w:pPr>
        <w:ind w:firstLine="640"/>
        <w:rPr>
          <w:rFonts w:hint="eastAsia" w:eastAsia="方正仿宋_GBK"/>
          <w:sz w:val="28"/>
          <w:szCs w:val="28"/>
        </w:rPr>
      </w:pPr>
      <w:r>
        <w:rPr>
          <w:rFonts w:hint="eastAsia" w:eastAsia="方正仿宋_GBK"/>
          <w:sz w:val="28"/>
          <w:szCs w:val="28"/>
          <w:lang w:val="en-US" w:eastAsia="zh-CN"/>
        </w:rPr>
        <w:t>1、</w:t>
      </w:r>
      <w:r>
        <w:rPr>
          <w:rFonts w:hint="eastAsia" w:eastAsia="方正仿宋_GBK"/>
          <w:sz w:val="28"/>
          <w:szCs w:val="28"/>
        </w:rPr>
        <w:t>依法行使重大事项决议决定权和人事任免权；对“一府两院”进行法律监督和工作监督；加强和改进代表工作；加强常委会及机关自身建设；完成县委招商引资、党建、涉法涉诉来信来访、计生、精神文明及县委交办的</w:t>
      </w:r>
      <w:r>
        <w:rPr>
          <w:rFonts w:hint="eastAsia" w:eastAsia="方正仿宋_GBK"/>
          <w:sz w:val="28"/>
          <w:szCs w:val="28"/>
          <w:lang w:eastAsia="zh-CN"/>
        </w:rPr>
        <w:t>其他各项工作</w:t>
      </w:r>
      <w:r>
        <w:rPr>
          <w:rFonts w:hint="eastAsia" w:eastAsia="方正仿宋_GBK"/>
          <w:sz w:val="28"/>
          <w:szCs w:val="28"/>
        </w:rPr>
        <w:t>。</w:t>
      </w:r>
    </w:p>
    <w:p w14:paraId="7FC23E86">
      <w:pPr>
        <w:ind w:firstLine="640"/>
        <w:rPr>
          <w:rFonts w:hint="eastAsia" w:eastAsia="方正仿宋_GBK"/>
          <w:sz w:val="28"/>
          <w:szCs w:val="28"/>
        </w:rPr>
      </w:pPr>
      <w:r>
        <w:rPr>
          <w:rFonts w:hint="eastAsia" w:eastAsia="方正仿宋_GBK"/>
          <w:sz w:val="28"/>
          <w:szCs w:val="28"/>
          <w:lang w:val="en-US" w:eastAsia="zh-CN"/>
        </w:rPr>
        <w:t>2、</w:t>
      </w:r>
      <w:r>
        <w:rPr>
          <w:rFonts w:hint="eastAsia" w:eastAsia="方正仿宋_GBK"/>
          <w:sz w:val="28"/>
          <w:szCs w:val="28"/>
        </w:rPr>
        <w:t>依照法律规定，筹备组织好一年一次的人民代表大</w:t>
      </w:r>
      <w:r>
        <w:rPr>
          <w:rFonts w:hint="eastAsia" w:eastAsia="方正仿宋_GBK"/>
          <w:sz w:val="28"/>
          <w:szCs w:val="28"/>
          <w:lang w:eastAsia="zh-CN"/>
        </w:rPr>
        <w:t>会</w:t>
      </w:r>
      <w:r>
        <w:rPr>
          <w:rFonts w:hint="eastAsia" w:eastAsia="方正仿宋_GBK"/>
          <w:sz w:val="28"/>
          <w:szCs w:val="28"/>
        </w:rPr>
        <w:t>，做好会议筹备工作确保会议顺利进行，共商全县发展大局，确定年度发展目标和重大措施。</w:t>
      </w:r>
    </w:p>
    <w:p w14:paraId="19FEE0B0">
      <w:pPr>
        <w:ind w:firstLine="640"/>
        <w:rPr>
          <w:rFonts w:hint="eastAsia" w:eastAsia="方正仿宋_GBK"/>
          <w:sz w:val="28"/>
          <w:szCs w:val="28"/>
        </w:rPr>
      </w:pPr>
      <w:r>
        <w:rPr>
          <w:rFonts w:hint="eastAsia" w:eastAsia="方正仿宋_GBK"/>
          <w:sz w:val="28"/>
          <w:szCs w:val="28"/>
          <w:lang w:val="en-US" w:eastAsia="zh-CN"/>
        </w:rPr>
        <w:t>3、</w:t>
      </w:r>
      <w:r>
        <w:rPr>
          <w:rFonts w:hint="eastAsia" w:eastAsia="方正仿宋_GBK"/>
          <w:sz w:val="28"/>
          <w:szCs w:val="28"/>
        </w:rPr>
        <w:t>围绕县委中心和一府两院重点工作组织开展调研、视察、执法检查和工作评议等活动；依法行使人事任免权，承担对县政府组成人员和县法检两院干部的任后监督、工作评议等工作。</w:t>
      </w:r>
    </w:p>
    <w:p w14:paraId="7957DF4F">
      <w:pPr>
        <w:ind w:firstLine="640"/>
        <w:rPr>
          <w:rFonts w:hint="eastAsia" w:eastAsia="方正仿宋_GBK"/>
          <w:sz w:val="28"/>
          <w:szCs w:val="28"/>
        </w:rPr>
      </w:pPr>
      <w:r>
        <w:rPr>
          <w:rFonts w:hint="eastAsia" w:eastAsia="方正仿宋_GBK"/>
          <w:sz w:val="28"/>
          <w:szCs w:val="28"/>
          <w:lang w:eastAsia="zh-CN"/>
        </w:rPr>
        <w:t>（二）</w:t>
      </w:r>
      <w:r>
        <w:rPr>
          <w:rFonts w:hint="eastAsia" w:eastAsia="方正仿宋_GBK"/>
          <w:sz w:val="28"/>
          <w:szCs w:val="28"/>
        </w:rPr>
        <w:t>内设机构</w:t>
      </w:r>
    </w:p>
    <w:p w14:paraId="0E543FBF">
      <w:pPr>
        <w:ind w:firstLine="640"/>
        <w:rPr>
          <w:rFonts w:hint="eastAsia" w:eastAsia="方正仿宋_GBK"/>
          <w:sz w:val="28"/>
          <w:szCs w:val="28"/>
        </w:rPr>
      </w:pPr>
      <w:r>
        <w:rPr>
          <w:rFonts w:hint="eastAsia" w:eastAsia="方正仿宋_GBK"/>
          <w:sz w:val="28"/>
          <w:szCs w:val="28"/>
          <w:lang w:val="en-US" w:eastAsia="zh-CN"/>
        </w:rPr>
        <w:t>1、</w:t>
      </w:r>
      <w:r>
        <w:rPr>
          <w:rFonts w:hint="eastAsia" w:eastAsia="方正仿宋_GBK"/>
          <w:sz w:val="28"/>
          <w:szCs w:val="28"/>
        </w:rPr>
        <w:t>办公室</w:t>
      </w:r>
    </w:p>
    <w:p w14:paraId="09F000AF">
      <w:pPr>
        <w:ind w:firstLine="640"/>
        <w:rPr>
          <w:rFonts w:hint="eastAsia" w:eastAsia="方正仿宋_GBK"/>
          <w:sz w:val="28"/>
          <w:szCs w:val="28"/>
        </w:rPr>
      </w:pPr>
      <w:r>
        <w:rPr>
          <w:rFonts w:hint="eastAsia" w:eastAsia="方正仿宋_GBK"/>
          <w:sz w:val="28"/>
          <w:szCs w:val="28"/>
        </w:rPr>
        <w:t>负责各种综合性文件的起草、印发、公文处理、整理会议纪要、编辑会刊及工作简报；负责常委会会议、主任会议及有关会议的组织和会务工作；组织文件传阅、归档和文书印签管理；负责常委会内部的行政事务和工勤服务管理，负责常委会内部的行政事务和工勤服务人员的管理；负责办理人事任免手续、管理机关干部职工档案，协调、配合其他工作室完成有关的重要工作，参与各项视察、检查的组织安排，承办人大常委会、主任会议交办的其他事宜。</w:t>
      </w:r>
    </w:p>
    <w:p w14:paraId="58D5E54C">
      <w:pPr>
        <w:ind w:firstLine="640"/>
        <w:rPr>
          <w:rFonts w:hint="eastAsia" w:eastAsia="方正仿宋_GBK"/>
          <w:sz w:val="28"/>
          <w:szCs w:val="28"/>
        </w:rPr>
      </w:pPr>
      <w:r>
        <w:rPr>
          <w:rFonts w:hint="eastAsia" w:eastAsia="方正仿宋_GBK"/>
          <w:sz w:val="28"/>
          <w:szCs w:val="28"/>
          <w:lang w:val="en-US" w:eastAsia="zh-CN"/>
        </w:rPr>
        <w:t>2、</w:t>
      </w:r>
      <w:r>
        <w:rPr>
          <w:rFonts w:hint="eastAsia" w:eastAsia="方正仿宋_GBK"/>
          <w:sz w:val="28"/>
          <w:szCs w:val="28"/>
        </w:rPr>
        <w:t>法制工作室</w:t>
      </w:r>
    </w:p>
    <w:p w14:paraId="32778B40">
      <w:pPr>
        <w:ind w:firstLine="640"/>
        <w:rPr>
          <w:rFonts w:hint="eastAsia" w:eastAsia="方正仿宋_GBK"/>
          <w:sz w:val="28"/>
          <w:szCs w:val="28"/>
        </w:rPr>
      </w:pPr>
      <w:r>
        <w:rPr>
          <w:rFonts w:hint="eastAsia" w:eastAsia="方正仿宋_GBK"/>
          <w:sz w:val="28"/>
          <w:szCs w:val="28"/>
        </w:rPr>
        <w:t>负责调查了解本行政区域内实施宪法法律的情况，对于县人民政府发布的行政命令、行政规章和乡镇人代会的决议，以及两院在执法中出现的与宪法、法律、法规相抵触的问题；对有关法制方面的议案、意见和建议进行调查研究，为常委会审议做好准备；了解司法人员的执法情况，受理人民群众有关法律方面的控告、检举和批评建议；组织好关于司法方面的视察和检查，并向常委会报告有关的情况；办理常委会交付的其他工作。</w:t>
      </w:r>
    </w:p>
    <w:p w14:paraId="165E3D2F">
      <w:pPr>
        <w:ind w:firstLine="640"/>
        <w:rPr>
          <w:rFonts w:hint="eastAsia" w:eastAsia="方正仿宋_GBK"/>
          <w:sz w:val="28"/>
          <w:szCs w:val="28"/>
        </w:rPr>
      </w:pPr>
      <w:r>
        <w:rPr>
          <w:rFonts w:hint="eastAsia" w:eastAsia="方正仿宋_GBK"/>
          <w:sz w:val="28"/>
          <w:szCs w:val="28"/>
          <w:lang w:val="en-US" w:eastAsia="zh-CN"/>
        </w:rPr>
        <w:t>3、</w:t>
      </w:r>
      <w:r>
        <w:rPr>
          <w:rFonts w:hint="eastAsia" w:eastAsia="方正仿宋_GBK"/>
          <w:sz w:val="28"/>
          <w:szCs w:val="28"/>
        </w:rPr>
        <w:t>代表工作室</w:t>
      </w:r>
    </w:p>
    <w:p w14:paraId="31D5A776">
      <w:pPr>
        <w:ind w:firstLine="640"/>
        <w:rPr>
          <w:rFonts w:hint="eastAsia" w:eastAsia="方正仿宋_GBK"/>
          <w:sz w:val="28"/>
          <w:szCs w:val="28"/>
        </w:rPr>
      </w:pPr>
      <w:r>
        <w:rPr>
          <w:rFonts w:hint="eastAsia" w:eastAsia="方正仿宋_GBK"/>
          <w:sz w:val="28"/>
          <w:szCs w:val="28"/>
        </w:rPr>
        <w:t>负责组织人大常委会同代表的联系活动，参与常委会组织的代表开展的各项检查、视察的联系工作，掌握县人大代表的活动情况，办理人民代表的补选、罢免手续，组织代表座谈、走访代表，联系并指导乡镇人大主席团开展工作，转交催办代表议案和建议，办理人大常委会交办的其他任务。</w:t>
      </w:r>
    </w:p>
    <w:p w14:paraId="167DF8E8">
      <w:pPr>
        <w:ind w:firstLine="640"/>
        <w:rPr>
          <w:rFonts w:hint="eastAsia" w:eastAsia="方正仿宋_GBK"/>
          <w:sz w:val="28"/>
          <w:szCs w:val="28"/>
        </w:rPr>
      </w:pPr>
      <w:r>
        <w:rPr>
          <w:rFonts w:hint="eastAsia" w:eastAsia="方正仿宋_GBK"/>
          <w:sz w:val="28"/>
          <w:szCs w:val="28"/>
          <w:lang w:val="en-US" w:eastAsia="zh-CN"/>
        </w:rPr>
        <w:t>4、</w:t>
      </w:r>
      <w:r>
        <w:rPr>
          <w:rFonts w:hint="eastAsia" w:eastAsia="方正仿宋_GBK"/>
          <w:sz w:val="28"/>
          <w:szCs w:val="28"/>
        </w:rPr>
        <w:t>财经工作室</w:t>
      </w:r>
    </w:p>
    <w:p w14:paraId="5E9B38B0">
      <w:pPr>
        <w:ind w:firstLine="640"/>
        <w:rPr>
          <w:rFonts w:hint="eastAsia" w:eastAsia="方正仿宋_GBK"/>
          <w:sz w:val="28"/>
          <w:szCs w:val="28"/>
        </w:rPr>
      </w:pPr>
      <w:r>
        <w:rPr>
          <w:rFonts w:hint="eastAsia" w:eastAsia="方正仿宋_GBK"/>
          <w:sz w:val="28"/>
          <w:szCs w:val="28"/>
        </w:rPr>
        <w:t>负责对全县的财政经济工作进行调查研究、提出意见和建议，为常委会审议有关议题提供依据和参考；调查国民经济和社会发展计划执行情况、财政预算执行情况；组织好关于财经方面的视察、检查，并向常委会报告有关情况；组织有关部门和人员讨论上级人大拟定的有关经济方面的法律草案，提出修改意见。</w:t>
      </w:r>
    </w:p>
    <w:p w14:paraId="16350A71">
      <w:pPr>
        <w:ind w:firstLine="640"/>
        <w:rPr>
          <w:rFonts w:hint="eastAsia" w:eastAsia="方正仿宋_GBK"/>
          <w:sz w:val="28"/>
          <w:szCs w:val="28"/>
        </w:rPr>
      </w:pPr>
      <w:r>
        <w:rPr>
          <w:rFonts w:hint="eastAsia" w:eastAsia="方正仿宋_GBK"/>
          <w:sz w:val="28"/>
          <w:szCs w:val="28"/>
        </w:rPr>
        <w:t>从预算单位构成看，宁晋县人大办</w:t>
      </w:r>
      <w:r>
        <w:rPr>
          <w:rFonts w:hint="eastAsia" w:eastAsia="方正仿宋_GBK"/>
          <w:sz w:val="28"/>
          <w:szCs w:val="28"/>
          <w:lang w:val="en-US" w:eastAsia="zh-CN"/>
        </w:rPr>
        <w:t>2021</w:t>
      </w:r>
      <w:r>
        <w:rPr>
          <w:rFonts w:hint="eastAsia" w:eastAsia="方正仿宋_GBK"/>
          <w:sz w:val="28"/>
          <w:szCs w:val="28"/>
        </w:rPr>
        <w:t>年度</w:t>
      </w:r>
      <w:r>
        <w:rPr>
          <w:rFonts w:hint="eastAsia" w:eastAsia="方正仿宋_GBK"/>
          <w:sz w:val="28"/>
          <w:szCs w:val="28"/>
          <w:lang w:eastAsia="zh-CN"/>
        </w:rPr>
        <w:t>本级</w:t>
      </w:r>
      <w:r>
        <w:rPr>
          <w:rFonts w:hint="eastAsia" w:eastAsia="方正仿宋_GBK"/>
          <w:sz w:val="28"/>
          <w:szCs w:val="28"/>
        </w:rPr>
        <w:t>预算包括局本级预算。</w:t>
      </w:r>
    </w:p>
    <w:p w14:paraId="6A777FA0">
      <w:pPr>
        <w:ind w:firstLine="640"/>
        <w:rPr>
          <w:rFonts w:hint="eastAsia" w:eastAsia="方正仿宋_GBK"/>
          <w:sz w:val="28"/>
          <w:szCs w:val="28"/>
        </w:rPr>
      </w:pPr>
      <w:r>
        <w:rPr>
          <w:rFonts w:hint="eastAsia" w:eastAsia="方正仿宋_GBK"/>
          <w:sz w:val="28"/>
          <w:szCs w:val="28"/>
        </w:rPr>
        <w:t>纳入宁晋县人大办</w:t>
      </w:r>
      <w:r>
        <w:rPr>
          <w:rFonts w:hint="eastAsia" w:eastAsia="方正仿宋_GBK"/>
          <w:sz w:val="28"/>
          <w:szCs w:val="28"/>
          <w:lang w:val="en-US" w:eastAsia="zh-CN"/>
        </w:rPr>
        <w:t>2021</w:t>
      </w:r>
      <w:r>
        <w:rPr>
          <w:rFonts w:hint="eastAsia" w:eastAsia="方正仿宋_GBK"/>
          <w:sz w:val="28"/>
          <w:szCs w:val="28"/>
        </w:rPr>
        <w:t>年度</w:t>
      </w:r>
      <w:r>
        <w:rPr>
          <w:rFonts w:hint="eastAsia" w:eastAsia="方正仿宋_GBK"/>
          <w:sz w:val="28"/>
          <w:szCs w:val="28"/>
          <w:lang w:eastAsia="zh-CN"/>
        </w:rPr>
        <w:t>本级</w:t>
      </w:r>
      <w:r>
        <w:rPr>
          <w:rFonts w:hint="eastAsia" w:eastAsia="方正仿宋_GBK"/>
          <w:sz w:val="28"/>
          <w:szCs w:val="28"/>
        </w:rPr>
        <w:t>预算编制范围的单位共1个，详细情况见下表：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729B2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00" w:hRule="atLeast"/>
          <w:tblHeader/>
          <w:jc w:val="center"/>
        </w:trPr>
        <w:tc>
          <w:tcPr>
            <w:tcW w:w="4417" w:type="dxa"/>
            <w:vMerge w:val="restart"/>
            <w:noWrap w:val="0"/>
            <w:vAlign w:val="center"/>
          </w:tcPr>
          <w:p w14:paraId="53DE3703">
            <w:pPr>
              <w:spacing w:line="300" w:lineRule="exact"/>
              <w:jc w:val="center"/>
              <w:rPr>
                <w:rFonts w:eastAsia="方正书宋_GBK"/>
                <w:b/>
                <w:szCs w:val="24"/>
              </w:rPr>
            </w:pPr>
            <w:r>
              <w:rPr>
                <w:rFonts w:eastAsia="方正书宋_GBK"/>
                <w:b/>
                <w:szCs w:val="24"/>
              </w:rPr>
              <w:t>单位名称</w:t>
            </w:r>
          </w:p>
        </w:tc>
        <w:tc>
          <w:tcPr>
            <w:tcW w:w="1134" w:type="dxa"/>
            <w:vMerge w:val="restart"/>
            <w:noWrap w:val="0"/>
            <w:vAlign w:val="center"/>
          </w:tcPr>
          <w:p w14:paraId="5849D1C8">
            <w:pPr>
              <w:spacing w:line="300" w:lineRule="exact"/>
              <w:jc w:val="center"/>
              <w:rPr>
                <w:rFonts w:eastAsia="方正书宋_GBK"/>
                <w:b/>
                <w:szCs w:val="24"/>
              </w:rPr>
            </w:pPr>
            <w:r>
              <w:rPr>
                <w:rFonts w:eastAsia="方正书宋_GBK"/>
                <w:b/>
                <w:szCs w:val="24"/>
              </w:rPr>
              <w:t>单位性质</w:t>
            </w:r>
          </w:p>
        </w:tc>
        <w:tc>
          <w:tcPr>
            <w:tcW w:w="1276" w:type="dxa"/>
            <w:vMerge w:val="restart"/>
            <w:noWrap w:val="0"/>
            <w:vAlign w:val="center"/>
          </w:tcPr>
          <w:p w14:paraId="3822D02C">
            <w:pPr>
              <w:spacing w:line="300" w:lineRule="exact"/>
              <w:jc w:val="center"/>
              <w:rPr>
                <w:rFonts w:eastAsia="方正书宋_GBK"/>
                <w:b/>
                <w:szCs w:val="24"/>
              </w:rPr>
            </w:pPr>
            <w:r>
              <w:rPr>
                <w:rFonts w:eastAsia="方正书宋_GBK"/>
                <w:b/>
                <w:szCs w:val="24"/>
              </w:rPr>
              <w:t>单位规格</w:t>
            </w:r>
          </w:p>
        </w:tc>
        <w:tc>
          <w:tcPr>
            <w:tcW w:w="2902" w:type="dxa"/>
            <w:vMerge w:val="restart"/>
            <w:noWrap w:val="0"/>
            <w:vAlign w:val="center"/>
          </w:tcPr>
          <w:p w14:paraId="5F6474FE">
            <w:pPr>
              <w:spacing w:line="300" w:lineRule="exact"/>
              <w:jc w:val="center"/>
              <w:rPr>
                <w:rFonts w:eastAsia="方正书宋_GBK"/>
                <w:b/>
                <w:szCs w:val="24"/>
              </w:rPr>
            </w:pPr>
            <w:r>
              <w:rPr>
                <w:rFonts w:eastAsia="方正书宋_GBK"/>
                <w:b/>
                <w:szCs w:val="24"/>
              </w:rPr>
              <w:t>经费保障形式</w:t>
            </w:r>
          </w:p>
        </w:tc>
      </w:tr>
      <w:tr w14:paraId="2DF6E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noWrap w:val="0"/>
            <w:vAlign w:val="center"/>
          </w:tcPr>
          <w:p w14:paraId="634DB55A">
            <w:pPr>
              <w:spacing w:line="300" w:lineRule="exact"/>
              <w:jc w:val="left"/>
              <w:outlineLvl w:val="0"/>
              <w:rPr>
                <w:szCs w:val="24"/>
              </w:rPr>
            </w:pPr>
          </w:p>
        </w:tc>
        <w:tc>
          <w:tcPr>
            <w:tcW w:w="1134" w:type="dxa"/>
            <w:vMerge w:val="continue"/>
            <w:noWrap w:val="0"/>
            <w:vAlign w:val="center"/>
          </w:tcPr>
          <w:p w14:paraId="6C0101AE">
            <w:pPr>
              <w:spacing w:line="300" w:lineRule="exact"/>
              <w:jc w:val="left"/>
              <w:outlineLvl w:val="0"/>
              <w:rPr>
                <w:szCs w:val="24"/>
              </w:rPr>
            </w:pPr>
          </w:p>
        </w:tc>
        <w:tc>
          <w:tcPr>
            <w:tcW w:w="1276" w:type="dxa"/>
            <w:vMerge w:val="continue"/>
            <w:noWrap w:val="0"/>
            <w:vAlign w:val="center"/>
          </w:tcPr>
          <w:p w14:paraId="1602440F">
            <w:pPr>
              <w:spacing w:line="300" w:lineRule="exact"/>
              <w:jc w:val="left"/>
              <w:outlineLvl w:val="0"/>
              <w:rPr>
                <w:szCs w:val="24"/>
              </w:rPr>
            </w:pPr>
          </w:p>
        </w:tc>
        <w:tc>
          <w:tcPr>
            <w:tcW w:w="2902" w:type="dxa"/>
            <w:vMerge w:val="continue"/>
            <w:noWrap w:val="0"/>
            <w:vAlign w:val="center"/>
          </w:tcPr>
          <w:p w14:paraId="2C35F17D">
            <w:pPr>
              <w:spacing w:line="300" w:lineRule="exact"/>
              <w:jc w:val="left"/>
              <w:outlineLvl w:val="0"/>
              <w:rPr>
                <w:szCs w:val="24"/>
              </w:rPr>
            </w:pPr>
          </w:p>
        </w:tc>
      </w:tr>
      <w:tr w14:paraId="50C5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14:paraId="2490C1B5">
            <w:pPr>
              <w:spacing w:line="300" w:lineRule="exact"/>
              <w:jc w:val="left"/>
              <w:rPr>
                <w:rFonts w:hint="eastAsia" w:eastAsia="方正书宋_GBK"/>
                <w:szCs w:val="24"/>
              </w:rPr>
            </w:pPr>
            <w:r>
              <w:rPr>
                <w:rFonts w:hint="eastAsia" w:ascii="方正书宋_GBK" w:eastAsia="方正书宋_GBK"/>
              </w:rPr>
              <w:t>宁晋县人大常委会</w:t>
            </w:r>
          </w:p>
        </w:tc>
        <w:tc>
          <w:tcPr>
            <w:tcW w:w="1134" w:type="dxa"/>
            <w:noWrap w:val="0"/>
            <w:vAlign w:val="center"/>
          </w:tcPr>
          <w:p w14:paraId="4D5586B0">
            <w:pPr>
              <w:spacing w:line="300" w:lineRule="exact"/>
              <w:jc w:val="center"/>
              <w:rPr>
                <w:rFonts w:eastAsia="方正书宋_GBK"/>
                <w:szCs w:val="24"/>
              </w:rPr>
            </w:pPr>
            <w:r>
              <w:rPr>
                <w:rFonts w:hint="eastAsia" w:ascii="方正书宋_GBK" w:eastAsia="方正书宋_GBK"/>
              </w:rPr>
              <w:t>行政</w:t>
            </w:r>
          </w:p>
        </w:tc>
        <w:tc>
          <w:tcPr>
            <w:tcW w:w="1276" w:type="dxa"/>
            <w:noWrap w:val="0"/>
            <w:vAlign w:val="center"/>
          </w:tcPr>
          <w:p w14:paraId="122F9F30">
            <w:pPr>
              <w:spacing w:line="300" w:lineRule="exact"/>
              <w:jc w:val="center"/>
              <w:rPr>
                <w:rFonts w:eastAsia="方正书宋_GBK"/>
                <w:szCs w:val="24"/>
              </w:rPr>
            </w:pPr>
            <w:r>
              <w:rPr>
                <w:rFonts w:hint="eastAsia" w:ascii="方正书宋_GBK" w:eastAsia="方正书宋_GBK"/>
              </w:rPr>
              <w:t>正处级</w:t>
            </w:r>
          </w:p>
        </w:tc>
        <w:tc>
          <w:tcPr>
            <w:tcW w:w="2902" w:type="dxa"/>
            <w:noWrap w:val="0"/>
            <w:vAlign w:val="center"/>
          </w:tcPr>
          <w:p w14:paraId="55F7C68F">
            <w:pPr>
              <w:spacing w:line="300" w:lineRule="exact"/>
              <w:jc w:val="center"/>
              <w:rPr>
                <w:rFonts w:eastAsia="方正书宋_GBK"/>
                <w:szCs w:val="24"/>
              </w:rPr>
            </w:pPr>
            <w:r>
              <w:rPr>
                <w:rFonts w:hint="eastAsia" w:ascii="方正书宋_GBK" w:eastAsia="方正书宋_GBK"/>
              </w:rPr>
              <w:t>财政拨款</w:t>
            </w:r>
          </w:p>
        </w:tc>
      </w:tr>
      <w:tr w14:paraId="5FA88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14:paraId="6EC6136A">
            <w:pPr>
              <w:spacing w:line="300" w:lineRule="exact"/>
              <w:jc w:val="left"/>
              <w:rPr>
                <w:rFonts w:eastAsia="方正书宋_GBK"/>
                <w:szCs w:val="24"/>
              </w:rPr>
            </w:pPr>
          </w:p>
        </w:tc>
        <w:tc>
          <w:tcPr>
            <w:tcW w:w="1134" w:type="dxa"/>
            <w:noWrap w:val="0"/>
            <w:vAlign w:val="center"/>
          </w:tcPr>
          <w:p w14:paraId="4277E835">
            <w:pPr>
              <w:spacing w:line="300" w:lineRule="exact"/>
              <w:jc w:val="left"/>
              <w:rPr>
                <w:rFonts w:eastAsia="方正书宋_GBK"/>
                <w:szCs w:val="24"/>
              </w:rPr>
            </w:pPr>
          </w:p>
        </w:tc>
        <w:tc>
          <w:tcPr>
            <w:tcW w:w="1276" w:type="dxa"/>
            <w:noWrap w:val="0"/>
            <w:vAlign w:val="center"/>
          </w:tcPr>
          <w:p w14:paraId="6E338E78">
            <w:pPr>
              <w:spacing w:line="300" w:lineRule="exact"/>
              <w:jc w:val="left"/>
              <w:rPr>
                <w:rFonts w:eastAsia="方正书宋_GBK"/>
                <w:szCs w:val="24"/>
              </w:rPr>
            </w:pPr>
          </w:p>
        </w:tc>
        <w:tc>
          <w:tcPr>
            <w:tcW w:w="2902" w:type="dxa"/>
            <w:noWrap w:val="0"/>
            <w:vAlign w:val="center"/>
          </w:tcPr>
          <w:p w14:paraId="06D87F33">
            <w:pPr>
              <w:spacing w:line="300" w:lineRule="exact"/>
              <w:jc w:val="left"/>
              <w:rPr>
                <w:rFonts w:eastAsia="方正书宋_GBK"/>
                <w:szCs w:val="24"/>
              </w:rPr>
            </w:pPr>
          </w:p>
        </w:tc>
      </w:tr>
    </w:tbl>
    <w:p w14:paraId="7D91BB2C">
      <w:pPr>
        <w:widowControl/>
        <w:ind w:firstLine="320" w:firstLineChars="100"/>
        <w:jc w:val="left"/>
        <w:rPr>
          <w:rFonts w:hint="eastAsia" w:ascii="宋体" w:hAnsi="宋体" w:cs="宋体"/>
          <w:kern w:val="0"/>
          <w:sz w:val="32"/>
          <w:szCs w:val="32"/>
          <w:lang w:bidi="ar"/>
        </w:rPr>
      </w:pPr>
    </w:p>
    <w:p w14:paraId="71C78337">
      <w:pPr>
        <w:pStyle w:val="22"/>
        <w:numPr>
          <w:ilvl w:val="0"/>
          <w:numId w:val="1"/>
        </w:numPr>
        <w:ind w:firstLine="723"/>
        <w:rPr>
          <w:rFonts w:hint="eastAsia" w:ascii="黑体" w:hAnsi="黑体" w:eastAsia="黑体" w:cs="黑体"/>
          <w:b/>
          <w:kern w:val="0"/>
          <w:sz w:val="36"/>
          <w:szCs w:val="36"/>
        </w:rPr>
      </w:pPr>
      <w:r>
        <w:rPr>
          <w:rFonts w:hint="eastAsia" w:ascii="黑体" w:hAnsi="黑体" w:eastAsia="黑体" w:cs="黑体"/>
          <w:b/>
          <w:kern w:val="0"/>
          <w:sz w:val="36"/>
          <w:szCs w:val="36"/>
          <w:lang w:eastAsia="zh-CN"/>
        </w:rPr>
        <w:t>本级</w:t>
      </w:r>
      <w:r>
        <w:rPr>
          <w:rFonts w:hint="eastAsia" w:ascii="黑体" w:hAnsi="黑体" w:eastAsia="黑体" w:cs="黑体"/>
          <w:b/>
          <w:kern w:val="0"/>
          <w:sz w:val="36"/>
          <w:szCs w:val="36"/>
        </w:rPr>
        <w:t>预算安排总体情况</w:t>
      </w:r>
    </w:p>
    <w:p w14:paraId="71F7347E">
      <w:pPr>
        <w:ind w:firstLine="640"/>
        <w:rPr>
          <w:rFonts w:eastAsia="方正仿宋_GBK"/>
          <w:sz w:val="28"/>
          <w:szCs w:val="28"/>
        </w:rPr>
      </w:pPr>
      <w:r>
        <w:rPr>
          <w:rFonts w:hint="eastAsia" w:ascii="黑体" w:eastAsia="黑体" w:cs="FZFSK--GBK1-0"/>
          <w:b/>
          <w:kern w:val="0"/>
          <w:sz w:val="36"/>
          <w:szCs w:val="36"/>
        </w:rPr>
        <w:t xml:space="preserve">   </w:t>
      </w:r>
      <w:r>
        <w:rPr>
          <w:rFonts w:eastAsia="方正仿宋_GBK"/>
          <w:sz w:val="28"/>
          <w:szCs w:val="28"/>
        </w:rPr>
        <w:t>按照预算管理有关规定，目前我</w:t>
      </w:r>
      <w:r>
        <w:rPr>
          <w:rFonts w:hint="eastAsia" w:eastAsia="方正仿宋_GBK"/>
          <w:sz w:val="28"/>
          <w:szCs w:val="28"/>
        </w:rPr>
        <w:t>单位</w:t>
      </w:r>
      <w:r>
        <w:rPr>
          <w:rFonts w:eastAsia="方正仿宋_GBK"/>
          <w:sz w:val="28"/>
          <w:szCs w:val="28"/>
        </w:rPr>
        <w:t>预算的编制实行综合预算制度，即全部收入和支出都反映的预算中。</w:t>
      </w:r>
      <w:r>
        <w:rPr>
          <w:rFonts w:hint="eastAsia" w:eastAsia="方正仿宋_GBK"/>
          <w:sz w:val="28"/>
          <w:szCs w:val="28"/>
          <w:lang w:val="en-US" w:eastAsia="zh-CN"/>
        </w:rPr>
        <w:t xml:space="preserve"> </w:t>
      </w:r>
      <w:r>
        <w:rPr>
          <w:rFonts w:hint="eastAsia" w:eastAsia="方正仿宋_GBK"/>
          <w:sz w:val="28"/>
          <w:szCs w:val="28"/>
        </w:rPr>
        <w:t>宁晋县人大办</w:t>
      </w:r>
      <w:r>
        <w:rPr>
          <w:rFonts w:eastAsia="方正仿宋_GBK"/>
          <w:sz w:val="28"/>
          <w:szCs w:val="28"/>
        </w:rPr>
        <w:t>的收支包含在部门预算中。</w:t>
      </w:r>
    </w:p>
    <w:p w14:paraId="3AA86192">
      <w:pPr>
        <w:pStyle w:val="22"/>
        <w:ind w:firstLine="0" w:firstLineChars="0"/>
        <w:rPr>
          <w:rFonts w:hint="eastAsia" w:eastAsia="方正仿宋_GBK"/>
          <w:kern w:val="2"/>
          <w:sz w:val="28"/>
          <w:szCs w:val="28"/>
          <w:lang w:val="en-US" w:eastAsia="zh-CN" w:bidi="ar-SA"/>
        </w:rPr>
      </w:pPr>
      <w:r>
        <w:rPr>
          <w:rFonts w:hint="eastAsia" w:ascii="黑体" w:eastAsia="黑体" w:cs="FZFSK--GBK1-0"/>
          <w:b/>
          <w:kern w:val="0"/>
          <w:sz w:val="36"/>
          <w:szCs w:val="36"/>
        </w:rPr>
        <w:t xml:space="preserve">    </w:t>
      </w:r>
      <w:r>
        <w:rPr>
          <w:rFonts w:hint="eastAsia" w:eastAsia="方正仿宋_GBK"/>
          <w:kern w:val="2"/>
          <w:sz w:val="28"/>
          <w:szCs w:val="28"/>
          <w:lang w:val="en-US" w:eastAsia="zh-CN" w:bidi="ar-SA"/>
        </w:rPr>
        <w:t>1、收入说明</w:t>
      </w:r>
    </w:p>
    <w:p w14:paraId="44E5BFC6">
      <w:pPr>
        <w:ind w:firstLine="560" w:firstLineChars="200"/>
        <w:rPr>
          <w:rFonts w:hint="eastAsia" w:eastAsia="方正仿宋_GBK"/>
          <w:kern w:val="2"/>
          <w:sz w:val="28"/>
          <w:szCs w:val="28"/>
          <w:lang w:val="en-US" w:eastAsia="zh-CN" w:bidi="ar-SA"/>
        </w:rPr>
      </w:pPr>
      <w:r>
        <w:rPr>
          <w:rFonts w:hint="eastAsia" w:eastAsia="方正仿宋_GBK"/>
          <w:kern w:val="2"/>
          <w:sz w:val="28"/>
          <w:szCs w:val="28"/>
          <w:lang w:val="en-US" w:eastAsia="zh-CN" w:bidi="ar-SA"/>
        </w:rPr>
        <w:t>反应本级当年全部收入，2021年预算收入488.67万元，其中：事业费限额0万元，非限额补助488.67万元。</w:t>
      </w:r>
    </w:p>
    <w:p w14:paraId="6DCC0B4E">
      <w:pPr>
        <w:numPr>
          <w:ilvl w:val="0"/>
          <w:numId w:val="2"/>
        </w:numPr>
        <w:ind w:firstLine="640"/>
        <w:rPr>
          <w:rFonts w:hint="eastAsia" w:eastAsia="方正仿宋_GBK"/>
          <w:kern w:val="2"/>
          <w:sz w:val="28"/>
          <w:szCs w:val="28"/>
          <w:lang w:val="en-US" w:eastAsia="zh-CN" w:bidi="ar-SA"/>
        </w:rPr>
      </w:pPr>
      <w:r>
        <w:rPr>
          <w:rFonts w:hint="eastAsia" w:eastAsia="方正仿宋_GBK"/>
          <w:kern w:val="2"/>
          <w:sz w:val="28"/>
          <w:szCs w:val="28"/>
          <w:lang w:val="en-US" w:eastAsia="zh-CN" w:bidi="ar-SA"/>
        </w:rPr>
        <w:t>支出说明</w:t>
      </w:r>
    </w:p>
    <w:p w14:paraId="59A2B678">
      <w:pPr>
        <w:rPr>
          <w:rFonts w:hint="eastAsia" w:eastAsia="方正仿宋_GBK"/>
          <w:kern w:val="2"/>
          <w:sz w:val="28"/>
          <w:szCs w:val="28"/>
          <w:lang w:val="en-US" w:eastAsia="zh-CN" w:bidi="ar-SA"/>
        </w:rPr>
      </w:pPr>
      <w:r>
        <w:rPr>
          <w:rFonts w:hint="eastAsia" w:eastAsia="方正仿宋_GBK"/>
          <w:kern w:val="2"/>
          <w:sz w:val="28"/>
          <w:szCs w:val="28"/>
          <w:lang w:val="en-US" w:eastAsia="zh-CN" w:bidi="ar-SA"/>
        </w:rPr>
        <w:t xml:space="preserve">    收支预算总表支出栏、基本支出表、项目支出表按经济分类和支出功能分类科目编制，反映宁晋县人大办年度本级预算中支出预算的总体情况。2021年本级支出预算为488.67万元，其中基本支出359.95万元，包括人员经费298.73万元和日常公用经费61.22万元；项目支出128.72万元，全部为本级支出。</w:t>
      </w:r>
    </w:p>
    <w:p w14:paraId="6B343553">
      <w:pPr>
        <w:numPr>
          <w:ilvl w:val="0"/>
          <w:numId w:val="2"/>
        </w:numPr>
        <w:ind w:firstLine="640"/>
        <w:rPr>
          <w:rFonts w:hint="eastAsia" w:eastAsia="方正仿宋_GBK"/>
          <w:kern w:val="2"/>
          <w:sz w:val="28"/>
          <w:szCs w:val="28"/>
          <w:lang w:val="en-US" w:eastAsia="zh-CN" w:bidi="ar-SA"/>
        </w:rPr>
      </w:pPr>
      <w:r>
        <w:rPr>
          <w:rFonts w:hint="eastAsia" w:eastAsia="方正仿宋_GBK"/>
          <w:kern w:val="2"/>
          <w:sz w:val="28"/>
          <w:szCs w:val="28"/>
          <w:lang w:val="en-US" w:eastAsia="zh-CN" w:bidi="ar-SA"/>
        </w:rPr>
        <w:t>比上年增减情况</w:t>
      </w:r>
    </w:p>
    <w:p w14:paraId="7E8777C2">
      <w:pPr>
        <w:rPr>
          <w:rFonts w:hint="eastAsia" w:eastAsia="方正仿宋_GBK"/>
          <w:kern w:val="2"/>
          <w:sz w:val="28"/>
          <w:szCs w:val="28"/>
          <w:lang w:val="en-US" w:eastAsia="zh-CN" w:bidi="ar-SA"/>
        </w:rPr>
      </w:pPr>
      <w:r>
        <w:rPr>
          <w:rFonts w:hint="eastAsia" w:eastAsia="方正仿宋_GBK"/>
          <w:kern w:val="2"/>
          <w:sz w:val="28"/>
          <w:szCs w:val="28"/>
          <w:lang w:val="en-US" w:eastAsia="zh-CN" w:bidi="ar-SA"/>
        </w:rPr>
        <w:t xml:space="preserve">    2021年本级预算较2020年增加81.48万元，其中：基本支出增加7.9万元，主要原因是人员增加工资调整，2021年项目预算128.72万元，增加73.58万元，主要原因是增加了王仁会死亡抚恤金和丧葬费23.02万，2020年度精神文明奖及平安建设奖52.20万，2020年度目标绩效奖11.44万。</w:t>
      </w:r>
    </w:p>
    <w:p w14:paraId="20791579">
      <w:pPr>
        <w:spacing w:line="560" w:lineRule="exact"/>
        <w:ind w:firstLine="723" w:firstLineChars="200"/>
        <w:rPr>
          <w:rFonts w:hint="eastAsia" w:ascii="黑体" w:hAnsi="黑体" w:eastAsia="黑体" w:cs="黑体"/>
          <w:b/>
          <w:bCs/>
          <w:kern w:val="0"/>
          <w:sz w:val="36"/>
          <w:szCs w:val="36"/>
        </w:rPr>
      </w:pPr>
      <w:r>
        <w:rPr>
          <w:rFonts w:hint="eastAsia" w:ascii="黑体" w:hAnsi="黑体" w:eastAsia="黑体" w:cs="黑体"/>
          <w:b/>
          <w:bCs/>
          <w:kern w:val="0"/>
          <w:sz w:val="36"/>
          <w:szCs w:val="36"/>
        </w:rPr>
        <w:t>三、机关运行经费情况</w:t>
      </w:r>
    </w:p>
    <w:p w14:paraId="1D408890">
      <w:pPr>
        <w:spacing w:line="560" w:lineRule="exact"/>
        <w:ind w:firstLine="645"/>
        <w:rPr>
          <w:rFonts w:hint="eastAsia" w:ascii="宋体" w:hAnsi="宋体" w:cs="宋体"/>
          <w:kern w:val="0"/>
          <w:sz w:val="32"/>
          <w:szCs w:val="32"/>
          <w:lang w:bidi="ar"/>
        </w:rPr>
      </w:pPr>
      <w:r>
        <w:rPr>
          <w:rFonts w:hint="eastAsia" w:eastAsia="方正仿宋_GBK"/>
          <w:kern w:val="2"/>
          <w:sz w:val="28"/>
          <w:szCs w:val="28"/>
          <w:lang w:val="en-US" w:eastAsia="zh-CN" w:bidi="ar-SA"/>
        </w:rPr>
        <w:t>2021年我单位本级单位机关运行费61.22万元，比2020年（59.54万元）增加1.68万元，增加2.82%，主要原因是物价上涨，职责增加。其中，基础定额类支出安排51.54万元，主要用于办公、水电、取暖、差旅、福利、会议以及通讯和交通补贴等用于机关日常业务开展的支出。</w:t>
      </w:r>
    </w:p>
    <w:p w14:paraId="4746A832">
      <w:pPr>
        <w:spacing w:line="560" w:lineRule="exact"/>
        <w:ind w:firstLine="723" w:firstLineChars="200"/>
        <w:rPr>
          <w:rFonts w:hint="eastAsia" w:ascii="黑体" w:hAnsi="黑体" w:eastAsia="黑体" w:cs="黑体"/>
          <w:b/>
          <w:bCs/>
          <w:kern w:val="0"/>
          <w:sz w:val="36"/>
          <w:szCs w:val="36"/>
        </w:rPr>
      </w:pPr>
      <w:r>
        <w:rPr>
          <w:rFonts w:hint="eastAsia" w:ascii="黑体" w:hAnsi="黑体" w:eastAsia="黑体" w:cs="黑体"/>
          <w:b/>
          <w:bCs/>
          <w:kern w:val="0"/>
          <w:sz w:val="36"/>
          <w:szCs w:val="36"/>
          <w:lang w:bidi="ar"/>
        </w:rPr>
        <w:t>四、</w:t>
      </w:r>
      <w:r>
        <w:rPr>
          <w:rFonts w:hint="eastAsia" w:ascii="黑体" w:hAnsi="黑体" w:eastAsia="黑体" w:cs="黑体"/>
          <w:b/>
          <w:bCs/>
          <w:kern w:val="0"/>
          <w:sz w:val="36"/>
          <w:szCs w:val="36"/>
        </w:rPr>
        <w:t>财政拨款“三公”经费预算情况</w:t>
      </w:r>
    </w:p>
    <w:p w14:paraId="49813820">
      <w:pPr>
        <w:spacing w:line="560" w:lineRule="exact"/>
        <w:ind w:firstLine="560" w:firstLineChars="200"/>
        <w:rPr>
          <w:rFonts w:hint="eastAsia" w:eastAsia="方正仿宋_GBK"/>
          <w:kern w:val="2"/>
          <w:sz w:val="28"/>
          <w:szCs w:val="28"/>
          <w:lang w:val="en-US" w:eastAsia="zh-CN" w:bidi="ar-SA"/>
        </w:rPr>
      </w:pPr>
      <w:r>
        <w:rPr>
          <w:rFonts w:hint="eastAsia" w:eastAsia="方正仿宋_GBK"/>
          <w:kern w:val="2"/>
          <w:sz w:val="28"/>
          <w:szCs w:val="28"/>
          <w:lang w:val="en-US" w:eastAsia="zh-CN" w:bidi="ar-SA"/>
        </w:rPr>
        <w:t>2021年我单位本级“三公”经费8.56万元，其中公车运行维护费6.5万元（其中：公务用车购置费0万元，公务用车运行费6.5万元)，公务接待费1.86万元，比2020年相比减少0.7万元，减少27%。主要原因是根据上级要求压缩开支。</w:t>
      </w:r>
    </w:p>
    <w:p w14:paraId="0C72F431">
      <w:pPr>
        <w:rPr>
          <w:rFonts w:hint="eastAsia" w:ascii="仿宋_GB2312" w:hAnsi="宋体" w:eastAsia="仿宋_GB2312" w:cs="宋体"/>
          <w:b/>
          <w:kern w:val="0"/>
          <w:sz w:val="32"/>
          <w:szCs w:val="32"/>
        </w:rPr>
      </w:pPr>
      <w:r>
        <w:rPr>
          <w:rFonts w:hint="eastAsia" w:ascii="仿宋_GB2312" w:hAnsi="宋体" w:eastAsia="仿宋_GB2312" w:cs="宋体"/>
          <w:kern w:val="0"/>
          <w:sz w:val="32"/>
          <w:szCs w:val="32"/>
        </w:rPr>
        <w:t xml:space="preserve">    </w:t>
      </w:r>
      <w:r>
        <w:rPr>
          <w:rFonts w:hint="eastAsia" w:ascii="仿宋_GB2312" w:hAnsi="宋体" w:eastAsia="仿宋_GB2312" w:cs="宋体"/>
          <w:b/>
          <w:kern w:val="0"/>
          <w:sz w:val="32"/>
          <w:szCs w:val="32"/>
        </w:rPr>
        <w:t>总体绩效目标</w:t>
      </w:r>
    </w:p>
    <w:p w14:paraId="61FE11C8">
      <w:pPr>
        <w:spacing w:line="560" w:lineRule="exact"/>
        <w:ind w:firstLine="645"/>
        <w:rPr>
          <w:rFonts w:hint="eastAsia" w:eastAsia="方正仿宋_GBK"/>
          <w:kern w:val="2"/>
          <w:sz w:val="28"/>
          <w:szCs w:val="28"/>
          <w:lang w:val="en-US" w:eastAsia="zh-CN" w:bidi="ar-SA"/>
        </w:rPr>
      </w:pPr>
      <w:r>
        <w:rPr>
          <w:rFonts w:hint="eastAsia" w:eastAsia="方正仿宋_GBK"/>
          <w:kern w:val="2"/>
          <w:sz w:val="28"/>
          <w:szCs w:val="28"/>
          <w:lang w:val="en-US" w:eastAsia="zh-CN" w:bidi="ar-SA"/>
        </w:rPr>
        <w:t>实现年度发展规划主要依照宪法和监督法、代表法、组织法等法律法规，围绕县委重大决策战略部署、县人民代表大会和县人大常委会决议决定为依据和保障。其资金配置全部为县财政拨款方式。</w:t>
      </w:r>
    </w:p>
    <w:p w14:paraId="29DD3D52">
      <w:pPr>
        <w:widowControl/>
        <w:rPr>
          <w:rFonts w:hint="eastAsia" w:ascii="仿宋_GB2312" w:hAnsi="宋体" w:eastAsia="仿宋_GB2312" w:cs="宋体"/>
          <w:b/>
          <w:kern w:val="0"/>
          <w:sz w:val="32"/>
          <w:szCs w:val="32"/>
        </w:rPr>
      </w:pPr>
      <w:r>
        <w:rPr>
          <w:rFonts w:hint="eastAsia" w:ascii="仿宋_GB2312" w:hAnsi="宋体" w:eastAsia="仿宋_GB2312" w:cs="宋体"/>
          <w:kern w:val="0"/>
          <w:sz w:val="32"/>
          <w:szCs w:val="32"/>
        </w:rPr>
        <w:t xml:space="preserve">    </w:t>
      </w:r>
      <w:r>
        <w:rPr>
          <w:rFonts w:hint="eastAsia" w:ascii="仿宋_GB2312" w:hAnsi="宋体" w:eastAsia="仿宋_GB2312" w:cs="宋体"/>
          <w:b/>
          <w:kern w:val="0"/>
          <w:sz w:val="32"/>
          <w:szCs w:val="32"/>
        </w:rPr>
        <w:t>职责分类绩效目标</w:t>
      </w:r>
    </w:p>
    <w:p w14:paraId="523CC0AB">
      <w:pPr>
        <w:spacing w:line="560" w:lineRule="exact"/>
        <w:ind w:firstLine="560" w:firstLineChars="200"/>
        <w:rPr>
          <w:rFonts w:hint="eastAsia" w:eastAsia="方正仿宋_GBK"/>
          <w:kern w:val="2"/>
          <w:sz w:val="28"/>
          <w:szCs w:val="28"/>
          <w:lang w:val="en-US" w:eastAsia="zh-CN" w:bidi="ar-SA"/>
        </w:rPr>
      </w:pPr>
      <w:r>
        <w:rPr>
          <w:rFonts w:hint="eastAsia" w:eastAsia="方正仿宋_GBK"/>
          <w:kern w:val="2"/>
          <w:sz w:val="28"/>
          <w:szCs w:val="28"/>
          <w:lang w:val="en-US" w:eastAsia="zh-CN" w:bidi="ar-SA"/>
        </w:rPr>
        <w:t xml:space="preserve">依法筹备召开县一年一度的人民代表大会会议；立足于宪法和法律赋予县人大常委会重大事项决议决定权、监督权、人事任免权等职责，围绕县委中心和全县工作大局，认真组织开展相关工作调研、视察、执法检查、评议、询问等活动，组织召开主任会议、常委会会议和各种工作会议，适时听取和审议“一府一委两院”及相关部门专项报告；承担对“一府一委两院”有关干部的任后监督、工作评议等工作；组织开展代表培训学习和一系列代表活动，开展代表建议交办督办；负责来信来访、上级来人接待、离退休人员服务、对外宣传报道及机关人事、党建、财务、车辆管理等工作。  </w:t>
      </w:r>
    </w:p>
    <w:p w14:paraId="74073EEA">
      <w:pPr>
        <w:spacing w:line="560" w:lineRule="exact"/>
        <w:ind w:firstLine="645"/>
        <w:rPr>
          <w:rFonts w:hint="eastAsia" w:eastAsia="方正仿宋_GBK"/>
          <w:kern w:val="2"/>
          <w:sz w:val="28"/>
          <w:szCs w:val="28"/>
          <w:lang w:val="en-US" w:eastAsia="zh-CN" w:bidi="ar-SA"/>
        </w:rPr>
      </w:pPr>
      <w:r>
        <w:rPr>
          <w:rFonts w:hint="eastAsia" w:ascii="黑体" w:hAnsi="黑体" w:eastAsia="黑体" w:cs="黑体"/>
          <w:kern w:val="2"/>
          <w:sz w:val="36"/>
          <w:szCs w:val="36"/>
          <w:lang w:val="en-US" w:eastAsia="zh-CN" w:bidi="ar-SA"/>
        </w:rPr>
        <w:t>五</w:t>
      </w:r>
      <w:r>
        <w:rPr>
          <w:rFonts w:hint="eastAsia" w:eastAsia="方正仿宋_GBK"/>
          <w:kern w:val="2"/>
          <w:sz w:val="28"/>
          <w:szCs w:val="28"/>
          <w:lang w:val="en-US" w:eastAsia="zh-CN" w:bidi="ar-SA"/>
        </w:rPr>
        <w:t>． “本级职责-工作活动”绩效目标指标明细表详见下表。</w:t>
      </w:r>
    </w:p>
    <w:p w14:paraId="544BC9B5">
      <w:pPr>
        <w:spacing w:line="560" w:lineRule="exact"/>
        <w:ind w:firstLine="640"/>
        <w:rPr>
          <w:rFonts w:hint="eastAsia" w:ascii="宋体" w:hAnsi="宋体"/>
          <w:sz w:val="32"/>
          <w:szCs w:val="32"/>
        </w:rP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14:paraId="1C4B5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noWrap w:val="0"/>
            <w:vAlign w:val="center"/>
          </w:tcPr>
          <w:p w14:paraId="71CD5919">
            <w:pPr>
              <w:spacing w:line="300" w:lineRule="exact"/>
              <w:jc w:val="left"/>
              <w:rPr>
                <w:rFonts w:ascii="方正小标宋_GBK" w:eastAsia="方正小标宋_GBK"/>
                <w:sz w:val="24"/>
              </w:rPr>
            </w:pPr>
            <w:r>
              <w:rPr>
                <w:rFonts w:ascii="方正小标宋_GBK" w:eastAsia="方正小标宋_GBK"/>
                <w:sz w:val="24"/>
              </w:rPr>
              <w:t>101</w:t>
            </w:r>
            <w:r>
              <w:rPr>
                <w:rFonts w:hint="eastAsia" w:ascii="方正小标宋_GBK" w:eastAsia="方正小标宋_GBK"/>
                <w:sz w:val="24"/>
              </w:rPr>
              <w:t>宁晋县人民代表大会常务委员会办公室</w:t>
            </w:r>
          </w:p>
        </w:tc>
        <w:tc>
          <w:tcPr>
            <w:tcW w:w="2948" w:type="dxa"/>
            <w:gridSpan w:val="4"/>
            <w:tcBorders>
              <w:top w:val="single" w:color="FFFFFF" w:sz="6" w:space="0"/>
              <w:left w:val="single" w:color="FFFFFF" w:sz="6" w:space="0"/>
              <w:right w:val="single" w:color="FFFFFF" w:sz="6" w:space="0"/>
            </w:tcBorders>
            <w:noWrap w:val="0"/>
            <w:vAlign w:val="center"/>
          </w:tcPr>
          <w:p w14:paraId="164A3BBB">
            <w:pPr>
              <w:spacing w:line="300" w:lineRule="exact"/>
              <w:jc w:val="right"/>
              <w:rPr>
                <w:rFonts w:ascii="方正书宋_GBK" w:eastAsia="方正书宋_GBK"/>
                <w:sz w:val="24"/>
              </w:rPr>
            </w:pPr>
            <w:r>
              <w:rPr>
                <w:rFonts w:hint="eastAsia" w:ascii="方正书宋_GBK" w:eastAsia="方正书宋_GBK"/>
                <w:sz w:val="24"/>
              </w:rPr>
              <w:t>单位：万元</w:t>
            </w:r>
          </w:p>
        </w:tc>
      </w:tr>
      <w:tr w14:paraId="21B1A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noWrap w:val="0"/>
            <w:vAlign w:val="center"/>
          </w:tcPr>
          <w:p w14:paraId="52A4AAB4">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noWrap w:val="0"/>
            <w:vAlign w:val="center"/>
          </w:tcPr>
          <w:p w14:paraId="007EDC51">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noWrap w:val="0"/>
            <w:vAlign w:val="center"/>
          </w:tcPr>
          <w:p w14:paraId="3F55E6D1">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noWrap w:val="0"/>
            <w:vAlign w:val="center"/>
          </w:tcPr>
          <w:p w14:paraId="23220C86">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noWrap w:val="0"/>
            <w:vAlign w:val="center"/>
          </w:tcPr>
          <w:p w14:paraId="0ADF1CD2">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noWrap w:val="0"/>
            <w:vAlign w:val="center"/>
          </w:tcPr>
          <w:p w14:paraId="7B15EEC8">
            <w:pPr>
              <w:spacing w:line="300" w:lineRule="exact"/>
              <w:jc w:val="center"/>
              <w:rPr>
                <w:rFonts w:ascii="方正书宋_GBK" w:eastAsia="方正书宋_GBK"/>
                <w:b/>
              </w:rPr>
            </w:pPr>
            <w:r>
              <w:rPr>
                <w:rFonts w:hint="eastAsia" w:ascii="方正书宋_GBK" w:eastAsia="方正书宋_GBK"/>
                <w:b/>
              </w:rPr>
              <w:t>评价标准</w:t>
            </w:r>
          </w:p>
        </w:tc>
      </w:tr>
      <w:tr w14:paraId="7B669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noWrap w:val="0"/>
            <w:vAlign w:val="center"/>
          </w:tcPr>
          <w:p w14:paraId="46FD4D8A">
            <w:pPr>
              <w:spacing w:line="300" w:lineRule="exact"/>
              <w:jc w:val="left"/>
              <w:outlineLvl w:val="0"/>
            </w:pPr>
          </w:p>
        </w:tc>
        <w:tc>
          <w:tcPr>
            <w:tcW w:w="1276" w:type="dxa"/>
            <w:vMerge w:val="continue"/>
            <w:noWrap w:val="0"/>
            <w:vAlign w:val="center"/>
          </w:tcPr>
          <w:p w14:paraId="29818CF7">
            <w:pPr>
              <w:spacing w:line="300" w:lineRule="exact"/>
              <w:jc w:val="left"/>
              <w:outlineLvl w:val="0"/>
            </w:pPr>
          </w:p>
        </w:tc>
        <w:tc>
          <w:tcPr>
            <w:tcW w:w="2976" w:type="dxa"/>
            <w:vMerge w:val="continue"/>
            <w:noWrap w:val="0"/>
            <w:vAlign w:val="center"/>
          </w:tcPr>
          <w:p w14:paraId="48154A8D">
            <w:pPr>
              <w:spacing w:line="300" w:lineRule="exact"/>
              <w:jc w:val="left"/>
              <w:outlineLvl w:val="0"/>
            </w:pPr>
          </w:p>
        </w:tc>
        <w:tc>
          <w:tcPr>
            <w:tcW w:w="2976" w:type="dxa"/>
            <w:vMerge w:val="continue"/>
            <w:noWrap w:val="0"/>
            <w:vAlign w:val="center"/>
          </w:tcPr>
          <w:p w14:paraId="7337C230">
            <w:pPr>
              <w:spacing w:line="300" w:lineRule="exact"/>
              <w:jc w:val="left"/>
              <w:outlineLvl w:val="0"/>
            </w:pPr>
          </w:p>
        </w:tc>
        <w:tc>
          <w:tcPr>
            <w:tcW w:w="1417" w:type="dxa"/>
            <w:vMerge w:val="continue"/>
            <w:noWrap w:val="0"/>
            <w:vAlign w:val="center"/>
          </w:tcPr>
          <w:p w14:paraId="41FB8E4A">
            <w:pPr>
              <w:spacing w:line="300" w:lineRule="exact"/>
              <w:jc w:val="left"/>
              <w:outlineLvl w:val="0"/>
            </w:pPr>
          </w:p>
        </w:tc>
        <w:tc>
          <w:tcPr>
            <w:tcW w:w="737" w:type="dxa"/>
            <w:noWrap w:val="0"/>
            <w:vAlign w:val="center"/>
          </w:tcPr>
          <w:p w14:paraId="3B5BEA51">
            <w:pPr>
              <w:spacing w:line="300" w:lineRule="exact"/>
              <w:jc w:val="center"/>
              <w:rPr>
                <w:rFonts w:ascii="方正书宋_GBK" w:eastAsia="方正书宋_GBK"/>
                <w:b/>
              </w:rPr>
            </w:pPr>
            <w:r>
              <w:rPr>
                <w:rFonts w:hint="eastAsia" w:ascii="方正书宋_GBK" w:eastAsia="方正书宋_GBK"/>
                <w:b/>
              </w:rPr>
              <w:t>优</w:t>
            </w:r>
          </w:p>
        </w:tc>
        <w:tc>
          <w:tcPr>
            <w:tcW w:w="737" w:type="dxa"/>
            <w:noWrap w:val="0"/>
            <w:vAlign w:val="center"/>
          </w:tcPr>
          <w:p w14:paraId="6FF19284">
            <w:pPr>
              <w:spacing w:line="300" w:lineRule="exact"/>
              <w:jc w:val="center"/>
              <w:rPr>
                <w:rFonts w:ascii="方正书宋_GBK" w:eastAsia="方正书宋_GBK"/>
                <w:b/>
              </w:rPr>
            </w:pPr>
            <w:r>
              <w:rPr>
                <w:rFonts w:hint="eastAsia" w:ascii="方正书宋_GBK" w:eastAsia="方正书宋_GBK"/>
                <w:b/>
              </w:rPr>
              <w:t>良</w:t>
            </w:r>
          </w:p>
        </w:tc>
        <w:tc>
          <w:tcPr>
            <w:tcW w:w="737" w:type="dxa"/>
            <w:noWrap w:val="0"/>
            <w:vAlign w:val="center"/>
          </w:tcPr>
          <w:p w14:paraId="7930B7DC">
            <w:pPr>
              <w:spacing w:line="300" w:lineRule="exact"/>
              <w:jc w:val="center"/>
              <w:rPr>
                <w:rFonts w:ascii="方正书宋_GBK" w:eastAsia="方正书宋_GBK"/>
                <w:b/>
              </w:rPr>
            </w:pPr>
            <w:r>
              <w:rPr>
                <w:rFonts w:hint="eastAsia" w:ascii="方正书宋_GBK" w:eastAsia="方正书宋_GBK"/>
                <w:b/>
              </w:rPr>
              <w:t>中</w:t>
            </w:r>
          </w:p>
        </w:tc>
        <w:tc>
          <w:tcPr>
            <w:tcW w:w="737" w:type="dxa"/>
            <w:noWrap w:val="0"/>
            <w:vAlign w:val="center"/>
          </w:tcPr>
          <w:p w14:paraId="1CDB6FBB">
            <w:pPr>
              <w:spacing w:line="300" w:lineRule="exact"/>
              <w:jc w:val="center"/>
              <w:rPr>
                <w:rFonts w:ascii="方正书宋_GBK" w:eastAsia="方正书宋_GBK"/>
                <w:b/>
              </w:rPr>
            </w:pPr>
            <w:r>
              <w:rPr>
                <w:rFonts w:hint="eastAsia" w:ascii="方正书宋_GBK" w:eastAsia="方正书宋_GBK"/>
                <w:b/>
              </w:rPr>
              <w:t>差</w:t>
            </w:r>
          </w:p>
        </w:tc>
      </w:tr>
      <w:tr w14:paraId="329AC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14:paraId="6B2491A6">
            <w:pPr>
              <w:spacing w:line="300" w:lineRule="exact"/>
              <w:jc w:val="center"/>
              <w:rPr>
                <w:rFonts w:ascii="方正书宋_GBK" w:eastAsia="方正书宋_GBK"/>
                <w:b/>
              </w:rPr>
            </w:pPr>
            <w:r>
              <w:rPr>
                <w:rFonts w:hint="eastAsia" w:ascii="方正书宋_GBK" w:eastAsia="方正书宋_GBK"/>
                <w:b/>
              </w:rPr>
              <w:t>人大监督</w:t>
            </w:r>
          </w:p>
        </w:tc>
        <w:tc>
          <w:tcPr>
            <w:tcW w:w="1276" w:type="dxa"/>
            <w:noWrap w:val="0"/>
            <w:vAlign w:val="center"/>
          </w:tcPr>
          <w:p w14:paraId="2A82916E">
            <w:pPr>
              <w:spacing w:line="300" w:lineRule="exact"/>
              <w:jc w:val="left"/>
              <w:rPr>
                <w:rFonts w:ascii="方正书宋_GBK" w:eastAsia="方正书宋_GBK"/>
              </w:rPr>
            </w:pPr>
          </w:p>
        </w:tc>
        <w:tc>
          <w:tcPr>
            <w:tcW w:w="2976" w:type="dxa"/>
            <w:noWrap w:val="0"/>
            <w:vAlign w:val="center"/>
          </w:tcPr>
          <w:p w14:paraId="1C595094">
            <w:pPr>
              <w:spacing w:line="300" w:lineRule="exact"/>
              <w:jc w:val="left"/>
              <w:rPr>
                <w:rFonts w:ascii="方正书宋_GBK" w:eastAsia="方正书宋_GBK"/>
              </w:rPr>
            </w:pPr>
            <w:r>
              <w:rPr>
                <w:rFonts w:hint="eastAsia" w:ascii="方正书宋_GBK" w:eastAsia="方正书宋_GBK"/>
              </w:rPr>
              <w:t>进行执法调研和执法检查；围绕政府工作报告和</w:t>
            </w:r>
            <w:r>
              <w:rPr>
                <w:rFonts w:hint="cs" w:ascii="方正书宋_GBK" w:eastAsia="方正书宋_GBK"/>
                <w:cs/>
              </w:rPr>
              <w:t>“</w:t>
            </w:r>
            <w:r>
              <w:rPr>
                <w:rFonts w:hint="eastAsia" w:ascii="方正书宋_GBK" w:eastAsia="方正书宋_GBK"/>
              </w:rPr>
              <w:t>一府两院</w:t>
            </w:r>
            <w:r>
              <w:rPr>
                <w:rFonts w:hint="cs" w:ascii="方正书宋_GBK" w:eastAsia="方正书宋_GBK"/>
                <w:cs/>
              </w:rPr>
              <w:t>”</w:t>
            </w:r>
            <w:r>
              <w:rPr>
                <w:rFonts w:hint="eastAsia" w:ascii="方正书宋_GBK" w:eastAsia="方正书宋_GBK"/>
              </w:rPr>
              <w:t>专项工作报告涉及内容开展调查研究，开展专题询问和工作评议；对</w:t>
            </w:r>
            <w:r>
              <w:rPr>
                <w:rFonts w:hint="cs" w:ascii="方正书宋_GBK" w:eastAsia="方正书宋_GBK"/>
                <w:cs/>
              </w:rPr>
              <w:t>“</w:t>
            </w:r>
            <w:r>
              <w:rPr>
                <w:rFonts w:hint="eastAsia" w:ascii="方正书宋_GBK" w:eastAsia="方正书宋_GBK"/>
              </w:rPr>
              <w:t>一府两院</w:t>
            </w:r>
            <w:r>
              <w:rPr>
                <w:rFonts w:hint="cs" w:ascii="方正书宋_GBK" w:eastAsia="方正书宋_GBK"/>
                <w:cs/>
              </w:rPr>
              <w:t>”</w:t>
            </w:r>
            <w:r>
              <w:rPr>
                <w:rFonts w:hint="eastAsia" w:ascii="方正书宋_GBK" w:eastAsia="方正书宋_GBK"/>
              </w:rPr>
              <w:t>进行监督。</w:t>
            </w:r>
          </w:p>
        </w:tc>
        <w:tc>
          <w:tcPr>
            <w:tcW w:w="2976" w:type="dxa"/>
            <w:noWrap w:val="0"/>
            <w:vAlign w:val="center"/>
          </w:tcPr>
          <w:p w14:paraId="32424BF9">
            <w:pPr>
              <w:spacing w:line="300" w:lineRule="exact"/>
              <w:jc w:val="left"/>
              <w:rPr>
                <w:rFonts w:ascii="方正书宋_GBK" w:eastAsia="方正书宋_GBK"/>
              </w:rPr>
            </w:pPr>
            <w:r>
              <w:rPr>
                <w:rFonts w:hint="eastAsia" w:ascii="方正书宋_GBK" w:eastAsia="方正书宋_GBK"/>
              </w:rPr>
              <w:t>促进各项法律法规、人大决议、报告等的落实；促进</w:t>
            </w:r>
            <w:r>
              <w:rPr>
                <w:rFonts w:hint="cs" w:ascii="方正书宋_GBK" w:eastAsia="方正书宋_GBK"/>
                <w:cs/>
              </w:rPr>
              <w:t>“</w:t>
            </w:r>
            <w:r>
              <w:rPr>
                <w:rFonts w:hint="eastAsia" w:ascii="方正书宋_GBK" w:eastAsia="方正书宋_GBK"/>
              </w:rPr>
              <w:t>一府两院</w:t>
            </w:r>
            <w:r>
              <w:rPr>
                <w:rFonts w:hint="cs" w:ascii="方正书宋_GBK" w:eastAsia="方正书宋_GBK"/>
                <w:cs/>
              </w:rPr>
              <w:t>”</w:t>
            </w:r>
            <w:r>
              <w:rPr>
                <w:rFonts w:hint="eastAsia" w:ascii="方正书宋_GBK" w:eastAsia="方正书宋_GBK"/>
              </w:rPr>
              <w:t>改进工作；提高规范性文件质量；促进社会和谐稳定。</w:t>
            </w:r>
          </w:p>
        </w:tc>
        <w:tc>
          <w:tcPr>
            <w:tcW w:w="1417" w:type="dxa"/>
            <w:noWrap w:val="0"/>
            <w:vAlign w:val="center"/>
          </w:tcPr>
          <w:p w14:paraId="318A0B00">
            <w:pPr>
              <w:spacing w:line="300" w:lineRule="exact"/>
              <w:jc w:val="center"/>
              <w:rPr>
                <w:rFonts w:ascii="方正书宋_GBK" w:eastAsia="方正书宋_GBK"/>
              </w:rPr>
            </w:pPr>
            <w:r>
              <w:rPr>
                <w:rFonts w:hint="eastAsia" w:ascii="方正书宋_GBK" w:eastAsia="方正书宋_GBK"/>
              </w:rPr>
              <w:t>完成率</w:t>
            </w:r>
          </w:p>
        </w:tc>
        <w:tc>
          <w:tcPr>
            <w:tcW w:w="737" w:type="dxa"/>
            <w:noWrap w:val="0"/>
            <w:vAlign w:val="center"/>
          </w:tcPr>
          <w:p w14:paraId="5205623A">
            <w:pPr>
              <w:spacing w:line="300" w:lineRule="exact"/>
              <w:jc w:val="center"/>
              <w:rPr>
                <w:rFonts w:ascii="方正书宋_GBK" w:eastAsia="方正书宋_GBK"/>
              </w:rPr>
            </w:pPr>
            <w:r>
              <w:rPr>
                <w:rFonts w:hint="eastAsia" w:ascii="方正书宋_GBK" w:eastAsia="方正书宋_GBK"/>
              </w:rPr>
              <w:t>≥10</w:t>
            </w:r>
            <w:r>
              <w:rPr>
                <w:rFonts w:ascii="方正书宋_GBK" w:eastAsia="方正书宋_GBK"/>
              </w:rPr>
              <w:t>0%</w:t>
            </w:r>
          </w:p>
        </w:tc>
        <w:tc>
          <w:tcPr>
            <w:tcW w:w="737" w:type="dxa"/>
            <w:noWrap w:val="0"/>
            <w:vAlign w:val="center"/>
          </w:tcPr>
          <w:p w14:paraId="374B448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4D905CE5">
            <w:pPr>
              <w:spacing w:line="300" w:lineRule="exact"/>
              <w:jc w:val="center"/>
              <w:rPr>
                <w:rFonts w:ascii="方正书宋_GBK" w:eastAsia="方正书宋_GBK"/>
              </w:rPr>
            </w:pPr>
            <w:r>
              <w:rPr>
                <w:rFonts w:hint="eastAsia" w:ascii="方正书宋_GBK" w:eastAsia="方正书宋_GBK"/>
              </w:rPr>
              <w:t>≥80</w:t>
            </w:r>
            <w:r>
              <w:rPr>
                <w:rFonts w:ascii="方正书宋_GBK" w:eastAsia="方正书宋_GBK"/>
              </w:rPr>
              <w:t>%</w:t>
            </w:r>
          </w:p>
        </w:tc>
        <w:tc>
          <w:tcPr>
            <w:tcW w:w="737" w:type="dxa"/>
            <w:noWrap w:val="0"/>
            <w:vAlign w:val="center"/>
          </w:tcPr>
          <w:p w14:paraId="17A4436F">
            <w:pPr>
              <w:spacing w:line="300" w:lineRule="exact"/>
              <w:jc w:val="center"/>
              <w:rPr>
                <w:rFonts w:ascii="方正书宋_GBK" w:eastAsia="方正书宋_GBK"/>
              </w:rPr>
            </w:pPr>
            <w:r>
              <w:rPr>
                <w:rFonts w:hint="eastAsia" w:ascii="方正书宋_GBK" w:eastAsia="方正书宋_GBK"/>
              </w:rPr>
              <w:t>≥7</w:t>
            </w:r>
            <w:r>
              <w:rPr>
                <w:rFonts w:ascii="方正书宋_GBK" w:eastAsia="方正书宋_GBK"/>
              </w:rPr>
              <w:t>0%</w:t>
            </w:r>
          </w:p>
        </w:tc>
      </w:tr>
      <w:tr w14:paraId="1C01C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00" w:hRule="atLeast"/>
          <w:jc w:val="center"/>
        </w:trPr>
        <w:tc>
          <w:tcPr>
            <w:tcW w:w="2341" w:type="dxa"/>
            <w:noWrap w:val="0"/>
            <w:vAlign w:val="center"/>
          </w:tcPr>
          <w:p w14:paraId="06E41913">
            <w:pPr>
              <w:spacing w:line="300" w:lineRule="exact"/>
              <w:jc w:val="center"/>
              <w:rPr>
                <w:rFonts w:hint="eastAsia" w:ascii="方正书宋_GBK" w:eastAsia="方正书宋_GBK"/>
                <w:b/>
              </w:rPr>
            </w:pPr>
            <w:r>
              <w:rPr>
                <w:rFonts w:hint="eastAsia" w:ascii="方正书宋_GBK" w:eastAsia="方正书宋_GBK"/>
                <w:b/>
              </w:rPr>
              <w:t>专门委员会、常委及代表活动</w:t>
            </w:r>
          </w:p>
        </w:tc>
        <w:tc>
          <w:tcPr>
            <w:tcW w:w="1276" w:type="dxa"/>
            <w:noWrap w:val="0"/>
            <w:vAlign w:val="center"/>
          </w:tcPr>
          <w:p w14:paraId="0BF33385">
            <w:pPr>
              <w:spacing w:line="300" w:lineRule="exact"/>
              <w:jc w:val="left"/>
              <w:rPr>
                <w:rFonts w:ascii="方正书宋_GBK" w:eastAsia="方正书宋_GBK"/>
              </w:rPr>
            </w:pPr>
          </w:p>
        </w:tc>
        <w:tc>
          <w:tcPr>
            <w:tcW w:w="2976" w:type="dxa"/>
            <w:noWrap w:val="0"/>
            <w:vAlign w:val="center"/>
          </w:tcPr>
          <w:p w14:paraId="53DA7623">
            <w:pPr>
              <w:spacing w:line="300" w:lineRule="exact"/>
              <w:jc w:val="left"/>
              <w:rPr>
                <w:rFonts w:hint="eastAsia" w:ascii="方正书宋_GBK" w:eastAsia="方正书宋_GBK"/>
              </w:rPr>
            </w:pPr>
            <w:r>
              <w:rPr>
                <w:rFonts w:hint="eastAsia" w:ascii="方正书宋_GBK" w:eastAsia="方正书宋_GBK"/>
              </w:rPr>
              <w:t>组织专门委员会委员、各工作委员会及特聘专家进行对法律实施情况进行执法检查；组织县人大常委</w:t>
            </w:r>
            <w:r>
              <w:rPr>
                <w:rFonts w:hint="eastAsia" w:ascii="方正书宋_GBK" w:eastAsia="方正书宋_GBK"/>
                <w:lang w:val="en-US" w:eastAsia="zh-CN"/>
              </w:rPr>
              <w:t>会委员</w:t>
            </w:r>
            <w:r>
              <w:rPr>
                <w:rFonts w:hint="eastAsia" w:ascii="方正书宋_GBK" w:eastAsia="方正书宋_GBK"/>
              </w:rPr>
              <w:t>及县人大代表进行执法检查和集中视察；开展代表建议督办；组织对常委及代表培训。</w:t>
            </w:r>
          </w:p>
        </w:tc>
        <w:tc>
          <w:tcPr>
            <w:tcW w:w="2976" w:type="dxa"/>
            <w:noWrap w:val="0"/>
            <w:vAlign w:val="center"/>
          </w:tcPr>
          <w:p w14:paraId="1BBB01C6">
            <w:pPr>
              <w:spacing w:line="300" w:lineRule="exact"/>
              <w:jc w:val="left"/>
              <w:rPr>
                <w:rFonts w:hint="eastAsia" w:ascii="方正书宋_GBK" w:eastAsia="方正书宋_GBK"/>
              </w:rPr>
            </w:pPr>
            <w:r>
              <w:rPr>
                <w:rFonts w:hint="eastAsia" w:ascii="方正书宋_GBK" w:eastAsia="方正书宋_GBK"/>
              </w:rPr>
              <w:t>发挥常委及代表的作用，集中反映民意，促进依法履职。</w:t>
            </w:r>
          </w:p>
        </w:tc>
        <w:tc>
          <w:tcPr>
            <w:tcW w:w="1417" w:type="dxa"/>
            <w:noWrap w:val="0"/>
            <w:vAlign w:val="center"/>
          </w:tcPr>
          <w:p w14:paraId="0B621070">
            <w:pPr>
              <w:spacing w:line="300" w:lineRule="exact"/>
              <w:jc w:val="center"/>
              <w:rPr>
                <w:rFonts w:ascii="方正书宋_GBK" w:eastAsia="方正书宋_GBK"/>
              </w:rPr>
            </w:pPr>
            <w:r>
              <w:rPr>
                <w:rFonts w:hint="eastAsia" w:ascii="方正书宋_GBK" w:eastAsia="方正书宋_GBK"/>
              </w:rPr>
              <w:t>完成率</w:t>
            </w:r>
          </w:p>
        </w:tc>
        <w:tc>
          <w:tcPr>
            <w:tcW w:w="737" w:type="dxa"/>
            <w:noWrap w:val="0"/>
            <w:vAlign w:val="center"/>
          </w:tcPr>
          <w:p w14:paraId="1BBB2C2D">
            <w:pPr>
              <w:spacing w:line="300" w:lineRule="exact"/>
              <w:jc w:val="center"/>
              <w:rPr>
                <w:rFonts w:ascii="方正书宋_GBK" w:eastAsia="方正书宋_GBK"/>
              </w:rPr>
            </w:pPr>
            <w:r>
              <w:rPr>
                <w:rFonts w:hint="eastAsia" w:ascii="方正书宋_GBK" w:eastAsia="方正书宋_GBK"/>
              </w:rPr>
              <w:t>≥10</w:t>
            </w:r>
            <w:r>
              <w:rPr>
                <w:rFonts w:ascii="方正书宋_GBK" w:eastAsia="方正书宋_GBK"/>
              </w:rPr>
              <w:t>0%</w:t>
            </w:r>
          </w:p>
        </w:tc>
        <w:tc>
          <w:tcPr>
            <w:tcW w:w="737" w:type="dxa"/>
            <w:noWrap w:val="0"/>
            <w:vAlign w:val="center"/>
          </w:tcPr>
          <w:p w14:paraId="48E3136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3F65C9C9">
            <w:pPr>
              <w:spacing w:line="300" w:lineRule="exact"/>
              <w:jc w:val="center"/>
              <w:rPr>
                <w:rFonts w:ascii="方正书宋_GBK" w:eastAsia="方正书宋_GBK"/>
              </w:rPr>
            </w:pPr>
            <w:r>
              <w:rPr>
                <w:rFonts w:hint="eastAsia" w:ascii="方正书宋_GBK" w:eastAsia="方正书宋_GBK"/>
              </w:rPr>
              <w:t>≥80</w:t>
            </w:r>
            <w:r>
              <w:rPr>
                <w:rFonts w:ascii="方正书宋_GBK" w:eastAsia="方正书宋_GBK"/>
              </w:rPr>
              <w:t>%</w:t>
            </w:r>
          </w:p>
        </w:tc>
        <w:tc>
          <w:tcPr>
            <w:tcW w:w="737" w:type="dxa"/>
            <w:noWrap w:val="0"/>
            <w:vAlign w:val="center"/>
          </w:tcPr>
          <w:p w14:paraId="1D32C9AB">
            <w:pPr>
              <w:spacing w:line="300" w:lineRule="exact"/>
              <w:jc w:val="center"/>
              <w:rPr>
                <w:rFonts w:ascii="方正书宋_GBK" w:eastAsia="方正书宋_GBK"/>
              </w:rPr>
            </w:pPr>
            <w:r>
              <w:rPr>
                <w:rFonts w:hint="eastAsia" w:ascii="方正书宋_GBK" w:eastAsia="方正书宋_GBK"/>
              </w:rPr>
              <w:t>≥7</w:t>
            </w:r>
            <w:r>
              <w:rPr>
                <w:rFonts w:ascii="方正书宋_GBK" w:eastAsia="方正书宋_GBK"/>
              </w:rPr>
              <w:t>0%</w:t>
            </w:r>
          </w:p>
        </w:tc>
      </w:tr>
      <w:tr w14:paraId="568BD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11" w:hRule="atLeast"/>
          <w:jc w:val="center"/>
        </w:trPr>
        <w:tc>
          <w:tcPr>
            <w:tcW w:w="2341" w:type="dxa"/>
            <w:noWrap w:val="0"/>
            <w:vAlign w:val="center"/>
          </w:tcPr>
          <w:p w14:paraId="77D82164">
            <w:pPr>
              <w:spacing w:line="300" w:lineRule="exact"/>
              <w:jc w:val="center"/>
              <w:rPr>
                <w:rFonts w:hint="eastAsia" w:ascii="方正书宋_GBK" w:eastAsia="方正书宋_GBK"/>
                <w:b/>
              </w:rPr>
            </w:pPr>
            <w:r>
              <w:rPr>
                <w:rFonts w:hint="eastAsia" w:ascii="方正书宋_GBK" w:eastAsia="方正书宋_GBK"/>
                <w:b/>
              </w:rPr>
              <w:t>人大会议</w:t>
            </w:r>
          </w:p>
        </w:tc>
        <w:tc>
          <w:tcPr>
            <w:tcW w:w="1276" w:type="dxa"/>
            <w:noWrap w:val="0"/>
            <w:vAlign w:val="center"/>
          </w:tcPr>
          <w:p w14:paraId="13525483">
            <w:pPr>
              <w:spacing w:line="300" w:lineRule="exact"/>
              <w:jc w:val="left"/>
              <w:rPr>
                <w:rFonts w:ascii="方正书宋_GBK" w:eastAsia="方正书宋_GBK"/>
              </w:rPr>
            </w:pPr>
          </w:p>
        </w:tc>
        <w:tc>
          <w:tcPr>
            <w:tcW w:w="2976" w:type="dxa"/>
            <w:noWrap w:val="0"/>
            <w:vAlign w:val="center"/>
          </w:tcPr>
          <w:p w14:paraId="535D5277">
            <w:pPr>
              <w:spacing w:line="300" w:lineRule="exact"/>
              <w:jc w:val="left"/>
              <w:rPr>
                <w:rFonts w:hint="eastAsia" w:ascii="方正书宋_GBK" w:eastAsia="方正书宋_GBK"/>
              </w:rPr>
            </w:pPr>
            <w:r>
              <w:rPr>
                <w:rFonts w:hint="eastAsia" w:ascii="方正书宋_GBK" w:eastAsia="方正书宋_GBK"/>
              </w:rPr>
              <w:t>承担县人民代表大会和常务委员会各种会议的筹备、会务工作，负责常委会文件起草、审核把关，常委会会议、主任会议及常委会党组会议决定事项、工作部署、重要文件及领导批示的传达和督办。</w:t>
            </w:r>
          </w:p>
        </w:tc>
        <w:tc>
          <w:tcPr>
            <w:tcW w:w="2976" w:type="dxa"/>
            <w:noWrap w:val="0"/>
            <w:vAlign w:val="center"/>
          </w:tcPr>
          <w:p w14:paraId="5982CBDB">
            <w:pPr>
              <w:spacing w:line="300" w:lineRule="exact"/>
              <w:jc w:val="center"/>
              <w:rPr>
                <w:rFonts w:hint="eastAsia" w:ascii="方正书宋_GBK" w:eastAsia="方正书宋_GBK"/>
              </w:rPr>
            </w:pPr>
            <w:r>
              <w:rPr>
                <w:rFonts w:hint="eastAsia" w:ascii="方正书宋_GBK" w:eastAsia="方正书宋_GBK"/>
              </w:rPr>
              <w:t>完善各项会议制度，规范会议程序，提高会议质量，提高人大代表及常委会审议水平。</w:t>
            </w:r>
          </w:p>
        </w:tc>
        <w:tc>
          <w:tcPr>
            <w:tcW w:w="1417" w:type="dxa"/>
            <w:noWrap w:val="0"/>
            <w:vAlign w:val="center"/>
          </w:tcPr>
          <w:p w14:paraId="18D0D20F">
            <w:pPr>
              <w:spacing w:line="300" w:lineRule="exact"/>
              <w:jc w:val="center"/>
              <w:rPr>
                <w:rFonts w:hint="eastAsia" w:ascii="方正书宋_GBK" w:eastAsia="方正书宋_GBK"/>
              </w:rPr>
            </w:pPr>
            <w:r>
              <w:rPr>
                <w:rFonts w:hint="eastAsia" w:ascii="方正书宋_GBK" w:eastAsia="方正书宋_GBK"/>
              </w:rPr>
              <w:t>完成率</w:t>
            </w:r>
          </w:p>
        </w:tc>
        <w:tc>
          <w:tcPr>
            <w:tcW w:w="737" w:type="dxa"/>
            <w:noWrap w:val="0"/>
            <w:vAlign w:val="center"/>
          </w:tcPr>
          <w:p w14:paraId="5D869109">
            <w:pPr>
              <w:spacing w:line="300" w:lineRule="exact"/>
              <w:jc w:val="center"/>
              <w:rPr>
                <w:rFonts w:ascii="方正书宋_GBK" w:eastAsia="方正书宋_GBK"/>
              </w:rPr>
            </w:pPr>
            <w:r>
              <w:rPr>
                <w:rFonts w:hint="eastAsia" w:ascii="方正书宋_GBK" w:eastAsia="方正书宋_GBK"/>
              </w:rPr>
              <w:t>≥10</w:t>
            </w:r>
            <w:r>
              <w:rPr>
                <w:rFonts w:ascii="方正书宋_GBK" w:eastAsia="方正书宋_GBK"/>
              </w:rPr>
              <w:t>0%</w:t>
            </w:r>
          </w:p>
        </w:tc>
        <w:tc>
          <w:tcPr>
            <w:tcW w:w="737" w:type="dxa"/>
            <w:noWrap w:val="0"/>
            <w:vAlign w:val="center"/>
          </w:tcPr>
          <w:p w14:paraId="13D6659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174E336A">
            <w:pPr>
              <w:spacing w:line="300" w:lineRule="exact"/>
              <w:jc w:val="center"/>
              <w:rPr>
                <w:rFonts w:ascii="方正书宋_GBK" w:eastAsia="方正书宋_GBK"/>
              </w:rPr>
            </w:pPr>
            <w:r>
              <w:rPr>
                <w:rFonts w:hint="eastAsia" w:ascii="方正书宋_GBK" w:eastAsia="方正书宋_GBK"/>
              </w:rPr>
              <w:t>≥80</w:t>
            </w:r>
            <w:r>
              <w:rPr>
                <w:rFonts w:ascii="方正书宋_GBK" w:eastAsia="方正书宋_GBK"/>
              </w:rPr>
              <w:t>%</w:t>
            </w:r>
          </w:p>
        </w:tc>
        <w:tc>
          <w:tcPr>
            <w:tcW w:w="737" w:type="dxa"/>
            <w:noWrap w:val="0"/>
            <w:vAlign w:val="center"/>
          </w:tcPr>
          <w:p w14:paraId="4E73D8F0">
            <w:pPr>
              <w:spacing w:line="300" w:lineRule="exact"/>
              <w:jc w:val="center"/>
              <w:rPr>
                <w:rFonts w:ascii="方正书宋_GBK" w:eastAsia="方正书宋_GBK"/>
              </w:rPr>
            </w:pPr>
            <w:r>
              <w:rPr>
                <w:rFonts w:hint="eastAsia" w:ascii="方正书宋_GBK" w:eastAsia="方正书宋_GBK"/>
              </w:rPr>
              <w:t>≥7</w:t>
            </w:r>
            <w:r>
              <w:rPr>
                <w:rFonts w:ascii="方正书宋_GBK" w:eastAsia="方正书宋_GBK"/>
              </w:rPr>
              <w:t>0%</w:t>
            </w:r>
          </w:p>
        </w:tc>
      </w:tr>
      <w:tr w14:paraId="043FD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14:paraId="2F7F1EC7">
            <w:pPr>
              <w:spacing w:line="300" w:lineRule="exact"/>
              <w:jc w:val="center"/>
              <w:rPr>
                <w:rFonts w:hint="eastAsia" w:ascii="方正书宋_GBK" w:eastAsia="方正书宋_GBK"/>
                <w:b/>
              </w:rPr>
            </w:pPr>
            <w:r>
              <w:rPr>
                <w:rFonts w:hint="eastAsia" w:ascii="方正书宋_GBK" w:eastAsia="方正书宋_GBK"/>
                <w:b/>
              </w:rPr>
              <w:t>选举和任免</w:t>
            </w:r>
          </w:p>
        </w:tc>
        <w:tc>
          <w:tcPr>
            <w:tcW w:w="1276" w:type="dxa"/>
            <w:noWrap w:val="0"/>
            <w:vAlign w:val="center"/>
          </w:tcPr>
          <w:p w14:paraId="339345C6">
            <w:pPr>
              <w:spacing w:line="300" w:lineRule="exact"/>
              <w:jc w:val="left"/>
              <w:rPr>
                <w:rFonts w:ascii="方正书宋_GBK" w:eastAsia="方正书宋_GBK"/>
              </w:rPr>
            </w:pPr>
          </w:p>
        </w:tc>
        <w:tc>
          <w:tcPr>
            <w:tcW w:w="2976" w:type="dxa"/>
            <w:noWrap w:val="0"/>
            <w:vAlign w:val="center"/>
          </w:tcPr>
          <w:p w14:paraId="6B6770F2">
            <w:pPr>
              <w:spacing w:line="300" w:lineRule="exact"/>
              <w:jc w:val="left"/>
              <w:rPr>
                <w:rFonts w:hint="eastAsia" w:ascii="方正书宋_GBK" w:eastAsia="方正书宋_GBK"/>
              </w:rPr>
            </w:pPr>
            <w:r>
              <w:rPr>
                <w:rFonts w:hint="eastAsia" w:ascii="方正书宋_GBK" w:eastAsia="方正书宋_GBK"/>
              </w:rPr>
              <w:t>检查监督代表法、选举法及其实施办法的贯彻实施；承担人大换届选举及人事任免服务工作；负责对县政府组成人员和县级人民法院、县人民检察院主要负责人的目标责任书、述职报告的督办工作。</w:t>
            </w:r>
          </w:p>
        </w:tc>
        <w:tc>
          <w:tcPr>
            <w:tcW w:w="2976" w:type="dxa"/>
            <w:noWrap w:val="0"/>
            <w:vAlign w:val="center"/>
          </w:tcPr>
          <w:p w14:paraId="4A4925D6">
            <w:pPr>
              <w:spacing w:line="300" w:lineRule="exact"/>
              <w:ind w:firstLine="240" w:firstLineChars="100"/>
              <w:jc w:val="left"/>
              <w:rPr>
                <w:rFonts w:hint="eastAsia" w:ascii="方正书宋_GBK" w:eastAsia="方正书宋_GBK"/>
              </w:rPr>
            </w:pPr>
            <w:r>
              <w:rPr>
                <w:rFonts w:hint="eastAsia" w:ascii="方正书宋_GBK" w:eastAsia="方正书宋_GBK"/>
              </w:rPr>
              <w:t>确保换届选举工作顺利完成，实现省市和县委人事安排部署；提高组织换届选举工作</w:t>
            </w:r>
            <w:r>
              <w:rPr>
                <w:rFonts w:hint="eastAsia" w:ascii="方正书宋_GBK" w:eastAsia="方正书宋_GBK"/>
                <w:lang w:val="en-US" w:eastAsia="zh-CN"/>
              </w:rPr>
              <w:t xml:space="preserve"> 水</w:t>
            </w:r>
            <w:r>
              <w:rPr>
                <w:rFonts w:hint="eastAsia" w:ascii="方正书宋_GBK" w:eastAsia="方正书宋_GBK"/>
              </w:rPr>
              <w:t>平。</w:t>
            </w:r>
          </w:p>
        </w:tc>
        <w:tc>
          <w:tcPr>
            <w:tcW w:w="1417" w:type="dxa"/>
            <w:noWrap w:val="0"/>
            <w:vAlign w:val="center"/>
          </w:tcPr>
          <w:p w14:paraId="159FBC4E">
            <w:pPr>
              <w:spacing w:line="300" w:lineRule="exact"/>
              <w:jc w:val="center"/>
              <w:rPr>
                <w:rFonts w:hint="eastAsia" w:ascii="方正书宋_GBK" w:eastAsia="方正书宋_GBK"/>
              </w:rPr>
            </w:pPr>
            <w:r>
              <w:rPr>
                <w:rFonts w:hint="eastAsia" w:ascii="方正书宋_GBK" w:eastAsia="方正书宋_GBK"/>
              </w:rPr>
              <w:t>完成率</w:t>
            </w:r>
          </w:p>
        </w:tc>
        <w:tc>
          <w:tcPr>
            <w:tcW w:w="737" w:type="dxa"/>
            <w:noWrap w:val="0"/>
            <w:vAlign w:val="center"/>
          </w:tcPr>
          <w:p w14:paraId="5CDF4B7B">
            <w:pPr>
              <w:spacing w:line="300" w:lineRule="exact"/>
              <w:jc w:val="center"/>
              <w:rPr>
                <w:rFonts w:ascii="方正书宋_GBK" w:eastAsia="方正书宋_GBK"/>
              </w:rPr>
            </w:pPr>
            <w:r>
              <w:rPr>
                <w:rFonts w:hint="eastAsia" w:ascii="方正书宋_GBK" w:eastAsia="方正书宋_GBK"/>
              </w:rPr>
              <w:t>≥10</w:t>
            </w:r>
            <w:r>
              <w:rPr>
                <w:rFonts w:ascii="方正书宋_GBK" w:eastAsia="方正书宋_GBK"/>
              </w:rPr>
              <w:t>0%</w:t>
            </w:r>
          </w:p>
        </w:tc>
        <w:tc>
          <w:tcPr>
            <w:tcW w:w="737" w:type="dxa"/>
            <w:noWrap w:val="0"/>
            <w:vAlign w:val="center"/>
          </w:tcPr>
          <w:p w14:paraId="3D68B00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58045034">
            <w:pPr>
              <w:spacing w:line="300" w:lineRule="exact"/>
              <w:jc w:val="center"/>
              <w:rPr>
                <w:rFonts w:ascii="方正书宋_GBK" w:eastAsia="方正书宋_GBK"/>
              </w:rPr>
            </w:pPr>
            <w:r>
              <w:rPr>
                <w:rFonts w:hint="eastAsia" w:ascii="方正书宋_GBK" w:eastAsia="方正书宋_GBK"/>
              </w:rPr>
              <w:t>≥80</w:t>
            </w:r>
            <w:r>
              <w:rPr>
                <w:rFonts w:ascii="方正书宋_GBK" w:eastAsia="方正书宋_GBK"/>
              </w:rPr>
              <w:t>%</w:t>
            </w:r>
          </w:p>
        </w:tc>
        <w:tc>
          <w:tcPr>
            <w:tcW w:w="737" w:type="dxa"/>
            <w:noWrap w:val="0"/>
            <w:vAlign w:val="center"/>
          </w:tcPr>
          <w:p w14:paraId="1B852C73">
            <w:pPr>
              <w:spacing w:line="300" w:lineRule="exact"/>
              <w:jc w:val="center"/>
              <w:rPr>
                <w:rFonts w:ascii="方正书宋_GBK" w:eastAsia="方正书宋_GBK"/>
              </w:rPr>
            </w:pPr>
            <w:r>
              <w:rPr>
                <w:rFonts w:hint="eastAsia" w:ascii="方正书宋_GBK" w:eastAsia="方正书宋_GBK"/>
              </w:rPr>
              <w:t>≥7</w:t>
            </w:r>
            <w:r>
              <w:rPr>
                <w:rFonts w:ascii="方正书宋_GBK" w:eastAsia="方正书宋_GBK"/>
              </w:rPr>
              <w:t>0%</w:t>
            </w:r>
          </w:p>
        </w:tc>
      </w:tr>
      <w:tr w14:paraId="1466C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56" w:hRule="atLeast"/>
          <w:jc w:val="center"/>
        </w:trPr>
        <w:tc>
          <w:tcPr>
            <w:tcW w:w="2341" w:type="dxa"/>
            <w:noWrap w:val="0"/>
            <w:vAlign w:val="center"/>
          </w:tcPr>
          <w:p w14:paraId="21B8EF9B">
            <w:pPr>
              <w:spacing w:line="300" w:lineRule="exact"/>
              <w:jc w:val="center"/>
              <w:rPr>
                <w:rFonts w:hint="eastAsia" w:ascii="方正书宋_GBK" w:eastAsia="方正书宋_GBK"/>
                <w:b/>
              </w:rPr>
            </w:pPr>
            <w:r>
              <w:rPr>
                <w:rFonts w:hint="eastAsia" w:ascii="方正书宋_GBK" w:eastAsia="方正书宋_GBK"/>
                <w:b/>
              </w:rPr>
              <w:t>换届选举及人事任免</w:t>
            </w:r>
          </w:p>
        </w:tc>
        <w:tc>
          <w:tcPr>
            <w:tcW w:w="1276" w:type="dxa"/>
            <w:noWrap w:val="0"/>
            <w:vAlign w:val="center"/>
          </w:tcPr>
          <w:p w14:paraId="37BB7493">
            <w:pPr>
              <w:spacing w:line="300" w:lineRule="exact"/>
              <w:jc w:val="left"/>
              <w:rPr>
                <w:rFonts w:ascii="方正书宋_GBK" w:eastAsia="方正书宋_GBK"/>
              </w:rPr>
            </w:pPr>
          </w:p>
        </w:tc>
        <w:tc>
          <w:tcPr>
            <w:tcW w:w="2976" w:type="dxa"/>
            <w:noWrap w:val="0"/>
            <w:vAlign w:val="center"/>
          </w:tcPr>
          <w:p w14:paraId="51295B36">
            <w:pPr>
              <w:spacing w:line="300" w:lineRule="exact"/>
              <w:jc w:val="left"/>
              <w:rPr>
                <w:rFonts w:hint="eastAsia" w:ascii="方正书宋_GBK" w:eastAsia="方正书宋_GBK"/>
              </w:rPr>
            </w:pPr>
            <w:r>
              <w:rPr>
                <w:rFonts w:hint="eastAsia" w:ascii="方正书宋_GBK" w:eastAsia="方正书宋_GBK"/>
              </w:rPr>
              <w:t>承担县人大换届选举、县级国家机关领导人的选举和常委会人事任免的服务工作；指导市、县、乡人大换届选举工作；负责对县政府组成人员和县高级人民法院、县人民检察院主要负责人的目标责任书、述职报告的督办工作；对换届选举人员进行培训。</w:t>
            </w:r>
          </w:p>
        </w:tc>
        <w:tc>
          <w:tcPr>
            <w:tcW w:w="2976" w:type="dxa"/>
            <w:noWrap w:val="0"/>
            <w:vAlign w:val="center"/>
          </w:tcPr>
          <w:p w14:paraId="6CF1B528">
            <w:pPr>
              <w:spacing w:line="300" w:lineRule="exact"/>
              <w:jc w:val="left"/>
              <w:rPr>
                <w:rFonts w:hint="eastAsia" w:ascii="方正书宋_GBK" w:eastAsia="方正书宋_GBK"/>
              </w:rPr>
            </w:pPr>
            <w:r>
              <w:rPr>
                <w:rFonts w:hint="eastAsia" w:ascii="方正书宋_GBK" w:eastAsia="方正书宋_GBK"/>
              </w:rPr>
              <w:t>确保县人大和乡人大换届选举工作顺利完成，提高组织换届选举工作水平；高质量完成国家机关领导人选举和常委会人事任免服务工作；高效督办有关</w:t>
            </w:r>
            <w:r>
              <w:rPr>
                <w:rFonts w:hint="eastAsia" w:ascii="方正书宋_GBK" w:eastAsia="方正书宋_GBK"/>
                <w:lang w:eastAsia="zh-CN"/>
              </w:rPr>
              <w:t>本级</w:t>
            </w:r>
            <w:r>
              <w:rPr>
                <w:rFonts w:hint="eastAsia" w:ascii="方正书宋_GBK" w:eastAsia="方正书宋_GBK"/>
              </w:rPr>
              <w:t>负责人的目标责任书和述职报告。</w:t>
            </w:r>
          </w:p>
        </w:tc>
        <w:tc>
          <w:tcPr>
            <w:tcW w:w="1417" w:type="dxa"/>
            <w:noWrap w:val="0"/>
            <w:vAlign w:val="center"/>
          </w:tcPr>
          <w:p w14:paraId="6BCE8AF1">
            <w:pPr>
              <w:spacing w:line="300" w:lineRule="exact"/>
              <w:jc w:val="center"/>
              <w:rPr>
                <w:rFonts w:ascii="方正书宋_GBK" w:eastAsia="方正书宋_GBK"/>
              </w:rPr>
            </w:pPr>
          </w:p>
          <w:p w14:paraId="7526482A">
            <w:pPr>
              <w:spacing w:line="300" w:lineRule="exact"/>
              <w:jc w:val="center"/>
              <w:rPr>
                <w:rFonts w:hint="eastAsia" w:ascii="方正书宋_GBK" w:eastAsia="方正书宋_GBK"/>
              </w:rPr>
            </w:pPr>
            <w:r>
              <w:rPr>
                <w:rFonts w:hint="eastAsia" w:ascii="方正书宋_GBK" w:eastAsia="方正书宋_GBK"/>
              </w:rPr>
              <w:t>完成率</w:t>
            </w:r>
          </w:p>
        </w:tc>
        <w:tc>
          <w:tcPr>
            <w:tcW w:w="737" w:type="dxa"/>
            <w:noWrap w:val="0"/>
            <w:vAlign w:val="center"/>
          </w:tcPr>
          <w:p w14:paraId="4616BF92">
            <w:pPr>
              <w:spacing w:line="300" w:lineRule="exact"/>
              <w:jc w:val="center"/>
              <w:rPr>
                <w:rFonts w:ascii="方正书宋_GBK" w:eastAsia="方正书宋_GBK"/>
              </w:rPr>
            </w:pPr>
            <w:r>
              <w:rPr>
                <w:rFonts w:hint="eastAsia" w:ascii="方正书宋_GBK" w:eastAsia="方正书宋_GBK"/>
              </w:rPr>
              <w:t>≥10</w:t>
            </w:r>
            <w:r>
              <w:rPr>
                <w:rFonts w:ascii="方正书宋_GBK" w:eastAsia="方正书宋_GBK"/>
              </w:rPr>
              <w:t>0%</w:t>
            </w:r>
          </w:p>
        </w:tc>
        <w:tc>
          <w:tcPr>
            <w:tcW w:w="737" w:type="dxa"/>
            <w:noWrap w:val="0"/>
            <w:vAlign w:val="center"/>
          </w:tcPr>
          <w:p w14:paraId="5D6DEE8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646C028B">
            <w:pPr>
              <w:spacing w:line="300" w:lineRule="exact"/>
              <w:jc w:val="center"/>
              <w:rPr>
                <w:rFonts w:ascii="方正书宋_GBK" w:eastAsia="方正书宋_GBK"/>
              </w:rPr>
            </w:pPr>
            <w:r>
              <w:rPr>
                <w:rFonts w:hint="eastAsia" w:ascii="方正书宋_GBK" w:eastAsia="方正书宋_GBK"/>
              </w:rPr>
              <w:t>≥80</w:t>
            </w:r>
            <w:r>
              <w:rPr>
                <w:rFonts w:ascii="方正书宋_GBK" w:eastAsia="方正书宋_GBK"/>
              </w:rPr>
              <w:t>%</w:t>
            </w:r>
          </w:p>
        </w:tc>
        <w:tc>
          <w:tcPr>
            <w:tcW w:w="737" w:type="dxa"/>
            <w:noWrap w:val="0"/>
            <w:vAlign w:val="center"/>
          </w:tcPr>
          <w:p w14:paraId="22D74E6D">
            <w:pPr>
              <w:spacing w:line="300" w:lineRule="exact"/>
              <w:jc w:val="center"/>
              <w:rPr>
                <w:rFonts w:ascii="方正书宋_GBK" w:eastAsia="方正书宋_GBK"/>
              </w:rPr>
            </w:pPr>
            <w:r>
              <w:rPr>
                <w:rFonts w:hint="eastAsia" w:ascii="方正书宋_GBK" w:eastAsia="方正书宋_GBK"/>
              </w:rPr>
              <w:t>≥7</w:t>
            </w:r>
            <w:r>
              <w:rPr>
                <w:rFonts w:ascii="方正书宋_GBK" w:eastAsia="方正书宋_GBK"/>
              </w:rPr>
              <w:t>0%</w:t>
            </w:r>
          </w:p>
        </w:tc>
      </w:tr>
      <w:tr w14:paraId="4A2BE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4" w:hRule="atLeast"/>
          <w:jc w:val="center"/>
        </w:trPr>
        <w:tc>
          <w:tcPr>
            <w:tcW w:w="2341" w:type="dxa"/>
            <w:noWrap w:val="0"/>
            <w:vAlign w:val="center"/>
          </w:tcPr>
          <w:p w14:paraId="152A8A5C">
            <w:pPr>
              <w:spacing w:line="300" w:lineRule="exact"/>
              <w:jc w:val="center"/>
              <w:rPr>
                <w:rFonts w:hint="eastAsia" w:ascii="方正书宋_GBK" w:eastAsia="方正书宋_GBK"/>
                <w:b/>
              </w:rPr>
            </w:pPr>
            <w:r>
              <w:rPr>
                <w:rFonts w:hint="eastAsia" w:ascii="方正书宋_GBK" w:eastAsia="方正书宋_GBK"/>
                <w:b/>
              </w:rPr>
              <w:t>人大事务管理</w:t>
            </w:r>
          </w:p>
        </w:tc>
        <w:tc>
          <w:tcPr>
            <w:tcW w:w="1276" w:type="dxa"/>
            <w:noWrap w:val="0"/>
            <w:vAlign w:val="center"/>
          </w:tcPr>
          <w:p w14:paraId="4E957C3B">
            <w:pPr>
              <w:spacing w:line="300" w:lineRule="exact"/>
              <w:jc w:val="left"/>
              <w:rPr>
                <w:rFonts w:ascii="方正书宋_GBK" w:eastAsia="方正书宋_GBK"/>
              </w:rPr>
            </w:pPr>
          </w:p>
        </w:tc>
        <w:tc>
          <w:tcPr>
            <w:tcW w:w="2976" w:type="dxa"/>
            <w:noWrap w:val="0"/>
            <w:vAlign w:val="center"/>
          </w:tcPr>
          <w:p w14:paraId="75C875E1">
            <w:pPr>
              <w:spacing w:line="300" w:lineRule="exact"/>
              <w:jc w:val="left"/>
              <w:rPr>
                <w:rFonts w:hint="eastAsia" w:ascii="方正书宋_GBK" w:eastAsia="方正书宋_GBK"/>
              </w:rPr>
            </w:pPr>
            <w:r>
              <w:rPr>
                <w:rFonts w:hint="eastAsia" w:ascii="方正书宋_GBK" w:eastAsia="方正书宋_GBK"/>
              </w:rPr>
              <w:t>新闻宣传和机关信息化建设与维护；人代会及常委会会议表决系统、机关基础设施建设与维护；县</w:t>
            </w:r>
            <w:r>
              <w:rPr>
                <w:rFonts w:hint="eastAsia" w:ascii="方正书宋_GBK" w:eastAsia="方正书宋_GBK"/>
                <w:lang w:eastAsia="zh-CN"/>
              </w:rPr>
              <w:t>人大常委会机关</w:t>
            </w:r>
            <w:r>
              <w:rPr>
                <w:rFonts w:hint="eastAsia" w:ascii="方正书宋_GBK" w:eastAsia="方正书宋_GBK"/>
              </w:rPr>
              <w:t>日常管理事务；公报、年检的编辑印刷；信访工作。</w:t>
            </w:r>
          </w:p>
        </w:tc>
        <w:tc>
          <w:tcPr>
            <w:tcW w:w="2976" w:type="dxa"/>
            <w:noWrap w:val="0"/>
            <w:vAlign w:val="center"/>
          </w:tcPr>
          <w:p w14:paraId="31A57102">
            <w:pPr>
              <w:spacing w:line="300" w:lineRule="exact"/>
              <w:jc w:val="left"/>
              <w:rPr>
                <w:rFonts w:hint="eastAsia" w:ascii="方正书宋_GBK" w:eastAsia="方正书宋_GBK"/>
              </w:rPr>
            </w:pPr>
            <w:r>
              <w:rPr>
                <w:rFonts w:hint="eastAsia" w:ascii="方正书宋_GBK" w:eastAsia="方正书宋_GBK"/>
              </w:rPr>
              <w:t>促进机关自身建设、服务保障能力进一步提升。</w:t>
            </w:r>
          </w:p>
        </w:tc>
        <w:tc>
          <w:tcPr>
            <w:tcW w:w="1417" w:type="dxa"/>
            <w:noWrap w:val="0"/>
            <w:vAlign w:val="center"/>
          </w:tcPr>
          <w:p w14:paraId="34215FBB">
            <w:pPr>
              <w:spacing w:line="300" w:lineRule="exact"/>
              <w:jc w:val="center"/>
              <w:rPr>
                <w:rFonts w:hint="eastAsia" w:ascii="方正书宋_GBK" w:eastAsia="方正书宋_GBK"/>
              </w:rPr>
            </w:pPr>
            <w:r>
              <w:rPr>
                <w:rFonts w:hint="eastAsia" w:ascii="方正书宋_GBK" w:eastAsia="方正书宋_GBK"/>
              </w:rPr>
              <w:t>完成率</w:t>
            </w:r>
          </w:p>
        </w:tc>
        <w:tc>
          <w:tcPr>
            <w:tcW w:w="737" w:type="dxa"/>
            <w:noWrap w:val="0"/>
            <w:vAlign w:val="center"/>
          </w:tcPr>
          <w:p w14:paraId="55E50221">
            <w:pPr>
              <w:spacing w:line="300" w:lineRule="exact"/>
              <w:jc w:val="center"/>
              <w:rPr>
                <w:rFonts w:ascii="方正书宋_GBK" w:eastAsia="方正书宋_GBK"/>
              </w:rPr>
            </w:pPr>
            <w:r>
              <w:rPr>
                <w:rFonts w:hint="eastAsia" w:ascii="方正书宋_GBK" w:eastAsia="方正书宋_GBK"/>
              </w:rPr>
              <w:t>≥10</w:t>
            </w:r>
            <w:r>
              <w:rPr>
                <w:rFonts w:ascii="方正书宋_GBK" w:eastAsia="方正书宋_GBK"/>
              </w:rPr>
              <w:t>0%</w:t>
            </w:r>
          </w:p>
        </w:tc>
        <w:tc>
          <w:tcPr>
            <w:tcW w:w="737" w:type="dxa"/>
            <w:noWrap w:val="0"/>
            <w:vAlign w:val="center"/>
          </w:tcPr>
          <w:p w14:paraId="665D24C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14593DAC">
            <w:pPr>
              <w:spacing w:line="300" w:lineRule="exact"/>
              <w:jc w:val="center"/>
              <w:rPr>
                <w:rFonts w:ascii="方正书宋_GBK" w:eastAsia="方正书宋_GBK"/>
              </w:rPr>
            </w:pPr>
            <w:r>
              <w:rPr>
                <w:rFonts w:hint="eastAsia" w:ascii="方正书宋_GBK" w:eastAsia="方正书宋_GBK"/>
              </w:rPr>
              <w:t>≥80</w:t>
            </w:r>
            <w:r>
              <w:rPr>
                <w:rFonts w:ascii="方正书宋_GBK" w:eastAsia="方正书宋_GBK"/>
              </w:rPr>
              <w:t>%</w:t>
            </w:r>
          </w:p>
        </w:tc>
        <w:tc>
          <w:tcPr>
            <w:tcW w:w="737" w:type="dxa"/>
            <w:noWrap w:val="0"/>
            <w:vAlign w:val="center"/>
          </w:tcPr>
          <w:p w14:paraId="2058F308">
            <w:pPr>
              <w:spacing w:line="300" w:lineRule="exact"/>
              <w:jc w:val="center"/>
              <w:rPr>
                <w:rFonts w:ascii="方正书宋_GBK" w:eastAsia="方正书宋_GBK"/>
              </w:rPr>
            </w:pPr>
            <w:r>
              <w:rPr>
                <w:rFonts w:hint="eastAsia" w:ascii="方正书宋_GBK" w:eastAsia="方正书宋_GBK"/>
              </w:rPr>
              <w:t>≥7</w:t>
            </w:r>
            <w:r>
              <w:rPr>
                <w:rFonts w:ascii="方正书宋_GBK" w:eastAsia="方正书宋_GBK"/>
              </w:rPr>
              <w:t>0%</w:t>
            </w:r>
          </w:p>
        </w:tc>
      </w:tr>
      <w:tr w14:paraId="01D4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0" w:hRule="atLeast"/>
          <w:jc w:val="center"/>
        </w:trPr>
        <w:tc>
          <w:tcPr>
            <w:tcW w:w="2341" w:type="dxa"/>
            <w:noWrap w:val="0"/>
            <w:vAlign w:val="center"/>
          </w:tcPr>
          <w:p w14:paraId="6618068C">
            <w:pPr>
              <w:spacing w:line="300" w:lineRule="exact"/>
              <w:jc w:val="left"/>
              <w:rPr>
                <w:rFonts w:hint="eastAsia" w:ascii="方正书宋_GBK" w:eastAsia="方正书宋_GBK"/>
                <w:b/>
              </w:rPr>
            </w:pPr>
            <w:r>
              <w:rPr>
                <w:rFonts w:hint="eastAsia" w:ascii="方正书宋_GBK" w:eastAsia="方正书宋_GBK"/>
                <w:b/>
              </w:rPr>
              <w:t>　　综合业务管理</w:t>
            </w:r>
          </w:p>
        </w:tc>
        <w:tc>
          <w:tcPr>
            <w:tcW w:w="1276" w:type="dxa"/>
            <w:noWrap w:val="0"/>
            <w:vAlign w:val="center"/>
          </w:tcPr>
          <w:p w14:paraId="4277F814">
            <w:pPr>
              <w:spacing w:line="300" w:lineRule="exact"/>
              <w:jc w:val="left"/>
              <w:rPr>
                <w:rFonts w:ascii="方正书宋_GBK" w:eastAsia="方正书宋_GBK"/>
              </w:rPr>
            </w:pPr>
          </w:p>
        </w:tc>
        <w:tc>
          <w:tcPr>
            <w:tcW w:w="2976" w:type="dxa"/>
            <w:noWrap w:val="0"/>
            <w:vAlign w:val="center"/>
          </w:tcPr>
          <w:p w14:paraId="4BD23D44">
            <w:pPr>
              <w:spacing w:line="300" w:lineRule="exact"/>
              <w:jc w:val="left"/>
              <w:rPr>
                <w:rFonts w:hint="eastAsia" w:ascii="方正书宋_GBK" w:eastAsia="方正书宋_GBK"/>
              </w:rPr>
            </w:pPr>
            <w:r>
              <w:rPr>
                <w:rFonts w:hint="eastAsia" w:ascii="方正书宋_GBK" w:eastAsia="方正书宋_GBK"/>
              </w:rPr>
              <w:t>办理来信来访，日常外事活动和县人大代表团出访事务，内外宾接待，常委会新闻发布和对外宣传，人大系列工作的宣传报道；会议表决系统建设与维护；代表大会和常委会会议公报、人大工作年鉴、大事记和组织史的编写及印刷；负责县内外人大常委会联系；重大课题调研。</w:t>
            </w:r>
          </w:p>
        </w:tc>
        <w:tc>
          <w:tcPr>
            <w:tcW w:w="2976" w:type="dxa"/>
            <w:noWrap w:val="0"/>
            <w:vAlign w:val="center"/>
          </w:tcPr>
          <w:p w14:paraId="4492D280">
            <w:pPr>
              <w:spacing w:line="300" w:lineRule="exact"/>
              <w:jc w:val="left"/>
              <w:rPr>
                <w:rFonts w:hint="eastAsia" w:ascii="方正书宋_GBK" w:eastAsia="方正书宋_GBK"/>
              </w:rPr>
            </w:pPr>
            <w:r>
              <w:rPr>
                <w:rFonts w:hint="eastAsia" w:ascii="方正书宋_GBK" w:eastAsia="方正书宋_GBK"/>
              </w:rPr>
              <w:t>保障新闻宣传与新闻发布工作正常开展，提高人大信息透明度和影响力；保障会议表决系统正常运转；网络与办公平台正常运行；促进社会和谐稳定。</w:t>
            </w:r>
          </w:p>
        </w:tc>
        <w:tc>
          <w:tcPr>
            <w:tcW w:w="1417" w:type="dxa"/>
            <w:noWrap w:val="0"/>
            <w:vAlign w:val="center"/>
          </w:tcPr>
          <w:p w14:paraId="4ACE287F">
            <w:pPr>
              <w:spacing w:line="300" w:lineRule="exact"/>
              <w:jc w:val="center"/>
              <w:rPr>
                <w:rFonts w:ascii="方正书宋_GBK" w:eastAsia="方正书宋_GBK"/>
              </w:rPr>
            </w:pPr>
            <w:r>
              <w:rPr>
                <w:rFonts w:hint="eastAsia" w:ascii="方正书宋_GBK" w:eastAsia="方正书宋_GBK"/>
              </w:rPr>
              <w:t>完成率</w:t>
            </w:r>
          </w:p>
          <w:p w14:paraId="0BFCFE9D">
            <w:pPr>
              <w:spacing w:line="300" w:lineRule="exact"/>
              <w:jc w:val="left"/>
              <w:rPr>
                <w:rFonts w:hint="eastAsia" w:ascii="方正书宋_GBK" w:eastAsia="方正书宋_GBK"/>
              </w:rPr>
            </w:pPr>
          </w:p>
        </w:tc>
        <w:tc>
          <w:tcPr>
            <w:tcW w:w="737" w:type="dxa"/>
            <w:noWrap w:val="0"/>
            <w:vAlign w:val="center"/>
          </w:tcPr>
          <w:p w14:paraId="775C54A1">
            <w:pPr>
              <w:spacing w:line="300" w:lineRule="exact"/>
              <w:jc w:val="center"/>
              <w:rPr>
                <w:rFonts w:ascii="方正书宋_GBK" w:eastAsia="方正书宋_GBK"/>
              </w:rPr>
            </w:pPr>
            <w:r>
              <w:rPr>
                <w:rFonts w:hint="eastAsia" w:ascii="方正书宋_GBK" w:eastAsia="方正书宋_GBK"/>
              </w:rPr>
              <w:t>≥10</w:t>
            </w:r>
            <w:r>
              <w:rPr>
                <w:rFonts w:ascii="方正书宋_GBK" w:eastAsia="方正书宋_GBK"/>
              </w:rPr>
              <w:t>0%</w:t>
            </w:r>
          </w:p>
        </w:tc>
        <w:tc>
          <w:tcPr>
            <w:tcW w:w="737" w:type="dxa"/>
            <w:noWrap w:val="0"/>
            <w:vAlign w:val="center"/>
          </w:tcPr>
          <w:p w14:paraId="30756EF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18FB52B7">
            <w:pPr>
              <w:spacing w:line="300" w:lineRule="exact"/>
              <w:jc w:val="center"/>
              <w:rPr>
                <w:rFonts w:ascii="方正书宋_GBK" w:eastAsia="方正书宋_GBK"/>
              </w:rPr>
            </w:pPr>
            <w:r>
              <w:rPr>
                <w:rFonts w:hint="eastAsia" w:ascii="方正书宋_GBK" w:eastAsia="方正书宋_GBK"/>
              </w:rPr>
              <w:t>≥80</w:t>
            </w:r>
            <w:r>
              <w:rPr>
                <w:rFonts w:ascii="方正书宋_GBK" w:eastAsia="方正书宋_GBK"/>
              </w:rPr>
              <w:t>%</w:t>
            </w:r>
          </w:p>
        </w:tc>
        <w:tc>
          <w:tcPr>
            <w:tcW w:w="737" w:type="dxa"/>
            <w:noWrap w:val="0"/>
            <w:vAlign w:val="center"/>
          </w:tcPr>
          <w:p w14:paraId="63096EC3">
            <w:pPr>
              <w:spacing w:line="300" w:lineRule="exact"/>
              <w:jc w:val="center"/>
              <w:rPr>
                <w:rFonts w:ascii="方正书宋_GBK" w:eastAsia="方正书宋_GBK"/>
              </w:rPr>
            </w:pPr>
            <w:r>
              <w:rPr>
                <w:rFonts w:hint="eastAsia" w:ascii="方正书宋_GBK" w:eastAsia="方正书宋_GBK"/>
              </w:rPr>
              <w:t>≥7</w:t>
            </w:r>
            <w:r>
              <w:rPr>
                <w:rFonts w:ascii="方正书宋_GBK" w:eastAsia="方正书宋_GBK"/>
              </w:rPr>
              <w:t>0%</w:t>
            </w:r>
          </w:p>
        </w:tc>
      </w:tr>
      <w:tr w14:paraId="21230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14:paraId="5D6D5D53">
            <w:pPr>
              <w:spacing w:line="300" w:lineRule="exact"/>
              <w:jc w:val="left"/>
              <w:rPr>
                <w:rFonts w:hint="eastAsia" w:ascii="方正书宋_GBK" w:eastAsia="方正书宋_GBK"/>
                <w:b/>
              </w:rPr>
            </w:pPr>
            <w:r>
              <w:rPr>
                <w:rFonts w:hint="eastAsia" w:ascii="方正书宋_GBK" w:eastAsia="方正书宋_GBK"/>
                <w:b/>
              </w:rPr>
              <w:t>　　综合事务管理</w:t>
            </w:r>
          </w:p>
        </w:tc>
        <w:tc>
          <w:tcPr>
            <w:tcW w:w="1276" w:type="dxa"/>
            <w:noWrap w:val="0"/>
            <w:vAlign w:val="center"/>
          </w:tcPr>
          <w:p w14:paraId="356E556B">
            <w:pPr>
              <w:spacing w:line="300" w:lineRule="exact"/>
              <w:jc w:val="left"/>
              <w:rPr>
                <w:rFonts w:ascii="方正书宋_GBK" w:eastAsia="方正书宋_GBK"/>
              </w:rPr>
            </w:pPr>
          </w:p>
        </w:tc>
        <w:tc>
          <w:tcPr>
            <w:tcW w:w="2976" w:type="dxa"/>
            <w:noWrap w:val="0"/>
            <w:vAlign w:val="center"/>
          </w:tcPr>
          <w:p w14:paraId="1E867D13">
            <w:pPr>
              <w:spacing w:line="300" w:lineRule="exact"/>
              <w:jc w:val="left"/>
              <w:rPr>
                <w:rFonts w:hint="eastAsia" w:ascii="方正书宋_GBK" w:eastAsia="方正书宋_GBK"/>
              </w:rPr>
            </w:pPr>
            <w:r>
              <w:rPr>
                <w:rFonts w:hint="eastAsia" w:ascii="方正书宋_GBK" w:eastAsia="方正书宋_GBK"/>
              </w:rPr>
              <w:t>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w:t>
            </w:r>
          </w:p>
        </w:tc>
        <w:tc>
          <w:tcPr>
            <w:tcW w:w="2976" w:type="dxa"/>
            <w:noWrap w:val="0"/>
            <w:vAlign w:val="center"/>
          </w:tcPr>
          <w:p w14:paraId="001A96A7">
            <w:pPr>
              <w:spacing w:line="300" w:lineRule="exact"/>
              <w:jc w:val="left"/>
              <w:rPr>
                <w:rFonts w:hint="eastAsia" w:ascii="方正书宋_GBK" w:eastAsia="方正书宋_GBK"/>
              </w:rPr>
            </w:pPr>
            <w:r>
              <w:rPr>
                <w:rFonts w:hint="eastAsia" w:ascii="方正书宋_GBK" w:eastAsia="方正书宋_GBK"/>
              </w:rPr>
              <w:t>机关基础设施设备正常运转，信息化保障、老干部服务保障能力进一步提高。</w:t>
            </w:r>
          </w:p>
        </w:tc>
        <w:tc>
          <w:tcPr>
            <w:tcW w:w="1417" w:type="dxa"/>
            <w:noWrap w:val="0"/>
            <w:vAlign w:val="center"/>
          </w:tcPr>
          <w:p w14:paraId="777DC9F0">
            <w:pPr>
              <w:spacing w:line="300" w:lineRule="exact"/>
              <w:jc w:val="center"/>
              <w:rPr>
                <w:rFonts w:hint="eastAsia" w:ascii="方正书宋_GBK" w:eastAsia="方正书宋_GBK"/>
              </w:rPr>
            </w:pPr>
            <w:r>
              <w:rPr>
                <w:rFonts w:hint="eastAsia" w:ascii="方正书宋_GBK" w:eastAsia="方正书宋_GBK"/>
              </w:rPr>
              <w:t>完成率</w:t>
            </w:r>
          </w:p>
        </w:tc>
        <w:tc>
          <w:tcPr>
            <w:tcW w:w="737" w:type="dxa"/>
            <w:noWrap w:val="0"/>
            <w:vAlign w:val="center"/>
          </w:tcPr>
          <w:p w14:paraId="34091BEB">
            <w:pPr>
              <w:spacing w:line="300" w:lineRule="exact"/>
              <w:jc w:val="center"/>
              <w:rPr>
                <w:rFonts w:ascii="方正书宋_GBK" w:eastAsia="方正书宋_GBK"/>
              </w:rPr>
            </w:pPr>
            <w:r>
              <w:rPr>
                <w:rFonts w:hint="eastAsia" w:ascii="方正书宋_GBK" w:eastAsia="方正书宋_GBK"/>
              </w:rPr>
              <w:t>≥10</w:t>
            </w:r>
            <w:r>
              <w:rPr>
                <w:rFonts w:ascii="方正书宋_GBK" w:eastAsia="方正书宋_GBK"/>
              </w:rPr>
              <w:t>0%</w:t>
            </w:r>
          </w:p>
        </w:tc>
        <w:tc>
          <w:tcPr>
            <w:tcW w:w="737" w:type="dxa"/>
            <w:noWrap w:val="0"/>
            <w:vAlign w:val="center"/>
          </w:tcPr>
          <w:p w14:paraId="1DD9E59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2ED2974A">
            <w:pPr>
              <w:spacing w:line="300" w:lineRule="exact"/>
              <w:jc w:val="center"/>
              <w:rPr>
                <w:rFonts w:ascii="方正书宋_GBK" w:eastAsia="方正书宋_GBK"/>
              </w:rPr>
            </w:pPr>
            <w:r>
              <w:rPr>
                <w:rFonts w:hint="eastAsia" w:ascii="方正书宋_GBK" w:eastAsia="方正书宋_GBK"/>
              </w:rPr>
              <w:t>≥80</w:t>
            </w:r>
            <w:r>
              <w:rPr>
                <w:rFonts w:ascii="方正书宋_GBK" w:eastAsia="方正书宋_GBK"/>
              </w:rPr>
              <w:t>%</w:t>
            </w:r>
          </w:p>
        </w:tc>
        <w:tc>
          <w:tcPr>
            <w:tcW w:w="737" w:type="dxa"/>
            <w:noWrap w:val="0"/>
            <w:vAlign w:val="center"/>
          </w:tcPr>
          <w:p w14:paraId="40F973D0">
            <w:pPr>
              <w:spacing w:line="300" w:lineRule="exact"/>
              <w:jc w:val="center"/>
              <w:rPr>
                <w:rFonts w:ascii="方正书宋_GBK" w:eastAsia="方正书宋_GBK"/>
              </w:rPr>
            </w:pPr>
            <w:r>
              <w:rPr>
                <w:rFonts w:hint="eastAsia" w:ascii="方正书宋_GBK" w:eastAsia="方正书宋_GBK"/>
              </w:rPr>
              <w:t>≥7</w:t>
            </w:r>
            <w:r>
              <w:rPr>
                <w:rFonts w:ascii="方正书宋_GBK" w:eastAsia="方正书宋_GBK"/>
              </w:rPr>
              <w:t>0%</w:t>
            </w:r>
          </w:p>
        </w:tc>
      </w:tr>
    </w:tbl>
    <w:p w14:paraId="4B32A242">
      <w:pPr>
        <w:spacing w:line="560" w:lineRule="exact"/>
        <w:rPr>
          <w:rFonts w:hint="eastAsia" w:ascii="宋体" w:hAnsi="宋体"/>
          <w:sz w:val="32"/>
          <w:szCs w:val="32"/>
        </w:rPr>
      </w:pPr>
    </w:p>
    <w:p w14:paraId="1C4263F6">
      <w:pPr>
        <w:tabs>
          <w:tab w:val="left" w:pos="1363"/>
        </w:tabs>
        <w:bidi w:val="0"/>
        <w:jc w:val="left"/>
        <w:rPr>
          <w:rFonts w:hint="eastAsia" w:ascii="Times New Roman" w:hAnsi="Times New Roman" w:eastAsia="宋体" w:cs="Times New Roman"/>
          <w:sz w:val="24"/>
          <w:szCs w:val="24"/>
          <w:lang w:val="en-US" w:eastAsia="zh-CN" w:bidi="ar-SA"/>
        </w:rPr>
      </w:pPr>
      <w:r>
        <w:object>
          <v:shape id="_x0000_i1042" o:spt="75" type="#_x0000_t75" style="height:493.25pt;width:760.75pt;" o:ole="t" filled="f" o:preferrelative="t" stroked="f" coordsize="21600,21600">
            <v:path/>
            <v:fill on="f" focussize="0,0"/>
            <v:stroke on="f"/>
            <v:imagedata r:id="rId43" o:title=""/>
            <o:lock v:ext="edit" aspectratio="f"/>
            <w10:wrap type="none"/>
            <w10:anchorlock/>
          </v:shape>
          <o:OLEObject Type="Embed" ProgID="Excel.Sheet.8" ShapeID="_x0000_i1042" DrawAspect="Content" ObjectID="_1468075742" r:id="rId42">
            <o:LockedField>false</o:LockedField>
          </o:OLEObject>
        </w:object>
      </w:r>
      <w:r>
        <w:object>
          <v:shape id="_x0000_i1043" o:spt="75" type="#_x0000_t75" style="height:521.75pt;width:773.5pt;" o:ole="t" filled="f" o:preferrelative="t" stroked="f" coordsize="21600,21600">
            <v:path/>
            <v:fill on="f" focussize="0,0"/>
            <v:stroke on="f"/>
            <v:imagedata r:id="rId45" o:title=""/>
            <o:lock v:ext="edit" aspectratio="f"/>
            <w10:wrap type="none"/>
            <w10:anchorlock/>
          </v:shape>
          <o:OLEObject Type="Embed" ProgID="Excel.Sheet.8" ShapeID="_x0000_i1043" DrawAspect="Content" ObjectID="_1468075743" r:id="rId44">
            <o:LockedField>false</o:LockedField>
          </o:OLEObject>
        </w:object>
      </w:r>
      <w:r>
        <w:object>
          <v:shape id="_x0000_i1044" o:spt="75" type="#_x0000_t75" style="height:523.2pt;width:771.3pt;" o:ole="t" filled="f" o:preferrelative="t" stroked="f" coordsize="21600,21600">
            <v:path/>
            <v:fill on="f" focussize="0,0"/>
            <v:stroke on="f"/>
            <v:imagedata r:id="rId47" o:title=""/>
            <o:lock v:ext="edit" aspectratio="f"/>
            <w10:wrap type="none"/>
            <w10:anchorlock/>
          </v:shape>
          <o:OLEObject Type="Embed" ProgID="Excel.Sheet.8" ShapeID="_x0000_i1044" DrawAspect="Content" ObjectID="_1468075744" r:id="rId46">
            <o:LockedField>false</o:LockedField>
          </o:OLEObject>
        </w:object>
      </w:r>
      <w:r>
        <w:object>
          <v:shape id="_x0000_i1045" o:spt="75" type="#_x0000_t75" style="height:518.7pt;width:773.5pt;" o:ole="t" filled="f" o:preferrelative="t" stroked="f" coordsize="21600,21600">
            <v:path/>
            <v:fill on="f" focussize="0,0"/>
            <v:stroke on="f"/>
            <v:imagedata r:id="rId49" o:title=""/>
            <o:lock v:ext="edit" aspectratio="f"/>
            <w10:wrap type="none"/>
            <w10:anchorlock/>
          </v:shape>
          <o:OLEObject Type="Embed" ProgID="Excel.Sheet.8" ShapeID="_x0000_i1045" DrawAspect="Content" ObjectID="_1468075745" r:id="rId48">
            <o:LockedField>false</o:LockedField>
          </o:OLEObject>
        </w:object>
      </w:r>
      <w:r>
        <w:object>
          <v:shape id="_x0000_i1046" o:spt="75" type="#_x0000_t75" style="height:517.95pt;width:772.75pt;" o:ole="t" filled="f" o:preferrelative="t" stroked="f" coordsize="21600,21600">
            <v:path/>
            <v:fill on="f" focussize="0,0"/>
            <v:stroke on="f"/>
            <v:imagedata r:id="rId51" o:title=""/>
            <o:lock v:ext="edit" aspectratio="f"/>
            <w10:wrap type="none"/>
            <w10:anchorlock/>
          </v:shape>
          <o:OLEObject Type="Embed" ProgID="Excel.Sheet.8" ShapeID="_x0000_i1046" DrawAspect="Content" ObjectID="_1468075746" r:id="rId50">
            <o:LockedField>false</o:LockedField>
          </o:OLEObject>
        </w:object>
      </w:r>
      <w:r>
        <w:object>
          <v:shape id="_x0000_i1047" o:spt="75" type="#_x0000_t75" style="height:522.5pt;width:772.75pt;" o:ole="t" filled="f" o:preferrelative="t" stroked="f" coordsize="21600,21600">
            <v:path/>
            <v:fill on="f" focussize="0,0"/>
            <v:stroke on="f"/>
            <v:imagedata r:id="rId53" o:title=""/>
            <o:lock v:ext="edit" aspectratio="f"/>
            <w10:wrap type="none"/>
            <w10:anchorlock/>
          </v:shape>
          <o:OLEObject Type="Embed" ProgID="Excel.Sheet.8" ShapeID="_x0000_i1047" DrawAspect="Content" ObjectID="_1468075747" r:id="rId52">
            <o:LockedField>false</o:LockedField>
          </o:OLEObject>
        </w:object>
      </w:r>
      <w:r>
        <w:object>
          <v:shape id="_x0000_i1048" o:spt="75" type="#_x0000_t75" style="height:523.2pt;width:771.3pt;" o:ole="t" filled="f" o:preferrelative="t" stroked="f" coordsize="21600,21600">
            <v:path/>
            <v:fill on="f" focussize="0,0"/>
            <v:stroke on="f"/>
            <v:imagedata r:id="rId55" o:title=""/>
            <o:lock v:ext="edit" aspectratio="f"/>
            <w10:wrap type="none"/>
            <w10:anchorlock/>
          </v:shape>
          <o:OLEObject Type="Embed" ProgID="Excel.Sheet.8" ShapeID="_x0000_i1048" DrawAspect="Content" ObjectID="_1468075748" r:id="rId54">
            <o:LockedField>false</o:LockedField>
          </o:OLEObject>
        </w:object>
      </w:r>
    </w:p>
    <w:p w14:paraId="4FAEC94A">
      <w:pPr>
        <w:spacing w:line="560" w:lineRule="exact"/>
        <w:ind w:firstLine="723" w:firstLineChars="200"/>
        <w:rPr>
          <w:rFonts w:hint="eastAsia" w:ascii="黑体" w:eastAsia="黑体" w:cs="FZFSK--GBK1-0"/>
          <w:b/>
          <w:kern w:val="0"/>
          <w:sz w:val="36"/>
          <w:szCs w:val="36"/>
        </w:rPr>
      </w:pPr>
      <w:r>
        <w:rPr>
          <w:rFonts w:hint="eastAsia" w:ascii="黑体" w:eastAsia="黑体" w:cs="FZFSK--GBK1-0"/>
          <w:b/>
          <w:kern w:val="0"/>
          <w:sz w:val="36"/>
          <w:szCs w:val="36"/>
        </w:rPr>
        <w:t>六、政府采购预算情况</w:t>
      </w:r>
    </w:p>
    <w:p w14:paraId="425A3EAC">
      <w:pPr>
        <w:ind w:firstLine="1120" w:firstLineChars="400"/>
        <w:rPr>
          <w:rFonts w:hint="eastAsia" w:eastAsia="方正仿宋_GBK"/>
          <w:kern w:val="2"/>
          <w:sz w:val="28"/>
          <w:szCs w:val="28"/>
          <w:lang w:val="en-US" w:eastAsia="zh-CN" w:bidi="ar-SA"/>
        </w:rPr>
      </w:pPr>
      <w:r>
        <w:rPr>
          <w:rFonts w:hint="eastAsia" w:eastAsia="方正仿宋_GBK"/>
          <w:kern w:val="2"/>
          <w:sz w:val="28"/>
          <w:szCs w:val="28"/>
          <w:lang w:val="en-US" w:eastAsia="zh-CN" w:bidi="ar-SA"/>
        </w:rPr>
        <w:t>2021年县级本级预算未安排我本级政府采购项。</w:t>
      </w:r>
    </w:p>
    <w:tbl>
      <w:tblPr>
        <w:tblStyle w:val="5"/>
        <w:tblpPr w:leftFromText="180" w:rightFromText="180" w:vertAnchor="text" w:horzAnchor="page" w:tblpX="1132" w:tblpY="386"/>
        <w:tblW w:w="0" w:type="auto"/>
        <w:tblInd w:w="0" w:type="dxa"/>
        <w:tblLayout w:type="fixed"/>
        <w:tblCellMar>
          <w:top w:w="0" w:type="dxa"/>
          <w:left w:w="108" w:type="dxa"/>
          <w:bottom w:w="0" w:type="dxa"/>
          <w:right w:w="108" w:type="dxa"/>
        </w:tblCellMar>
      </w:tblPr>
      <w:tblGrid>
        <w:gridCol w:w="3740"/>
        <w:gridCol w:w="1020"/>
        <w:gridCol w:w="1280"/>
        <w:gridCol w:w="1340"/>
        <w:gridCol w:w="1040"/>
        <w:gridCol w:w="700"/>
        <w:gridCol w:w="1020"/>
        <w:gridCol w:w="1260"/>
        <w:gridCol w:w="1260"/>
        <w:gridCol w:w="1140"/>
        <w:gridCol w:w="1160"/>
      </w:tblGrid>
      <w:tr w14:paraId="040F40E1">
        <w:tblPrEx>
          <w:tblCellMar>
            <w:top w:w="0" w:type="dxa"/>
            <w:left w:w="108" w:type="dxa"/>
            <w:bottom w:w="0" w:type="dxa"/>
            <w:right w:w="108" w:type="dxa"/>
          </w:tblCellMar>
        </w:tblPrEx>
        <w:trPr>
          <w:trHeight w:val="319" w:hRule="atLeast"/>
        </w:trPr>
        <w:tc>
          <w:tcPr>
            <w:tcW w:w="4760" w:type="dxa"/>
            <w:gridSpan w:val="2"/>
            <w:tcBorders>
              <w:top w:val="single" w:color="auto" w:sz="4" w:space="0"/>
              <w:left w:val="single" w:color="auto" w:sz="4" w:space="0"/>
              <w:bottom w:val="single" w:color="auto" w:sz="4" w:space="0"/>
              <w:right w:val="single" w:color="auto" w:sz="4" w:space="0"/>
            </w:tcBorders>
            <w:noWrap w:val="0"/>
            <w:vAlign w:val="center"/>
          </w:tcPr>
          <w:p w14:paraId="44FCBC9D">
            <w:pPr>
              <w:widowControl/>
              <w:jc w:val="center"/>
              <w:rPr>
                <w:rFonts w:ascii="宋体" w:hAnsi="宋体" w:cs="宋体"/>
                <w:b/>
                <w:bCs/>
                <w:kern w:val="0"/>
                <w:sz w:val="20"/>
              </w:rPr>
            </w:pPr>
            <w:r>
              <w:rPr>
                <w:rFonts w:hint="eastAsia" w:ascii="宋体" w:hAnsi="宋体" w:cs="宋体"/>
                <w:b/>
                <w:bCs/>
                <w:kern w:val="0"/>
                <w:sz w:val="20"/>
              </w:rPr>
              <w:t>政府采购项目来源</w:t>
            </w:r>
          </w:p>
        </w:tc>
        <w:tc>
          <w:tcPr>
            <w:tcW w:w="1280" w:type="dxa"/>
            <w:vMerge w:val="restart"/>
            <w:tcBorders>
              <w:top w:val="single" w:color="auto" w:sz="4" w:space="0"/>
              <w:left w:val="single" w:color="auto" w:sz="4" w:space="0"/>
              <w:bottom w:val="single" w:color="auto" w:sz="4" w:space="0"/>
              <w:right w:val="single" w:color="auto" w:sz="4" w:space="0"/>
            </w:tcBorders>
            <w:noWrap w:val="0"/>
            <w:vAlign w:val="center"/>
          </w:tcPr>
          <w:p w14:paraId="7A2A826F">
            <w:pPr>
              <w:widowControl/>
              <w:jc w:val="center"/>
              <w:rPr>
                <w:rFonts w:ascii="宋体" w:hAnsi="宋体" w:cs="宋体"/>
                <w:b/>
                <w:bCs/>
                <w:kern w:val="0"/>
                <w:sz w:val="20"/>
              </w:rPr>
            </w:pPr>
            <w:r>
              <w:rPr>
                <w:rFonts w:hint="eastAsia" w:ascii="宋体" w:hAnsi="宋体" w:cs="宋体"/>
                <w:b/>
                <w:bCs/>
                <w:kern w:val="0"/>
                <w:sz w:val="20"/>
              </w:rPr>
              <w:t>采购物品名称</w:t>
            </w:r>
          </w:p>
        </w:tc>
        <w:tc>
          <w:tcPr>
            <w:tcW w:w="1340" w:type="dxa"/>
            <w:vMerge w:val="restart"/>
            <w:tcBorders>
              <w:top w:val="single" w:color="auto" w:sz="4" w:space="0"/>
              <w:left w:val="single" w:color="auto" w:sz="4" w:space="0"/>
              <w:bottom w:val="single" w:color="auto" w:sz="4" w:space="0"/>
              <w:right w:val="single" w:color="auto" w:sz="4" w:space="0"/>
            </w:tcBorders>
            <w:noWrap w:val="0"/>
            <w:vAlign w:val="center"/>
          </w:tcPr>
          <w:p w14:paraId="07AF56D7">
            <w:pPr>
              <w:widowControl/>
              <w:jc w:val="center"/>
              <w:rPr>
                <w:rFonts w:ascii="宋体" w:hAnsi="宋体" w:cs="宋体"/>
                <w:b/>
                <w:bCs/>
                <w:kern w:val="0"/>
                <w:sz w:val="20"/>
              </w:rPr>
            </w:pPr>
            <w:r>
              <w:rPr>
                <w:rFonts w:hint="eastAsia" w:ascii="宋体" w:hAnsi="宋体" w:cs="宋体"/>
                <w:b/>
                <w:bCs/>
                <w:kern w:val="0"/>
                <w:sz w:val="20"/>
              </w:rPr>
              <w:t>政府采购目录序号</w:t>
            </w:r>
          </w:p>
        </w:tc>
        <w:tc>
          <w:tcPr>
            <w:tcW w:w="1040" w:type="dxa"/>
            <w:vMerge w:val="restart"/>
            <w:tcBorders>
              <w:top w:val="single" w:color="auto" w:sz="4" w:space="0"/>
              <w:left w:val="single" w:color="auto" w:sz="4" w:space="0"/>
              <w:bottom w:val="single" w:color="auto" w:sz="4" w:space="0"/>
              <w:right w:val="single" w:color="auto" w:sz="4" w:space="0"/>
            </w:tcBorders>
            <w:noWrap w:val="0"/>
            <w:vAlign w:val="center"/>
          </w:tcPr>
          <w:p w14:paraId="0EE1B621">
            <w:pPr>
              <w:widowControl/>
              <w:jc w:val="center"/>
              <w:rPr>
                <w:rFonts w:ascii="宋体" w:hAnsi="宋体" w:cs="宋体"/>
                <w:b/>
                <w:bCs/>
                <w:kern w:val="0"/>
                <w:sz w:val="20"/>
              </w:rPr>
            </w:pPr>
            <w:r>
              <w:rPr>
                <w:rFonts w:hint="eastAsia" w:ascii="宋体" w:hAnsi="宋体" w:cs="宋体"/>
                <w:b/>
                <w:bCs/>
                <w:kern w:val="0"/>
                <w:sz w:val="20"/>
              </w:rPr>
              <w:t>单位</w:t>
            </w:r>
          </w:p>
        </w:tc>
        <w:tc>
          <w:tcPr>
            <w:tcW w:w="700" w:type="dxa"/>
            <w:vMerge w:val="restart"/>
            <w:tcBorders>
              <w:top w:val="single" w:color="auto" w:sz="4" w:space="0"/>
              <w:left w:val="single" w:color="auto" w:sz="4" w:space="0"/>
              <w:bottom w:val="single" w:color="auto" w:sz="4" w:space="0"/>
              <w:right w:val="single" w:color="auto" w:sz="4" w:space="0"/>
            </w:tcBorders>
            <w:noWrap w:val="0"/>
            <w:vAlign w:val="center"/>
          </w:tcPr>
          <w:p w14:paraId="74348D89">
            <w:pPr>
              <w:widowControl/>
              <w:jc w:val="center"/>
              <w:rPr>
                <w:rFonts w:ascii="宋体" w:hAnsi="宋体" w:cs="宋体"/>
                <w:b/>
                <w:bCs/>
                <w:kern w:val="0"/>
                <w:sz w:val="20"/>
              </w:rPr>
            </w:pPr>
            <w:r>
              <w:rPr>
                <w:rFonts w:hint="eastAsia" w:ascii="宋体" w:hAnsi="宋体" w:cs="宋体"/>
                <w:b/>
                <w:bCs/>
                <w:kern w:val="0"/>
                <w:sz w:val="20"/>
              </w:rPr>
              <w:t>数量</w:t>
            </w:r>
          </w:p>
        </w:tc>
        <w:tc>
          <w:tcPr>
            <w:tcW w:w="1020" w:type="dxa"/>
            <w:vMerge w:val="restart"/>
            <w:tcBorders>
              <w:top w:val="single" w:color="auto" w:sz="4" w:space="0"/>
              <w:left w:val="single" w:color="auto" w:sz="4" w:space="0"/>
              <w:bottom w:val="single" w:color="auto" w:sz="4" w:space="0"/>
              <w:right w:val="single" w:color="auto" w:sz="4" w:space="0"/>
            </w:tcBorders>
            <w:noWrap w:val="0"/>
            <w:vAlign w:val="center"/>
          </w:tcPr>
          <w:p w14:paraId="74A803F7">
            <w:pPr>
              <w:widowControl/>
              <w:jc w:val="center"/>
              <w:rPr>
                <w:rFonts w:ascii="宋体" w:hAnsi="宋体" w:cs="宋体"/>
                <w:b/>
                <w:bCs/>
                <w:kern w:val="0"/>
                <w:sz w:val="20"/>
              </w:rPr>
            </w:pPr>
            <w:r>
              <w:rPr>
                <w:rFonts w:hint="eastAsia" w:ascii="宋体" w:hAnsi="宋体" w:cs="宋体"/>
                <w:b/>
                <w:bCs/>
                <w:kern w:val="0"/>
                <w:sz w:val="20"/>
              </w:rPr>
              <w:t>单价</w:t>
            </w:r>
          </w:p>
        </w:tc>
        <w:tc>
          <w:tcPr>
            <w:tcW w:w="4820" w:type="dxa"/>
            <w:gridSpan w:val="4"/>
            <w:tcBorders>
              <w:top w:val="single" w:color="auto" w:sz="4" w:space="0"/>
              <w:left w:val="nil"/>
              <w:bottom w:val="single" w:color="auto" w:sz="4" w:space="0"/>
              <w:right w:val="single" w:color="auto" w:sz="4" w:space="0"/>
            </w:tcBorders>
            <w:noWrap w:val="0"/>
            <w:vAlign w:val="center"/>
          </w:tcPr>
          <w:p w14:paraId="2DEE98F7">
            <w:pPr>
              <w:widowControl/>
              <w:jc w:val="center"/>
              <w:rPr>
                <w:rFonts w:ascii="宋体" w:hAnsi="宋体" w:cs="宋体"/>
                <w:b/>
                <w:bCs/>
                <w:kern w:val="0"/>
                <w:sz w:val="20"/>
              </w:rPr>
            </w:pPr>
            <w:r>
              <w:rPr>
                <w:rFonts w:hint="eastAsia" w:ascii="宋体" w:hAnsi="宋体" w:cs="宋体"/>
                <w:b/>
                <w:bCs/>
                <w:kern w:val="0"/>
                <w:sz w:val="20"/>
              </w:rPr>
              <w:t>政府采购金额</w:t>
            </w:r>
          </w:p>
        </w:tc>
      </w:tr>
      <w:tr w14:paraId="227239DA">
        <w:tblPrEx>
          <w:tblCellMar>
            <w:top w:w="0" w:type="dxa"/>
            <w:left w:w="108" w:type="dxa"/>
            <w:bottom w:w="0" w:type="dxa"/>
            <w:right w:w="108" w:type="dxa"/>
          </w:tblCellMar>
        </w:tblPrEx>
        <w:trPr>
          <w:trHeight w:val="319" w:hRule="atLeast"/>
        </w:trPr>
        <w:tc>
          <w:tcPr>
            <w:tcW w:w="3740" w:type="dxa"/>
            <w:vMerge w:val="restart"/>
            <w:tcBorders>
              <w:top w:val="nil"/>
              <w:left w:val="single" w:color="auto" w:sz="4" w:space="0"/>
              <w:bottom w:val="single" w:color="auto" w:sz="4" w:space="0"/>
              <w:right w:val="single" w:color="auto" w:sz="4" w:space="0"/>
            </w:tcBorders>
            <w:noWrap w:val="0"/>
            <w:vAlign w:val="center"/>
          </w:tcPr>
          <w:p w14:paraId="4CCD779E">
            <w:pPr>
              <w:widowControl/>
              <w:jc w:val="center"/>
              <w:rPr>
                <w:rFonts w:hint="eastAsia" w:ascii="宋体" w:hAnsi="宋体" w:eastAsia="宋体" w:cs="宋体"/>
                <w:b/>
                <w:bCs/>
                <w:kern w:val="0"/>
                <w:sz w:val="20"/>
                <w:lang w:eastAsia="zh-CN"/>
              </w:rPr>
            </w:pPr>
            <w:r>
              <w:rPr>
                <w:rFonts w:hint="eastAsia" w:ascii="宋体" w:hAnsi="宋体" w:cs="宋体"/>
                <w:b/>
                <w:bCs/>
                <w:kern w:val="0"/>
                <w:sz w:val="20"/>
                <w:lang w:eastAsia="zh-CN"/>
              </w:rPr>
              <w:t>项目名称</w:t>
            </w:r>
          </w:p>
        </w:tc>
        <w:tc>
          <w:tcPr>
            <w:tcW w:w="1020" w:type="dxa"/>
            <w:vMerge w:val="restart"/>
            <w:tcBorders>
              <w:top w:val="nil"/>
              <w:left w:val="single" w:color="auto" w:sz="4" w:space="0"/>
              <w:bottom w:val="single" w:color="auto" w:sz="4" w:space="0"/>
              <w:right w:val="single" w:color="auto" w:sz="4" w:space="0"/>
            </w:tcBorders>
            <w:noWrap w:val="0"/>
            <w:vAlign w:val="center"/>
          </w:tcPr>
          <w:p w14:paraId="4E3D6B2F">
            <w:pPr>
              <w:widowControl/>
              <w:jc w:val="center"/>
              <w:rPr>
                <w:rFonts w:ascii="宋体" w:hAnsi="宋体" w:cs="宋体"/>
                <w:b/>
                <w:bCs/>
                <w:kern w:val="0"/>
                <w:sz w:val="20"/>
              </w:rPr>
            </w:pPr>
            <w:r>
              <w:rPr>
                <w:rFonts w:hint="eastAsia" w:ascii="宋体" w:hAnsi="宋体" w:cs="宋体"/>
                <w:b/>
                <w:bCs/>
                <w:kern w:val="0"/>
                <w:sz w:val="20"/>
              </w:rPr>
              <w:t>预算资金</w:t>
            </w:r>
          </w:p>
        </w:tc>
        <w:tc>
          <w:tcPr>
            <w:tcW w:w="1280" w:type="dxa"/>
            <w:vMerge w:val="continue"/>
            <w:tcBorders>
              <w:top w:val="single" w:color="auto" w:sz="4" w:space="0"/>
              <w:left w:val="single" w:color="auto" w:sz="4" w:space="0"/>
              <w:bottom w:val="single" w:color="auto" w:sz="4" w:space="0"/>
              <w:right w:val="single" w:color="auto" w:sz="4" w:space="0"/>
            </w:tcBorders>
            <w:noWrap w:val="0"/>
            <w:vAlign w:val="center"/>
          </w:tcPr>
          <w:p w14:paraId="1CB332EE">
            <w:pPr>
              <w:widowControl/>
              <w:jc w:val="left"/>
              <w:rPr>
                <w:rFonts w:ascii="宋体" w:hAnsi="宋体" w:cs="宋体"/>
                <w:b/>
                <w:bCs/>
                <w:kern w:val="0"/>
                <w:sz w:val="20"/>
              </w:rPr>
            </w:pPr>
          </w:p>
        </w:tc>
        <w:tc>
          <w:tcPr>
            <w:tcW w:w="1340" w:type="dxa"/>
            <w:vMerge w:val="continue"/>
            <w:tcBorders>
              <w:top w:val="single" w:color="auto" w:sz="4" w:space="0"/>
              <w:left w:val="single" w:color="auto" w:sz="4" w:space="0"/>
              <w:bottom w:val="single" w:color="auto" w:sz="4" w:space="0"/>
              <w:right w:val="single" w:color="auto" w:sz="4" w:space="0"/>
            </w:tcBorders>
            <w:noWrap w:val="0"/>
            <w:vAlign w:val="center"/>
          </w:tcPr>
          <w:p w14:paraId="62B7456A">
            <w:pPr>
              <w:widowControl/>
              <w:jc w:val="left"/>
              <w:rPr>
                <w:rFonts w:ascii="宋体" w:hAnsi="宋体" w:cs="宋体"/>
                <w:b/>
                <w:bCs/>
                <w:kern w:val="0"/>
                <w:sz w:val="20"/>
              </w:rPr>
            </w:pPr>
          </w:p>
        </w:tc>
        <w:tc>
          <w:tcPr>
            <w:tcW w:w="1040" w:type="dxa"/>
            <w:vMerge w:val="continue"/>
            <w:tcBorders>
              <w:top w:val="single" w:color="auto" w:sz="4" w:space="0"/>
              <w:left w:val="single" w:color="auto" w:sz="4" w:space="0"/>
              <w:bottom w:val="single" w:color="auto" w:sz="4" w:space="0"/>
              <w:right w:val="single" w:color="auto" w:sz="4" w:space="0"/>
            </w:tcBorders>
            <w:noWrap w:val="0"/>
            <w:vAlign w:val="center"/>
          </w:tcPr>
          <w:p w14:paraId="5D5036A6">
            <w:pPr>
              <w:widowControl/>
              <w:jc w:val="left"/>
              <w:rPr>
                <w:rFonts w:ascii="宋体" w:hAnsi="宋体" w:cs="宋体"/>
                <w:b/>
                <w:bCs/>
                <w:kern w:val="0"/>
                <w:sz w:val="20"/>
              </w:rPr>
            </w:pPr>
          </w:p>
        </w:tc>
        <w:tc>
          <w:tcPr>
            <w:tcW w:w="700" w:type="dxa"/>
            <w:vMerge w:val="continue"/>
            <w:tcBorders>
              <w:top w:val="single" w:color="auto" w:sz="4" w:space="0"/>
              <w:left w:val="single" w:color="auto" w:sz="4" w:space="0"/>
              <w:bottom w:val="single" w:color="auto" w:sz="4" w:space="0"/>
              <w:right w:val="single" w:color="auto" w:sz="4" w:space="0"/>
            </w:tcBorders>
            <w:noWrap w:val="0"/>
            <w:vAlign w:val="center"/>
          </w:tcPr>
          <w:p w14:paraId="78C417AA">
            <w:pPr>
              <w:widowControl/>
              <w:jc w:val="left"/>
              <w:rPr>
                <w:rFonts w:ascii="宋体" w:hAnsi="宋体" w:cs="宋体"/>
                <w:b/>
                <w:bCs/>
                <w:kern w:val="0"/>
                <w:sz w:val="20"/>
              </w:rPr>
            </w:pPr>
          </w:p>
        </w:tc>
        <w:tc>
          <w:tcPr>
            <w:tcW w:w="1020" w:type="dxa"/>
            <w:vMerge w:val="continue"/>
            <w:tcBorders>
              <w:top w:val="single" w:color="auto" w:sz="4" w:space="0"/>
              <w:left w:val="single" w:color="auto" w:sz="4" w:space="0"/>
              <w:bottom w:val="single" w:color="auto" w:sz="4" w:space="0"/>
              <w:right w:val="single" w:color="auto" w:sz="4" w:space="0"/>
            </w:tcBorders>
            <w:noWrap w:val="0"/>
            <w:vAlign w:val="center"/>
          </w:tcPr>
          <w:p w14:paraId="63FD7F24">
            <w:pPr>
              <w:widowControl/>
              <w:jc w:val="left"/>
              <w:rPr>
                <w:rFonts w:ascii="宋体" w:hAnsi="宋体" w:cs="宋体"/>
                <w:b/>
                <w:bCs/>
                <w:kern w:val="0"/>
                <w:sz w:val="20"/>
              </w:rPr>
            </w:pPr>
          </w:p>
        </w:tc>
        <w:tc>
          <w:tcPr>
            <w:tcW w:w="1260" w:type="dxa"/>
            <w:vMerge w:val="restart"/>
            <w:tcBorders>
              <w:top w:val="nil"/>
              <w:left w:val="single" w:color="auto" w:sz="4" w:space="0"/>
              <w:bottom w:val="single" w:color="auto" w:sz="4" w:space="0"/>
              <w:right w:val="single" w:color="auto" w:sz="4" w:space="0"/>
            </w:tcBorders>
            <w:noWrap w:val="0"/>
            <w:vAlign w:val="center"/>
          </w:tcPr>
          <w:p w14:paraId="23355453">
            <w:pPr>
              <w:widowControl/>
              <w:jc w:val="center"/>
              <w:rPr>
                <w:rFonts w:ascii="宋体" w:hAnsi="宋体" w:cs="宋体"/>
                <w:b/>
                <w:bCs/>
                <w:kern w:val="0"/>
                <w:sz w:val="20"/>
              </w:rPr>
            </w:pPr>
            <w:r>
              <w:rPr>
                <w:rFonts w:hint="eastAsia" w:ascii="宋体" w:hAnsi="宋体" w:cs="宋体"/>
                <w:b/>
                <w:bCs/>
                <w:kern w:val="0"/>
                <w:sz w:val="20"/>
              </w:rPr>
              <w:t>总计</w:t>
            </w:r>
          </w:p>
        </w:tc>
        <w:tc>
          <w:tcPr>
            <w:tcW w:w="3560" w:type="dxa"/>
            <w:gridSpan w:val="3"/>
            <w:tcBorders>
              <w:top w:val="single" w:color="auto" w:sz="4" w:space="0"/>
              <w:left w:val="nil"/>
              <w:bottom w:val="single" w:color="auto" w:sz="4" w:space="0"/>
              <w:right w:val="single" w:color="auto" w:sz="4" w:space="0"/>
            </w:tcBorders>
            <w:noWrap w:val="0"/>
            <w:vAlign w:val="center"/>
          </w:tcPr>
          <w:p w14:paraId="101E1C27">
            <w:pPr>
              <w:widowControl/>
              <w:jc w:val="center"/>
              <w:rPr>
                <w:rFonts w:ascii="宋体" w:hAnsi="宋体" w:cs="宋体"/>
                <w:b/>
                <w:bCs/>
                <w:kern w:val="0"/>
                <w:sz w:val="20"/>
              </w:rPr>
            </w:pPr>
            <w:r>
              <w:rPr>
                <w:rFonts w:hint="eastAsia" w:ascii="宋体" w:hAnsi="宋体" w:cs="宋体"/>
                <w:b/>
                <w:bCs/>
                <w:kern w:val="0"/>
                <w:sz w:val="20"/>
              </w:rPr>
              <w:t>当年</w:t>
            </w:r>
            <w:r>
              <w:rPr>
                <w:rFonts w:hint="eastAsia" w:ascii="宋体" w:hAnsi="宋体" w:eastAsia="宋体" w:cs="宋体"/>
                <w:b/>
                <w:bCs/>
                <w:kern w:val="0"/>
                <w:sz w:val="20"/>
                <w:lang w:eastAsia="zh-CN"/>
              </w:rPr>
              <w:t>本级</w:t>
            </w:r>
            <w:r>
              <w:rPr>
                <w:rFonts w:hint="eastAsia" w:ascii="宋体" w:hAnsi="宋体" w:cs="宋体"/>
                <w:b/>
                <w:bCs/>
                <w:kern w:val="0"/>
                <w:sz w:val="20"/>
              </w:rPr>
              <w:t>预算安排资金</w:t>
            </w:r>
          </w:p>
        </w:tc>
      </w:tr>
      <w:tr w14:paraId="6212D8EC">
        <w:tblPrEx>
          <w:tblCellMar>
            <w:top w:w="0" w:type="dxa"/>
            <w:left w:w="108" w:type="dxa"/>
            <w:bottom w:w="0" w:type="dxa"/>
            <w:right w:w="108" w:type="dxa"/>
          </w:tblCellMar>
        </w:tblPrEx>
        <w:trPr>
          <w:trHeight w:val="499" w:hRule="atLeast"/>
        </w:trPr>
        <w:tc>
          <w:tcPr>
            <w:tcW w:w="3740" w:type="dxa"/>
            <w:vMerge w:val="continue"/>
            <w:tcBorders>
              <w:top w:val="nil"/>
              <w:left w:val="single" w:color="auto" w:sz="4" w:space="0"/>
              <w:bottom w:val="single" w:color="auto" w:sz="4" w:space="0"/>
              <w:right w:val="single" w:color="auto" w:sz="4" w:space="0"/>
            </w:tcBorders>
            <w:noWrap w:val="0"/>
            <w:vAlign w:val="center"/>
          </w:tcPr>
          <w:p w14:paraId="67E23723">
            <w:pPr>
              <w:widowControl/>
              <w:jc w:val="left"/>
              <w:rPr>
                <w:rFonts w:ascii="宋体" w:hAnsi="宋体" w:cs="宋体"/>
                <w:b/>
                <w:bCs/>
                <w:kern w:val="0"/>
                <w:sz w:val="20"/>
              </w:rPr>
            </w:pPr>
          </w:p>
        </w:tc>
        <w:tc>
          <w:tcPr>
            <w:tcW w:w="1020" w:type="dxa"/>
            <w:vMerge w:val="continue"/>
            <w:tcBorders>
              <w:top w:val="nil"/>
              <w:left w:val="single" w:color="auto" w:sz="4" w:space="0"/>
              <w:bottom w:val="single" w:color="auto" w:sz="4" w:space="0"/>
              <w:right w:val="single" w:color="auto" w:sz="4" w:space="0"/>
            </w:tcBorders>
            <w:noWrap w:val="0"/>
            <w:vAlign w:val="center"/>
          </w:tcPr>
          <w:p w14:paraId="417CF1A5">
            <w:pPr>
              <w:widowControl/>
              <w:jc w:val="left"/>
              <w:rPr>
                <w:rFonts w:ascii="宋体" w:hAnsi="宋体" w:cs="宋体"/>
                <w:b/>
                <w:bCs/>
                <w:kern w:val="0"/>
                <w:sz w:val="20"/>
              </w:rPr>
            </w:pPr>
          </w:p>
        </w:tc>
        <w:tc>
          <w:tcPr>
            <w:tcW w:w="1280" w:type="dxa"/>
            <w:vMerge w:val="continue"/>
            <w:tcBorders>
              <w:top w:val="single" w:color="auto" w:sz="4" w:space="0"/>
              <w:left w:val="single" w:color="auto" w:sz="4" w:space="0"/>
              <w:bottom w:val="single" w:color="auto" w:sz="4" w:space="0"/>
              <w:right w:val="single" w:color="auto" w:sz="4" w:space="0"/>
            </w:tcBorders>
            <w:noWrap w:val="0"/>
            <w:vAlign w:val="center"/>
          </w:tcPr>
          <w:p w14:paraId="06B08480">
            <w:pPr>
              <w:widowControl/>
              <w:jc w:val="left"/>
              <w:rPr>
                <w:rFonts w:ascii="宋体" w:hAnsi="宋体" w:cs="宋体"/>
                <w:b/>
                <w:bCs/>
                <w:kern w:val="0"/>
                <w:sz w:val="20"/>
              </w:rPr>
            </w:pPr>
          </w:p>
        </w:tc>
        <w:tc>
          <w:tcPr>
            <w:tcW w:w="1340" w:type="dxa"/>
            <w:vMerge w:val="continue"/>
            <w:tcBorders>
              <w:top w:val="single" w:color="auto" w:sz="4" w:space="0"/>
              <w:left w:val="single" w:color="auto" w:sz="4" w:space="0"/>
              <w:bottom w:val="single" w:color="auto" w:sz="4" w:space="0"/>
              <w:right w:val="single" w:color="auto" w:sz="4" w:space="0"/>
            </w:tcBorders>
            <w:noWrap w:val="0"/>
            <w:vAlign w:val="center"/>
          </w:tcPr>
          <w:p w14:paraId="50D6DEDC">
            <w:pPr>
              <w:widowControl/>
              <w:jc w:val="left"/>
              <w:rPr>
                <w:rFonts w:ascii="宋体" w:hAnsi="宋体" w:cs="宋体"/>
                <w:b/>
                <w:bCs/>
                <w:kern w:val="0"/>
                <w:sz w:val="20"/>
              </w:rPr>
            </w:pPr>
          </w:p>
        </w:tc>
        <w:tc>
          <w:tcPr>
            <w:tcW w:w="1040" w:type="dxa"/>
            <w:vMerge w:val="continue"/>
            <w:tcBorders>
              <w:top w:val="single" w:color="auto" w:sz="4" w:space="0"/>
              <w:left w:val="single" w:color="auto" w:sz="4" w:space="0"/>
              <w:bottom w:val="single" w:color="auto" w:sz="4" w:space="0"/>
              <w:right w:val="single" w:color="auto" w:sz="4" w:space="0"/>
            </w:tcBorders>
            <w:noWrap w:val="0"/>
            <w:vAlign w:val="center"/>
          </w:tcPr>
          <w:p w14:paraId="17F20C58">
            <w:pPr>
              <w:widowControl/>
              <w:jc w:val="left"/>
              <w:rPr>
                <w:rFonts w:ascii="宋体" w:hAnsi="宋体" w:cs="宋体"/>
                <w:b/>
                <w:bCs/>
                <w:kern w:val="0"/>
                <w:sz w:val="20"/>
              </w:rPr>
            </w:pPr>
          </w:p>
        </w:tc>
        <w:tc>
          <w:tcPr>
            <w:tcW w:w="700" w:type="dxa"/>
            <w:vMerge w:val="continue"/>
            <w:tcBorders>
              <w:top w:val="single" w:color="auto" w:sz="4" w:space="0"/>
              <w:left w:val="single" w:color="auto" w:sz="4" w:space="0"/>
              <w:bottom w:val="single" w:color="auto" w:sz="4" w:space="0"/>
              <w:right w:val="single" w:color="auto" w:sz="4" w:space="0"/>
            </w:tcBorders>
            <w:noWrap w:val="0"/>
            <w:vAlign w:val="center"/>
          </w:tcPr>
          <w:p w14:paraId="57717DB8">
            <w:pPr>
              <w:widowControl/>
              <w:jc w:val="left"/>
              <w:rPr>
                <w:rFonts w:ascii="宋体" w:hAnsi="宋体" w:cs="宋体"/>
                <w:b/>
                <w:bCs/>
                <w:kern w:val="0"/>
                <w:sz w:val="20"/>
              </w:rPr>
            </w:pPr>
          </w:p>
        </w:tc>
        <w:tc>
          <w:tcPr>
            <w:tcW w:w="1020" w:type="dxa"/>
            <w:vMerge w:val="continue"/>
            <w:tcBorders>
              <w:top w:val="single" w:color="auto" w:sz="4" w:space="0"/>
              <w:left w:val="single" w:color="auto" w:sz="4" w:space="0"/>
              <w:bottom w:val="single" w:color="auto" w:sz="4" w:space="0"/>
              <w:right w:val="single" w:color="auto" w:sz="4" w:space="0"/>
            </w:tcBorders>
            <w:noWrap w:val="0"/>
            <w:vAlign w:val="center"/>
          </w:tcPr>
          <w:p w14:paraId="16B1BD38">
            <w:pPr>
              <w:widowControl/>
              <w:jc w:val="left"/>
              <w:rPr>
                <w:rFonts w:ascii="宋体" w:hAnsi="宋体" w:cs="宋体"/>
                <w:b/>
                <w:bCs/>
                <w:kern w:val="0"/>
                <w:sz w:val="20"/>
              </w:rPr>
            </w:pPr>
          </w:p>
        </w:tc>
        <w:tc>
          <w:tcPr>
            <w:tcW w:w="1260" w:type="dxa"/>
            <w:vMerge w:val="continue"/>
            <w:tcBorders>
              <w:top w:val="nil"/>
              <w:left w:val="single" w:color="auto" w:sz="4" w:space="0"/>
              <w:bottom w:val="single" w:color="auto" w:sz="4" w:space="0"/>
              <w:right w:val="single" w:color="auto" w:sz="4" w:space="0"/>
            </w:tcBorders>
            <w:noWrap w:val="0"/>
            <w:vAlign w:val="center"/>
          </w:tcPr>
          <w:p w14:paraId="1FEF9BA5">
            <w:pPr>
              <w:widowControl/>
              <w:jc w:val="left"/>
              <w:rPr>
                <w:rFonts w:ascii="宋体" w:hAnsi="宋体" w:cs="宋体"/>
                <w:b/>
                <w:bCs/>
                <w:kern w:val="0"/>
                <w:sz w:val="20"/>
              </w:rPr>
            </w:pPr>
          </w:p>
        </w:tc>
        <w:tc>
          <w:tcPr>
            <w:tcW w:w="1260" w:type="dxa"/>
            <w:tcBorders>
              <w:top w:val="nil"/>
              <w:left w:val="nil"/>
              <w:bottom w:val="single" w:color="auto" w:sz="4" w:space="0"/>
              <w:right w:val="single" w:color="auto" w:sz="4" w:space="0"/>
            </w:tcBorders>
            <w:noWrap w:val="0"/>
            <w:vAlign w:val="center"/>
          </w:tcPr>
          <w:p w14:paraId="72F481A1">
            <w:pPr>
              <w:widowControl/>
              <w:jc w:val="center"/>
              <w:rPr>
                <w:rFonts w:ascii="宋体" w:hAnsi="宋体" w:cs="宋体"/>
                <w:b/>
                <w:bCs/>
                <w:kern w:val="0"/>
                <w:sz w:val="20"/>
              </w:rPr>
            </w:pPr>
            <w:r>
              <w:rPr>
                <w:rFonts w:hint="eastAsia" w:ascii="宋体" w:hAnsi="宋体" w:cs="宋体"/>
                <w:b/>
                <w:bCs/>
                <w:kern w:val="0"/>
                <w:sz w:val="20"/>
              </w:rPr>
              <w:t>合计</w:t>
            </w:r>
          </w:p>
        </w:tc>
        <w:tc>
          <w:tcPr>
            <w:tcW w:w="1140" w:type="dxa"/>
            <w:tcBorders>
              <w:top w:val="nil"/>
              <w:left w:val="nil"/>
              <w:bottom w:val="single" w:color="auto" w:sz="4" w:space="0"/>
              <w:right w:val="single" w:color="auto" w:sz="4" w:space="0"/>
            </w:tcBorders>
            <w:noWrap w:val="0"/>
            <w:vAlign w:val="center"/>
          </w:tcPr>
          <w:p w14:paraId="66BAF421">
            <w:pPr>
              <w:widowControl/>
              <w:jc w:val="center"/>
              <w:rPr>
                <w:rFonts w:ascii="宋体" w:hAnsi="宋体" w:cs="宋体"/>
                <w:b/>
                <w:bCs/>
                <w:kern w:val="0"/>
                <w:sz w:val="20"/>
              </w:rPr>
            </w:pPr>
            <w:r>
              <w:rPr>
                <w:rFonts w:hint="eastAsia" w:ascii="宋体" w:hAnsi="宋体" w:cs="宋体"/>
                <w:b/>
                <w:bCs/>
                <w:kern w:val="0"/>
                <w:sz w:val="20"/>
              </w:rPr>
              <w:t>一般公共预算拨款</w:t>
            </w:r>
          </w:p>
        </w:tc>
        <w:tc>
          <w:tcPr>
            <w:tcW w:w="1160" w:type="dxa"/>
            <w:tcBorders>
              <w:top w:val="nil"/>
              <w:left w:val="nil"/>
              <w:bottom w:val="single" w:color="auto" w:sz="4" w:space="0"/>
              <w:right w:val="single" w:color="auto" w:sz="4" w:space="0"/>
            </w:tcBorders>
            <w:noWrap w:val="0"/>
            <w:vAlign w:val="center"/>
          </w:tcPr>
          <w:p w14:paraId="56065E79">
            <w:pPr>
              <w:widowControl/>
              <w:jc w:val="center"/>
              <w:rPr>
                <w:rFonts w:ascii="宋体" w:hAnsi="宋体" w:cs="宋体"/>
                <w:b/>
                <w:bCs/>
                <w:kern w:val="0"/>
                <w:sz w:val="20"/>
              </w:rPr>
            </w:pPr>
            <w:r>
              <w:rPr>
                <w:rFonts w:hint="eastAsia" w:ascii="宋体" w:hAnsi="宋体" w:cs="宋体"/>
                <w:b/>
                <w:bCs/>
                <w:kern w:val="0"/>
                <w:sz w:val="20"/>
              </w:rPr>
              <w:t>其他来源收入</w:t>
            </w:r>
          </w:p>
        </w:tc>
      </w:tr>
      <w:tr w14:paraId="11D16539">
        <w:tblPrEx>
          <w:tblCellMar>
            <w:top w:w="0" w:type="dxa"/>
            <w:left w:w="108" w:type="dxa"/>
            <w:bottom w:w="0" w:type="dxa"/>
            <w:right w:w="108" w:type="dxa"/>
          </w:tblCellMar>
        </w:tblPrEx>
        <w:trPr>
          <w:trHeight w:val="499" w:hRule="atLeast"/>
        </w:trPr>
        <w:tc>
          <w:tcPr>
            <w:tcW w:w="3740" w:type="dxa"/>
            <w:tcBorders>
              <w:top w:val="nil"/>
              <w:left w:val="single" w:color="auto" w:sz="4" w:space="0"/>
              <w:bottom w:val="single" w:color="auto" w:sz="4" w:space="0"/>
              <w:right w:val="single" w:color="auto" w:sz="4" w:space="0"/>
            </w:tcBorders>
            <w:noWrap w:val="0"/>
            <w:vAlign w:val="center"/>
          </w:tcPr>
          <w:p w14:paraId="7ED628E1">
            <w:pPr>
              <w:widowControl/>
              <w:jc w:val="center"/>
              <w:rPr>
                <w:rFonts w:ascii="宋体" w:hAnsi="宋体" w:cs="宋体"/>
                <w:b/>
                <w:bCs/>
                <w:kern w:val="0"/>
                <w:sz w:val="20"/>
              </w:rPr>
            </w:pPr>
            <w:r>
              <w:rPr>
                <w:rFonts w:hint="eastAsia" w:ascii="宋体" w:hAnsi="宋体" w:cs="宋体"/>
                <w:b/>
                <w:bCs/>
                <w:kern w:val="0"/>
                <w:sz w:val="20"/>
              </w:rPr>
              <w:t>合　计</w:t>
            </w:r>
          </w:p>
        </w:tc>
        <w:tc>
          <w:tcPr>
            <w:tcW w:w="1020" w:type="dxa"/>
            <w:tcBorders>
              <w:top w:val="nil"/>
              <w:left w:val="nil"/>
              <w:bottom w:val="single" w:color="auto" w:sz="4" w:space="0"/>
              <w:right w:val="single" w:color="auto" w:sz="4" w:space="0"/>
            </w:tcBorders>
            <w:noWrap w:val="0"/>
            <w:vAlign w:val="center"/>
          </w:tcPr>
          <w:p w14:paraId="5A7C64EE">
            <w:pPr>
              <w:widowControl/>
              <w:jc w:val="right"/>
              <w:rPr>
                <w:rFonts w:ascii="宋体" w:hAnsi="宋体" w:cs="宋体"/>
                <w:b/>
                <w:bCs/>
                <w:kern w:val="0"/>
                <w:sz w:val="20"/>
              </w:rPr>
            </w:pPr>
            <w:r>
              <w:rPr>
                <w:rFonts w:hint="eastAsia" w:ascii="宋体" w:hAnsi="宋体" w:cs="宋体"/>
                <w:b/>
                <w:bCs/>
                <w:kern w:val="0"/>
                <w:sz w:val="20"/>
              </w:rPr>
              <w:t>　</w:t>
            </w:r>
          </w:p>
        </w:tc>
        <w:tc>
          <w:tcPr>
            <w:tcW w:w="1280" w:type="dxa"/>
            <w:tcBorders>
              <w:top w:val="nil"/>
              <w:left w:val="nil"/>
              <w:bottom w:val="single" w:color="auto" w:sz="4" w:space="0"/>
              <w:right w:val="single" w:color="auto" w:sz="4" w:space="0"/>
            </w:tcBorders>
            <w:noWrap w:val="0"/>
            <w:vAlign w:val="center"/>
          </w:tcPr>
          <w:p w14:paraId="7184BA28">
            <w:pPr>
              <w:widowControl/>
              <w:jc w:val="left"/>
              <w:rPr>
                <w:rFonts w:ascii="宋体" w:hAnsi="宋体" w:cs="宋体"/>
                <w:b/>
                <w:bCs/>
                <w:kern w:val="0"/>
                <w:sz w:val="20"/>
              </w:rPr>
            </w:pPr>
            <w:r>
              <w:rPr>
                <w:rFonts w:hint="eastAsia" w:ascii="宋体" w:hAnsi="宋体" w:cs="宋体"/>
                <w:b/>
                <w:bCs/>
                <w:kern w:val="0"/>
                <w:sz w:val="20"/>
              </w:rPr>
              <w:t>　</w:t>
            </w:r>
          </w:p>
        </w:tc>
        <w:tc>
          <w:tcPr>
            <w:tcW w:w="1340" w:type="dxa"/>
            <w:tcBorders>
              <w:top w:val="nil"/>
              <w:left w:val="nil"/>
              <w:bottom w:val="single" w:color="auto" w:sz="4" w:space="0"/>
              <w:right w:val="single" w:color="auto" w:sz="4" w:space="0"/>
            </w:tcBorders>
            <w:noWrap w:val="0"/>
            <w:vAlign w:val="center"/>
          </w:tcPr>
          <w:p w14:paraId="2000824F">
            <w:pPr>
              <w:widowControl/>
              <w:jc w:val="left"/>
              <w:rPr>
                <w:rFonts w:ascii="宋体" w:hAnsi="宋体" w:cs="宋体"/>
                <w:b/>
                <w:bCs/>
                <w:kern w:val="0"/>
                <w:sz w:val="20"/>
              </w:rPr>
            </w:pPr>
            <w:r>
              <w:rPr>
                <w:rFonts w:hint="eastAsia" w:ascii="宋体" w:hAnsi="宋体" w:cs="宋体"/>
                <w:b/>
                <w:bCs/>
                <w:kern w:val="0"/>
                <w:sz w:val="20"/>
              </w:rPr>
              <w:t>　</w:t>
            </w:r>
          </w:p>
        </w:tc>
        <w:tc>
          <w:tcPr>
            <w:tcW w:w="1040" w:type="dxa"/>
            <w:tcBorders>
              <w:top w:val="nil"/>
              <w:left w:val="nil"/>
              <w:bottom w:val="single" w:color="auto" w:sz="4" w:space="0"/>
              <w:right w:val="single" w:color="auto" w:sz="4" w:space="0"/>
            </w:tcBorders>
            <w:noWrap w:val="0"/>
            <w:vAlign w:val="center"/>
          </w:tcPr>
          <w:p w14:paraId="4E811D11">
            <w:pPr>
              <w:widowControl/>
              <w:jc w:val="center"/>
              <w:rPr>
                <w:rFonts w:ascii="宋体" w:hAnsi="宋体" w:cs="宋体"/>
                <w:b/>
                <w:bCs/>
                <w:kern w:val="0"/>
                <w:sz w:val="20"/>
              </w:rPr>
            </w:pPr>
            <w:r>
              <w:rPr>
                <w:rFonts w:hint="eastAsia" w:ascii="宋体" w:hAnsi="宋体" w:cs="宋体"/>
                <w:b/>
                <w:bCs/>
                <w:kern w:val="0"/>
                <w:sz w:val="20"/>
              </w:rPr>
              <w:t>　</w:t>
            </w:r>
          </w:p>
        </w:tc>
        <w:tc>
          <w:tcPr>
            <w:tcW w:w="700" w:type="dxa"/>
            <w:tcBorders>
              <w:top w:val="nil"/>
              <w:left w:val="nil"/>
              <w:bottom w:val="single" w:color="auto" w:sz="4" w:space="0"/>
              <w:right w:val="single" w:color="auto" w:sz="4" w:space="0"/>
            </w:tcBorders>
            <w:noWrap w:val="0"/>
            <w:vAlign w:val="center"/>
          </w:tcPr>
          <w:p w14:paraId="1B53EFFB">
            <w:pPr>
              <w:widowControl/>
              <w:jc w:val="center"/>
              <w:rPr>
                <w:rFonts w:ascii="宋体" w:hAnsi="宋体" w:cs="宋体"/>
                <w:b/>
                <w:bCs/>
                <w:kern w:val="0"/>
                <w:sz w:val="20"/>
              </w:rPr>
            </w:pPr>
            <w:r>
              <w:rPr>
                <w:rFonts w:hint="eastAsia" w:ascii="宋体" w:hAnsi="宋体" w:cs="宋体"/>
                <w:b/>
                <w:bCs/>
                <w:kern w:val="0"/>
                <w:sz w:val="20"/>
              </w:rPr>
              <w:t>　</w:t>
            </w:r>
          </w:p>
        </w:tc>
        <w:tc>
          <w:tcPr>
            <w:tcW w:w="1020" w:type="dxa"/>
            <w:tcBorders>
              <w:top w:val="nil"/>
              <w:left w:val="nil"/>
              <w:bottom w:val="single" w:color="auto" w:sz="4" w:space="0"/>
              <w:right w:val="single" w:color="auto" w:sz="4" w:space="0"/>
            </w:tcBorders>
            <w:noWrap w:val="0"/>
            <w:vAlign w:val="center"/>
          </w:tcPr>
          <w:p w14:paraId="29D38A12">
            <w:pPr>
              <w:widowControl/>
              <w:jc w:val="right"/>
              <w:rPr>
                <w:rFonts w:ascii="宋体" w:hAnsi="宋体" w:cs="宋体"/>
                <w:b/>
                <w:bCs/>
                <w:kern w:val="0"/>
                <w:sz w:val="20"/>
              </w:rPr>
            </w:pPr>
            <w:r>
              <w:rPr>
                <w:rFonts w:hint="eastAsia" w:ascii="宋体" w:hAnsi="宋体" w:cs="宋体"/>
                <w:b/>
                <w:bCs/>
                <w:kern w:val="0"/>
                <w:sz w:val="20"/>
              </w:rPr>
              <w:t>　</w:t>
            </w:r>
          </w:p>
        </w:tc>
        <w:tc>
          <w:tcPr>
            <w:tcW w:w="1260" w:type="dxa"/>
            <w:tcBorders>
              <w:top w:val="nil"/>
              <w:left w:val="nil"/>
              <w:bottom w:val="single" w:color="auto" w:sz="4" w:space="0"/>
              <w:right w:val="single" w:color="auto" w:sz="4" w:space="0"/>
            </w:tcBorders>
            <w:noWrap w:val="0"/>
            <w:vAlign w:val="center"/>
          </w:tcPr>
          <w:p w14:paraId="405AA97E">
            <w:pPr>
              <w:widowControl/>
              <w:jc w:val="right"/>
              <w:rPr>
                <w:rFonts w:ascii="宋体" w:hAnsi="宋体" w:cs="宋体"/>
                <w:b/>
                <w:bCs/>
                <w:kern w:val="0"/>
                <w:sz w:val="20"/>
              </w:rPr>
            </w:pPr>
            <w:r>
              <w:rPr>
                <w:rFonts w:hint="eastAsia" w:ascii="宋体" w:hAnsi="宋体" w:cs="宋体"/>
                <w:b/>
                <w:bCs/>
                <w:kern w:val="0"/>
                <w:sz w:val="20"/>
              </w:rPr>
              <w:t>　</w:t>
            </w:r>
          </w:p>
        </w:tc>
        <w:tc>
          <w:tcPr>
            <w:tcW w:w="1260" w:type="dxa"/>
            <w:tcBorders>
              <w:top w:val="nil"/>
              <w:left w:val="nil"/>
              <w:bottom w:val="single" w:color="auto" w:sz="4" w:space="0"/>
              <w:right w:val="single" w:color="auto" w:sz="4" w:space="0"/>
            </w:tcBorders>
            <w:noWrap w:val="0"/>
            <w:vAlign w:val="center"/>
          </w:tcPr>
          <w:p w14:paraId="5FE89BB2">
            <w:pPr>
              <w:widowControl/>
              <w:jc w:val="right"/>
              <w:rPr>
                <w:rFonts w:ascii="宋体" w:hAnsi="宋体" w:cs="宋体"/>
                <w:b/>
                <w:bCs/>
                <w:kern w:val="0"/>
                <w:sz w:val="20"/>
              </w:rPr>
            </w:pPr>
            <w:r>
              <w:rPr>
                <w:rFonts w:hint="eastAsia" w:ascii="宋体" w:hAnsi="宋体" w:cs="宋体"/>
                <w:b/>
                <w:bCs/>
                <w:kern w:val="0"/>
                <w:sz w:val="20"/>
              </w:rPr>
              <w:t>　</w:t>
            </w:r>
          </w:p>
        </w:tc>
        <w:tc>
          <w:tcPr>
            <w:tcW w:w="1140" w:type="dxa"/>
            <w:tcBorders>
              <w:top w:val="nil"/>
              <w:left w:val="nil"/>
              <w:bottom w:val="single" w:color="auto" w:sz="4" w:space="0"/>
              <w:right w:val="single" w:color="auto" w:sz="4" w:space="0"/>
            </w:tcBorders>
            <w:noWrap w:val="0"/>
            <w:vAlign w:val="center"/>
          </w:tcPr>
          <w:p w14:paraId="46523A90">
            <w:pPr>
              <w:widowControl/>
              <w:jc w:val="right"/>
              <w:rPr>
                <w:rFonts w:ascii="宋体" w:hAnsi="宋体" w:cs="宋体"/>
                <w:b/>
                <w:bCs/>
                <w:kern w:val="0"/>
                <w:sz w:val="20"/>
              </w:rPr>
            </w:pPr>
            <w:r>
              <w:rPr>
                <w:rFonts w:hint="eastAsia" w:ascii="宋体" w:hAnsi="宋体" w:cs="宋体"/>
                <w:b/>
                <w:bCs/>
                <w:kern w:val="0"/>
                <w:sz w:val="20"/>
              </w:rPr>
              <w:t>　</w:t>
            </w:r>
          </w:p>
        </w:tc>
        <w:tc>
          <w:tcPr>
            <w:tcW w:w="1160" w:type="dxa"/>
            <w:tcBorders>
              <w:top w:val="nil"/>
              <w:left w:val="nil"/>
              <w:bottom w:val="single" w:color="auto" w:sz="4" w:space="0"/>
              <w:right w:val="single" w:color="auto" w:sz="4" w:space="0"/>
            </w:tcBorders>
            <w:noWrap w:val="0"/>
            <w:vAlign w:val="center"/>
          </w:tcPr>
          <w:p w14:paraId="0D916DA1">
            <w:pPr>
              <w:widowControl/>
              <w:jc w:val="right"/>
              <w:rPr>
                <w:rFonts w:ascii="宋体" w:hAnsi="宋体" w:cs="宋体"/>
                <w:b/>
                <w:bCs/>
                <w:kern w:val="0"/>
                <w:sz w:val="20"/>
              </w:rPr>
            </w:pPr>
            <w:r>
              <w:rPr>
                <w:rFonts w:hint="eastAsia" w:ascii="宋体" w:hAnsi="宋体" w:cs="宋体"/>
                <w:b/>
                <w:bCs/>
                <w:kern w:val="0"/>
                <w:sz w:val="20"/>
              </w:rPr>
              <w:t>　</w:t>
            </w:r>
          </w:p>
        </w:tc>
      </w:tr>
      <w:tr w14:paraId="36316F47">
        <w:tblPrEx>
          <w:tblCellMar>
            <w:top w:w="0" w:type="dxa"/>
            <w:left w:w="108" w:type="dxa"/>
            <w:bottom w:w="0" w:type="dxa"/>
            <w:right w:w="108" w:type="dxa"/>
          </w:tblCellMar>
        </w:tblPrEx>
        <w:trPr>
          <w:trHeight w:val="499" w:hRule="atLeast"/>
        </w:trPr>
        <w:tc>
          <w:tcPr>
            <w:tcW w:w="3740" w:type="dxa"/>
            <w:tcBorders>
              <w:top w:val="single" w:color="auto" w:sz="4" w:space="0"/>
              <w:left w:val="single" w:color="auto" w:sz="4" w:space="0"/>
              <w:bottom w:val="single" w:color="auto" w:sz="4" w:space="0"/>
              <w:right w:val="single" w:color="auto" w:sz="4" w:space="0"/>
            </w:tcBorders>
            <w:noWrap w:val="0"/>
            <w:vAlign w:val="center"/>
          </w:tcPr>
          <w:p w14:paraId="206BBD34">
            <w:pPr>
              <w:widowControl/>
              <w:jc w:val="center"/>
              <w:rPr>
                <w:rFonts w:hint="eastAsia" w:ascii="宋体" w:hAnsi="宋体" w:cs="宋体"/>
                <w:b/>
                <w:bCs/>
                <w:kern w:val="0"/>
                <w:sz w:val="20"/>
              </w:rPr>
            </w:pPr>
          </w:p>
        </w:tc>
        <w:tc>
          <w:tcPr>
            <w:tcW w:w="1020" w:type="dxa"/>
            <w:tcBorders>
              <w:top w:val="single" w:color="auto" w:sz="4" w:space="0"/>
              <w:left w:val="nil"/>
              <w:bottom w:val="single" w:color="auto" w:sz="4" w:space="0"/>
              <w:right w:val="single" w:color="auto" w:sz="4" w:space="0"/>
            </w:tcBorders>
            <w:noWrap w:val="0"/>
            <w:vAlign w:val="center"/>
          </w:tcPr>
          <w:p w14:paraId="7FC8CFB0">
            <w:pPr>
              <w:widowControl/>
              <w:jc w:val="right"/>
              <w:rPr>
                <w:rFonts w:hint="eastAsia" w:ascii="宋体" w:hAnsi="宋体" w:cs="宋体"/>
                <w:b/>
                <w:bCs/>
                <w:kern w:val="0"/>
                <w:sz w:val="20"/>
              </w:rPr>
            </w:pPr>
          </w:p>
        </w:tc>
        <w:tc>
          <w:tcPr>
            <w:tcW w:w="1280" w:type="dxa"/>
            <w:tcBorders>
              <w:top w:val="single" w:color="auto" w:sz="4" w:space="0"/>
              <w:left w:val="nil"/>
              <w:bottom w:val="single" w:color="auto" w:sz="4" w:space="0"/>
              <w:right w:val="single" w:color="auto" w:sz="4" w:space="0"/>
            </w:tcBorders>
            <w:noWrap w:val="0"/>
            <w:vAlign w:val="center"/>
          </w:tcPr>
          <w:p w14:paraId="3AA644D4">
            <w:pPr>
              <w:widowControl/>
              <w:jc w:val="left"/>
              <w:rPr>
                <w:rFonts w:hint="eastAsia" w:ascii="宋体" w:hAnsi="宋体" w:cs="宋体"/>
                <w:b/>
                <w:bCs/>
                <w:kern w:val="0"/>
                <w:sz w:val="20"/>
              </w:rPr>
            </w:pPr>
          </w:p>
        </w:tc>
        <w:tc>
          <w:tcPr>
            <w:tcW w:w="1340" w:type="dxa"/>
            <w:tcBorders>
              <w:top w:val="single" w:color="auto" w:sz="4" w:space="0"/>
              <w:left w:val="nil"/>
              <w:bottom w:val="single" w:color="auto" w:sz="4" w:space="0"/>
              <w:right w:val="single" w:color="auto" w:sz="4" w:space="0"/>
            </w:tcBorders>
            <w:noWrap w:val="0"/>
            <w:vAlign w:val="center"/>
          </w:tcPr>
          <w:p w14:paraId="507D039B">
            <w:pPr>
              <w:widowControl/>
              <w:jc w:val="left"/>
              <w:rPr>
                <w:rFonts w:hint="eastAsia" w:ascii="宋体" w:hAnsi="宋体" w:cs="宋体"/>
                <w:b/>
                <w:bCs/>
                <w:kern w:val="0"/>
                <w:sz w:val="20"/>
              </w:rPr>
            </w:pPr>
          </w:p>
        </w:tc>
        <w:tc>
          <w:tcPr>
            <w:tcW w:w="1040" w:type="dxa"/>
            <w:tcBorders>
              <w:top w:val="single" w:color="auto" w:sz="4" w:space="0"/>
              <w:left w:val="nil"/>
              <w:bottom w:val="single" w:color="auto" w:sz="4" w:space="0"/>
              <w:right w:val="single" w:color="auto" w:sz="4" w:space="0"/>
            </w:tcBorders>
            <w:noWrap w:val="0"/>
            <w:vAlign w:val="center"/>
          </w:tcPr>
          <w:p w14:paraId="0BED0817">
            <w:pPr>
              <w:widowControl/>
              <w:jc w:val="center"/>
              <w:rPr>
                <w:rFonts w:hint="eastAsia" w:ascii="宋体" w:hAnsi="宋体" w:cs="宋体"/>
                <w:b/>
                <w:bCs/>
                <w:kern w:val="0"/>
                <w:sz w:val="20"/>
              </w:rPr>
            </w:pPr>
          </w:p>
        </w:tc>
        <w:tc>
          <w:tcPr>
            <w:tcW w:w="700" w:type="dxa"/>
            <w:tcBorders>
              <w:top w:val="single" w:color="auto" w:sz="4" w:space="0"/>
              <w:left w:val="nil"/>
              <w:bottom w:val="single" w:color="auto" w:sz="4" w:space="0"/>
              <w:right w:val="single" w:color="auto" w:sz="4" w:space="0"/>
            </w:tcBorders>
            <w:noWrap w:val="0"/>
            <w:vAlign w:val="center"/>
          </w:tcPr>
          <w:p w14:paraId="1DCE584A">
            <w:pPr>
              <w:widowControl/>
              <w:jc w:val="center"/>
              <w:rPr>
                <w:rFonts w:hint="eastAsia" w:ascii="宋体" w:hAnsi="宋体" w:cs="宋体"/>
                <w:b/>
                <w:bCs/>
                <w:kern w:val="0"/>
                <w:sz w:val="20"/>
              </w:rPr>
            </w:pPr>
          </w:p>
        </w:tc>
        <w:tc>
          <w:tcPr>
            <w:tcW w:w="1020" w:type="dxa"/>
            <w:tcBorders>
              <w:top w:val="single" w:color="auto" w:sz="4" w:space="0"/>
              <w:left w:val="nil"/>
              <w:bottom w:val="single" w:color="auto" w:sz="4" w:space="0"/>
              <w:right w:val="single" w:color="auto" w:sz="4" w:space="0"/>
            </w:tcBorders>
            <w:noWrap w:val="0"/>
            <w:vAlign w:val="center"/>
          </w:tcPr>
          <w:p w14:paraId="25826A8A">
            <w:pPr>
              <w:widowControl/>
              <w:jc w:val="right"/>
              <w:rPr>
                <w:rFonts w:hint="eastAsia" w:ascii="宋体" w:hAnsi="宋体" w:cs="宋体"/>
                <w:b/>
                <w:bCs/>
                <w:kern w:val="0"/>
                <w:sz w:val="20"/>
              </w:rPr>
            </w:pPr>
          </w:p>
        </w:tc>
        <w:tc>
          <w:tcPr>
            <w:tcW w:w="1260" w:type="dxa"/>
            <w:tcBorders>
              <w:top w:val="single" w:color="auto" w:sz="4" w:space="0"/>
              <w:left w:val="nil"/>
              <w:bottom w:val="single" w:color="auto" w:sz="4" w:space="0"/>
              <w:right w:val="single" w:color="auto" w:sz="4" w:space="0"/>
            </w:tcBorders>
            <w:noWrap w:val="0"/>
            <w:vAlign w:val="center"/>
          </w:tcPr>
          <w:p w14:paraId="5D104194">
            <w:pPr>
              <w:widowControl/>
              <w:jc w:val="right"/>
              <w:rPr>
                <w:rFonts w:hint="eastAsia" w:ascii="宋体" w:hAnsi="宋体" w:cs="宋体"/>
                <w:b/>
                <w:bCs/>
                <w:kern w:val="0"/>
                <w:sz w:val="20"/>
              </w:rPr>
            </w:pPr>
          </w:p>
        </w:tc>
        <w:tc>
          <w:tcPr>
            <w:tcW w:w="1260" w:type="dxa"/>
            <w:tcBorders>
              <w:top w:val="single" w:color="auto" w:sz="4" w:space="0"/>
              <w:left w:val="nil"/>
              <w:bottom w:val="single" w:color="auto" w:sz="4" w:space="0"/>
              <w:right w:val="single" w:color="auto" w:sz="4" w:space="0"/>
            </w:tcBorders>
            <w:noWrap w:val="0"/>
            <w:vAlign w:val="center"/>
          </w:tcPr>
          <w:p w14:paraId="77F12143">
            <w:pPr>
              <w:widowControl/>
              <w:jc w:val="right"/>
              <w:rPr>
                <w:rFonts w:hint="eastAsia" w:ascii="宋体" w:hAnsi="宋体" w:cs="宋体"/>
                <w:b/>
                <w:bCs/>
                <w:kern w:val="0"/>
                <w:sz w:val="20"/>
              </w:rPr>
            </w:pPr>
          </w:p>
        </w:tc>
        <w:tc>
          <w:tcPr>
            <w:tcW w:w="1140" w:type="dxa"/>
            <w:tcBorders>
              <w:top w:val="single" w:color="auto" w:sz="4" w:space="0"/>
              <w:left w:val="nil"/>
              <w:bottom w:val="single" w:color="auto" w:sz="4" w:space="0"/>
              <w:right w:val="single" w:color="auto" w:sz="4" w:space="0"/>
            </w:tcBorders>
            <w:noWrap w:val="0"/>
            <w:vAlign w:val="center"/>
          </w:tcPr>
          <w:p w14:paraId="46005DB6">
            <w:pPr>
              <w:widowControl/>
              <w:jc w:val="right"/>
              <w:rPr>
                <w:rFonts w:hint="eastAsia" w:ascii="宋体" w:hAnsi="宋体" w:cs="宋体"/>
                <w:b/>
                <w:bCs/>
                <w:kern w:val="0"/>
                <w:sz w:val="20"/>
              </w:rPr>
            </w:pPr>
          </w:p>
        </w:tc>
        <w:tc>
          <w:tcPr>
            <w:tcW w:w="1160" w:type="dxa"/>
            <w:tcBorders>
              <w:top w:val="single" w:color="auto" w:sz="4" w:space="0"/>
              <w:left w:val="nil"/>
              <w:bottom w:val="single" w:color="auto" w:sz="4" w:space="0"/>
              <w:right w:val="single" w:color="auto" w:sz="4" w:space="0"/>
            </w:tcBorders>
            <w:noWrap w:val="0"/>
            <w:vAlign w:val="center"/>
          </w:tcPr>
          <w:p w14:paraId="0F08B394">
            <w:pPr>
              <w:widowControl/>
              <w:jc w:val="right"/>
              <w:rPr>
                <w:rFonts w:hint="eastAsia" w:ascii="宋体" w:hAnsi="宋体" w:cs="宋体"/>
                <w:b/>
                <w:bCs/>
                <w:kern w:val="0"/>
                <w:sz w:val="20"/>
              </w:rPr>
            </w:pPr>
          </w:p>
        </w:tc>
      </w:tr>
      <w:tr w14:paraId="4333DA34">
        <w:tblPrEx>
          <w:tblCellMar>
            <w:top w:w="0" w:type="dxa"/>
            <w:left w:w="108" w:type="dxa"/>
            <w:bottom w:w="0" w:type="dxa"/>
            <w:right w:w="108" w:type="dxa"/>
          </w:tblCellMar>
        </w:tblPrEx>
        <w:trPr>
          <w:trHeight w:val="499" w:hRule="atLeast"/>
        </w:trPr>
        <w:tc>
          <w:tcPr>
            <w:tcW w:w="14960" w:type="dxa"/>
            <w:gridSpan w:val="11"/>
            <w:tcBorders>
              <w:top w:val="single" w:color="auto" w:sz="4" w:space="0"/>
              <w:left w:val="single" w:color="auto" w:sz="4" w:space="0"/>
              <w:bottom w:val="single" w:color="auto" w:sz="4" w:space="0"/>
              <w:right w:val="single" w:color="auto" w:sz="4" w:space="0"/>
            </w:tcBorders>
            <w:noWrap w:val="0"/>
            <w:vAlign w:val="center"/>
          </w:tcPr>
          <w:p w14:paraId="7C9F63C4">
            <w:pPr>
              <w:widowControl/>
              <w:jc w:val="left"/>
              <w:rPr>
                <w:rFonts w:hint="eastAsia" w:ascii="宋体" w:hAnsi="宋体" w:eastAsia="宋体" w:cs="宋体"/>
                <w:b/>
                <w:bCs/>
                <w:kern w:val="0"/>
                <w:sz w:val="20"/>
                <w:lang w:val="en-US" w:eastAsia="zh-CN"/>
              </w:rPr>
            </w:pPr>
            <w:r>
              <w:rPr>
                <w:rFonts w:hint="eastAsia" w:ascii="宋体" w:hAnsi="宋体" w:cs="宋体"/>
                <w:b/>
                <w:bCs/>
                <w:kern w:val="0"/>
                <w:sz w:val="20"/>
                <w:lang w:val="en-US" w:eastAsia="zh-CN"/>
              </w:rPr>
              <w:t xml:space="preserve">       注：无政府采购项目，空表列示。</w:t>
            </w:r>
          </w:p>
        </w:tc>
      </w:tr>
    </w:tbl>
    <w:p w14:paraId="76B9886C">
      <w:pPr>
        <w:spacing w:line="560" w:lineRule="exact"/>
        <w:ind w:firstLine="708" w:firstLineChars="196"/>
        <w:rPr>
          <w:rFonts w:hint="eastAsia" w:ascii="宋体" w:hAnsi="宋体" w:eastAsia="宋体" w:cs="宋体"/>
          <w:b w:val="0"/>
          <w:bCs/>
          <w:kern w:val="0"/>
          <w:sz w:val="24"/>
          <w:szCs w:val="24"/>
          <w:lang w:val="en-US" w:eastAsia="zh-CN"/>
        </w:rPr>
      </w:pPr>
      <w:r>
        <w:rPr>
          <w:rFonts w:hint="eastAsia" w:ascii="黑体" w:eastAsia="黑体" w:cs="FZFSK--GBK1-0"/>
          <w:b/>
          <w:kern w:val="0"/>
          <w:sz w:val="36"/>
          <w:szCs w:val="36"/>
          <w:lang w:val="en-US" w:eastAsia="zh-CN"/>
        </w:rPr>
        <w:t xml:space="preserve">                                                                 </w:t>
      </w:r>
      <w:r>
        <w:rPr>
          <w:rFonts w:hint="eastAsia" w:ascii="宋体" w:hAnsi="宋体" w:eastAsia="宋体" w:cs="宋体"/>
          <w:b/>
          <w:kern w:val="0"/>
          <w:sz w:val="24"/>
          <w:szCs w:val="24"/>
          <w:lang w:val="en-US" w:eastAsia="zh-CN"/>
        </w:rPr>
        <w:t xml:space="preserve"> </w:t>
      </w:r>
    </w:p>
    <w:p w14:paraId="18BABA18">
      <w:pPr>
        <w:spacing w:line="560" w:lineRule="exact"/>
        <w:ind w:firstLine="723" w:firstLineChars="200"/>
        <w:rPr>
          <w:rFonts w:hint="eastAsia" w:ascii="黑体" w:hAnsi="宋体" w:eastAsia="黑体" w:cs="FZFSK--GBK1-0"/>
          <w:b/>
          <w:kern w:val="0"/>
          <w:sz w:val="36"/>
          <w:szCs w:val="36"/>
        </w:rPr>
      </w:pPr>
    </w:p>
    <w:p w14:paraId="492C6910">
      <w:pPr>
        <w:spacing w:line="560" w:lineRule="exact"/>
        <w:ind w:firstLine="723" w:firstLineChars="200"/>
        <w:rPr>
          <w:rFonts w:hint="eastAsia" w:ascii="黑体" w:hAnsi="宋体" w:eastAsia="黑体" w:cs="FZFSK--GBK1-0"/>
          <w:b/>
          <w:kern w:val="0"/>
          <w:sz w:val="36"/>
          <w:szCs w:val="36"/>
        </w:rPr>
      </w:pPr>
    </w:p>
    <w:p w14:paraId="3ADE78B0">
      <w:pPr>
        <w:spacing w:line="560" w:lineRule="exact"/>
        <w:ind w:firstLine="723" w:firstLineChars="200"/>
        <w:rPr>
          <w:rFonts w:hint="eastAsia" w:ascii="黑体" w:hAnsi="宋体" w:eastAsia="黑体" w:cs="FZFSK--GBK1-0"/>
          <w:b/>
          <w:kern w:val="0"/>
          <w:sz w:val="36"/>
          <w:szCs w:val="36"/>
        </w:rPr>
      </w:pPr>
    </w:p>
    <w:p w14:paraId="615A430E">
      <w:pPr>
        <w:spacing w:line="560" w:lineRule="exact"/>
        <w:ind w:firstLine="723" w:firstLineChars="200"/>
        <w:rPr>
          <w:rFonts w:hint="eastAsia" w:ascii="黑体" w:hAnsi="宋体" w:eastAsia="黑体" w:cs="FZFSK--GBK1-0"/>
          <w:b/>
          <w:kern w:val="0"/>
          <w:sz w:val="36"/>
          <w:szCs w:val="36"/>
        </w:rPr>
      </w:pPr>
    </w:p>
    <w:p w14:paraId="1A85F349">
      <w:pPr>
        <w:spacing w:line="560" w:lineRule="exact"/>
        <w:ind w:firstLine="723" w:firstLineChars="200"/>
        <w:rPr>
          <w:rFonts w:hint="eastAsia" w:ascii="黑体" w:hAnsi="宋体" w:eastAsia="黑体" w:cs="FZFSK--GBK1-0"/>
          <w:b/>
          <w:kern w:val="0"/>
          <w:sz w:val="36"/>
          <w:szCs w:val="36"/>
        </w:rPr>
      </w:pPr>
    </w:p>
    <w:p w14:paraId="6E87AD21">
      <w:pPr>
        <w:spacing w:line="560" w:lineRule="exact"/>
        <w:ind w:firstLine="723" w:firstLineChars="200"/>
        <w:rPr>
          <w:rFonts w:hint="eastAsia" w:ascii="黑体" w:hAnsi="宋体" w:eastAsia="黑体" w:cs="FZFSK--GBK1-0"/>
          <w:b/>
          <w:kern w:val="0"/>
          <w:sz w:val="36"/>
          <w:szCs w:val="36"/>
        </w:rPr>
      </w:pPr>
    </w:p>
    <w:p w14:paraId="281AF4B8">
      <w:pPr>
        <w:spacing w:line="560" w:lineRule="exact"/>
        <w:ind w:firstLine="723" w:firstLineChars="200"/>
        <w:rPr>
          <w:rFonts w:hint="eastAsia" w:ascii="黑体" w:hAnsi="宋体" w:eastAsia="黑体" w:cs="FZFSK--GBK1-0"/>
          <w:b/>
          <w:kern w:val="0"/>
          <w:sz w:val="36"/>
          <w:szCs w:val="36"/>
        </w:rPr>
      </w:pPr>
    </w:p>
    <w:p w14:paraId="7041C8D6">
      <w:pPr>
        <w:spacing w:line="560" w:lineRule="exact"/>
        <w:ind w:firstLine="723" w:firstLineChars="200"/>
        <w:rPr>
          <w:rFonts w:hint="eastAsia" w:ascii="黑体" w:eastAsia="黑体" w:cs="FZFSK--GBK1-0"/>
          <w:b/>
          <w:kern w:val="0"/>
          <w:sz w:val="36"/>
          <w:szCs w:val="36"/>
        </w:rPr>
      </w:pPr>
      <w:r>
        <w:rPr>
          <w:rFonts w:hint="eastAsia" w:ascii="黑体" w:hAnsi="宋体" w:eastAsia="黑体" w:cs="FZFSK--GBK1-0"/>
          <w:b/>
          <w:kern w:val="0"/>
          <w:sz w:val="36"/>
          <w:szCs w:val="36"/>
        </w:rPr>
        <w:t xml:space="preserve">七、 </w:t>
      </w:r>
      <w:r>
        <w:rPr>
          <w:rFonts w:hint="eastAsia" w:ascii="黑体" w:eastAsia="黑体" w:cs="FZFSK--GBK1-0"/>
          <w:b/>
          <w:kern w:val="0"/>
          <w:sz w:val="36"/>
          <w:szCs w:val="36"/>
        </w:rPr>
        <w:t>国有资产信息</w:t>
      </w:r>
    </w:p>
    <w:p w14:paraId="1BEAE517">
      <w:pPr>
        <w:ind w:firstLine="1024" w:firstLineChars="366"/>
        <w:rPr>
          <w:rFonts w:hint="eastAsia" w:ascii="宋体" w:hAnsi="宋体" w:cs="宋体"/>
          <w:sz w:val="32"/>
          <w:szCs w:val="32"/>
        </w:rPr>
      </w:pPr>
      <w:r>
        <w:rPr>
          <w:rFonts w:hint="eastAsia" w:eastAsia="方正仿宋_GBK"/>
          <w:kern w:val="2"/>
          <w:sz w:val="28"/>
          <w:szCs w:val="28"/>
          <w:lang w:val="en-US" w:eastAsia="zh-CN" w:bidi="ar-SA"/>
        </w:rPr>
        <w:t>截止2020年12月31日，我单位固定资产清查值20.949万元，详见下表。</w:t>
      </w:r>
    </w:p>
    <w:tbl>
      <w:tblPr>
        <w:tblStyle w:val="5"/>
        <w:tblW w:w="0" w:type="auto"/>
        <w:jc w:val="center"/>
        <w:tblLayout w:type="fixed"/>
        <w:tblCellMar>
          <w:top w:w="15" w:type="dxa"/>
          <w:left w:w="15" w:type="dxa"/>
          <w:bottom w:w="15" w:type="dxa"/>
          <w:right w:w="15" w:type="dxa"/>
        </w:tblCellMar>
      </w:tblPr>
      <w:tblGrid>
        <w:gridCol w:w="3465"/>
        <w:gridCol w:w="3795"/>
        <w:gridCol w:w="5355"/>
      </w:tblGrid>
      <w:tr w14:paraId="43459858">
        <w:tblPrEx>
          <w:tblCellMar>
            <w:top w:w="15" w:type="dxa"/>
            <w:left w:w="15" w:type="dxa"/>
            <w:bottom w:w="15" w:type="dxa"/>
            <w:right w:w="15" w:type="dxa"/>
          </w:tblCellMar>
        </w:tblPrEx>
        <w:trPr>
          <w:trHeight w:val="515" w:hRule="atLeast"/>
          <w:jc w:val="center"/>
        </w:trPr>
        <w:tc>
          <w:tcPr>
            <w:tcW w:w="3465" w:type="dxa"/>
            <w:tcBorders>
              <w:top w:val="single" w:color="000000" w:sz="4" w:space="0"/>
              <w:left w:val="single" w:color="000000" w:sz="4" w:space="0"/>
              <w:bottom w:val="single" w:color="000000" w:sz="4" w:space="0"/>
              <w:right w:val="single" w:color="000000" w:sz="4" w:space="0"/>
            </w:tcBorders>
            <w:noWrap w:val="0"/>
            <w:vAlign w:val="center"/>
          </w:tcPr>
          <w:p w14:paraId="5F32BB2C">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项目</w:t>
            </w:r>
          </w:p>
        </w:tc>
        <w:tc>
          <w:tcPr>
            <w:tcW w:w="3795" w:type="dxa"/>
            <w:tcBorders>
              <w:top w:val="single" w:color="000000" w:sz="4" w:space="0"/>
              <w:left w:val="single" w:color="000000" w:sz="4" w:space="0"/>
              <w:bottom w:val="single" w:color="000000" w:sz="4" w:space="0"/>
              <w:right w:val="single" w:color="000000" w:sz="4" w:space="0"/>
            </w:tcBorders>
            <w:noWrap w:val="0"/>
            <w:vAlign w:val="center"/>
          </w:tcPr>
          <w:p w14:paraId="38BDA8C7">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数量</w:t>
            </w:r>
          </w:p>
        </w:tc>
        <w:tc>
          <w:tcPr>
            <w:tcW w:w="5355" w:type="dxa"/>
            <w:tcBorders>
              <w:top w:val="single" w:color="000000" w:sz="4" w:space="0"/>
              <w:left w:val="single" w:color="000000" w:sz="4" w:space="0"/>
              <w:bottom w:val="single" w:color="000000" w:sz="4" w:space="0"/>
              <w:right w:val="single" w:color="000000" w:sz="4" w:space="0"/>
            </w:tcBorders>
            <w:noWrap w:val="0"/>
            <w:vAlign w:val="center"/>
          </w:tcPr>
          <w:p w14:paraId="6D24A267">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价值（金额单位：元）</w:t>
            </w:r>
          </w:p>
        </w:tc>
      </w:tr>
      <w:tr w14:paraId="1B3CAB3F">
        <w:tblPrEx>
          <w:tblCellMar>
            <w:top w:w="15" w:type="dxa"/>
            <w:left w:w="15" w:type="dxa"/>
            <w:bottom w:w="15" w:type="dxa"/>
            <w:right w:w="15" w:type="dxa"/>
          </w:tblCellMar>
        </w:tblPrEx>
        <w:trPr>
          <w:trHeight w:val="395" w:hRule="atLeast"/>
          <w:jc w:val="center"/>
        </w:trPr>
        <w:tc>
          <w:tcPr>
            <w:tcW w:w="3465" w:type="dxa"/>
            <w:tcBorders>
              <w:top w:val="single" w:color="000000" w:sz="4" w:space="0"/>
              <w:left w:val="single" w:color="000000" w:sz="4" w:space="0"/>
              <w:bottom w:val="single" w:color="000000" w:sz="4" w:space="0"/>
              <w:right w:val="single" w:color="000000" w:sz="4" w:space="0"/>
            </w:tcBorders>
            <w:noWrap w:val="0"/>
            <w:vAlign w:val="center"/>
          </w:tcPr>
          <w:p w14:paraId="6B0BB8A5">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固定资产总额</w:t>
            </w:r>
          </w:p>
        </w:tc>
        <w:tc>
          <w:tcPr>
            <w:tcW w:w="3795" w:type="dxa"/>
            <w:tcBorders>
              <w:top w:val="single" w:color="000000" w:sz="4" w:space="0"/>
              <w:left w:val="single" w:color="000000" w:sz="4" w:space="0"/>
              <w:bottom w:val="single" w:color="000000" w:sz="4" w:space="0"/>
              <w:right w:val="single" w:color="000000" w:sz="4" w:space="0"/>
            </w:tcBorders>
            <w:noWrap w:val="0"/>
            <w:vAlign w:val="center"/>
          </w:tcPr>
          <w:p w14:paraId="600CAA2C">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w:t>
            </w:r>
          </w:p>
        </w:tc>
        <w:tc>
          <w:tcPr>
            <w:tcW w:w="5355" w:type="dxa"/>
            <w:tcBorders>
              <w:top w:val="single" w:color="000000" w:sz="4" w:space="0"/>
              <w:left w:val="single" w:color="000000" w:sz="4" w:space="0"/>
              <w:bottom w:val="single" w:color="000000" w:sz="4" w:space="0"/>
              <w:right w:val="single" w:color="000000" w:sz="4" w:space="0"/>
            </w:tcBorders>
            <w:noWrap w:val="0"/>
            <w:vAlign w:val="center"/>
          </w:tcPr>
          <w:p w14:paraId="205F0424">
            <w:pPr>
              <w:widowControl/>
              <w:jc w:val="center"/>
              <w:textAlignment w:val="center"/>
              <w:rPr>
                <w:rFonts w:hint="default"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20.949</w:t>
            </w:r>
          </w:p>
        </w:tc>
      </w:tr>
      <w:tr w14:paraId="438111DD">
        <w:tblPrEx>
          <w:tblCellMar>
            <w:top w:w="15" w:type="dxa"/>
            <w:left w:w="15" w:type="dxa"/>
            <w:bottom w:w="15" w:type="dxa"/>
            <w:right w:w="15" w:type="dxa"/>
          </w:tblCellMar>
        </w:tblPrEx>
        <w:trPr>
          <w:trHeight w:val="600" w:hRule="atLeast"/>
          <w:jc w:val="center"/>
        </w:trPr>
        <w:tc>
          <w:tcPr>
            <w:tcW w:w="3465" w:type="dxa"/>
            <w:tcBorders>
              <w:top w:val="single" w:color="000000" w:sz="4" w:space="0"/>
              <w:left w:val="single" w:color="000000" w:sz="4" w:space="0"/>
              <w:bottom w:val="single" w:color="000000" w:sz="4" w:space="0"/>
              <w:right w:val="single" w:color="000000" w:sz="4" w:space="0"/>
            </w:tcBorders>
            <w:noWrap w:val="0"/>
            <w:vAlign w:val="center"/>
          </w:tcPr>
          <w:p w14:paraId="69D68F2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1.房屋（平方米）</w:t>
            </w:r>
          </w:p>
        </w:tc>
        <w:tc>
          <w:tcPr>
            <w:tcW w:w="3795" w:type="dxa"/>
            <w:tcBorders>
              <w:top w:val="single" w:color="000000" w:sz="4" w:space="0"/>
              <w:left w:val="single" w:color="000000" w:sz="4" w:space="0"/>
              <w:bottom w:val="single" w:color="000000" w:sz="4" w:space="0"/>
              <w:right w:val="single" w:color="000000" w:sz="4" w:space="0"/>
            </w:tcBorders>
            <w:noWrap w:val="0"/>
            <w:vAlign w:val="center"/>
          </w:tcPr>
          <w:p w14:paraId="3902097F">
            <w:pPr>
              <w:rPr>
                <w:rFonts w:hint="eastAsia" w:ascii="宋体" w:hAnsi="宋体" w:cs="宋体"/>
                <w:color w:val="000000"/>
                <w:sz w:val="20"/>
                <w:szCs w:val="20"/>
              </w:rPr>
            </w:pPr>
          </w:p>
        </w:tc>
        <w:tc>
          <w:tcPr>
            <w:tcW w:w="5355" w:type="dxa"/>
            <w:tcBorders>
              <w:top w:val="single" w:color="000000" w:sz="4" w:space="0"/>
              <w:left w:val="single" w:color="000000" w:sz="4" w:space="0"/>
              <w:bottom w:val="single" w:color="000000" w:sz="4" w:space="0"/>
              <w:right w:val="single" w:color="000000" w:sz="4" w:space="0"/>
            </w:tcBorders>
            <w:noWrap w:val="0"/>
            <w:vAlign w:val="center"/>
          </w:tcPr>
          <w:p w14:paraId="37510F47">
            <w:pPr>
              <w:rPr>
                <w:rFonts w:hint="eastAsia" w:ascii="宋体" w:hAnsi="宋体" w:cs="宋体"/>
                <w:color w:val="000000"/>
                <w:sz w:val="20"/>
                <w:szCs w:val="20"/>
              </w:rPr>
            </w:pPr>
          </w:p>
        </w:tc>
      </w:tr>
      <w:tr w14:paraId="7987DE5F">
        <w:tblPrEx>
          <w:tblCellMar>
            <w:top w:w="15" w:type="dxa"/>
            <w:left w:w="15" w:type="dxa"/>
            <w:bottom w:w="15" w:type="dxa"/>
            <w:right w:w="15" w:type="dxa"/>
          </w:tblCellMar>
        </w:tblPrEx>
        <w:trPr>
          <w:trHeight w:val="600" w:hRule="atLeast"/>
          <w:jc w:val="center"/>
        </w:trPr>
        <w:tc>
          <w:tcPr>
            <w:tcW w:w="3465" w:type="dxa"/>
            <w:tcBorders>
              <w:top w:val="single" w:color="000000" w:sz="4" w:space="0"/>
              <w:left w:val="single" w:color="000000" w:sz="4" w:space="0"/>
              <w:bottom w:val="single" w:color="000000" w:sz="4" w:space="0"/>
              <w:right w:val="single" w:color="000000" w:sz="4" w:space="0"/>
            </w:tcBorders>
            <w:noWrap w:val="0"/>
            <w:vAlign w:val="center"/>
          </w:tcPr>
          <w:p w14:paraId="02E53BF2">
            <w:pPr>
              <w:widowControl/>
              <w:ind w:firstLine="400" w:firstLineChars="200"/>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其中：办公用房</w:t>
            </w:r>
          </w:p>
        </w:tc>
        <w:tc>
          <w:tcPr>
            <w:tcW w:w="3795" w:type="dxa"/>
            <w:tcBorders>
              <w:top w:val="single" w:color="000000" w:sz="4" w:space="0"/>
              <w:left w:val="single" w:color="000000" w:sz="4" w:space="0"/>
              <w:bottom w:val="single" w:color="000000" w:sz="4" w:space="0"/>
              <w:right w:val="single" w:color="000000" w:sz="4" w:space="0"/>
            </w:tcBorders>
            <w:noWrap w:val="0"/>
            <w:vAlign w:val="center"/>
          </w:tcPr>
          <w:p w14:paraId="08333EDA">
            <w:pPr>
              <w:rPr>
                <w:rFonts w:hint="eastAsia" w:ascii="宋体" w:hAnsi="宋体" w:cs="宋体"/>
                <w:color w:val="000000"/>
                <w:sz w:val="20"/>
                <w:szCs w:val="20"/>
              </w:rPr>
            </w:pPr>
          </w:p>
        </w:tc>
        <w:tc>
          <w:tcPr>
            <w:tcW w:w="5355" w:type="dxa"/>
            <w:tcBorders>
              <w:top w:val="single" w:color="000000" w:sz="4" w:space="0"/>
              <w:left w:val="single" w:color="000000" w:sz="4" w:space="0"/>
              <w:bottom w:val="single" w:color="000000" w:sz="4" w:space="0"/>
              <w:right w:val="single" w:color="000000" w:sz="4" w:space="0"/>
            </w:tcBorders>
            <w:noWrap w:val="0"/>
            <w:vAlign w:val="center"/>
          </w:tcPr>
          <w:p w14:paraId="7C580EF7">
            <w:pPr>
              <w:rPr>
                <w:rFonts w:hint="eastAsia" w:ascii="宋体" w:hAnsi="宋体" w:cs="宋体"/>
                <w:color w:val="000000"/>
                <w:sz w:val="20"/>
                <w:szCs w:val="20"/>
              </w:rPr>
            </w:pPr>
          </w:p>
        </w:tc>
      </w:tr>
      <w:tr w14:paraId="13E36A2F">
        <w:tblPrEx>
          <w:tblCellMar>
            <w:top w:w="15" w:type="dxa"/>
            <w:left w:w="15" w:type="dxa"/>
            <w:bottom w:w="15" w:type="dxa"/>
            <w:right w:w="15" w:type="dxa"/>
          </w:tblCellMar>
        </w:tblPrEx>
        <w:trPr>
          <w:trHeight w:val="600" w:hRule="atLeast"/>
          <w:jc w:val="center"/>
        </w:trPr>
        <w:tc>
          <w:tcPr>
            <w:tcW w:w="3465" w:type="dxa"/>
            <w:tcBorders>
              <w:top w:val="single" w:color="000000" w:sz="4" w:space="0"/>
              <w:left w:val="single" w:color="000000" w:sz="4" w:space="0"/>
              <w:bottom w:val="single" w:color="000000" w:sz="4" w:space="0"/>
              <w:right w:val="single" w:color="000000" w:sz="4" w:space="0"/>
            </w:tcBorders>
            <w:noWrap w:val="0"/>
            <w:vAlign w:val="center"/>
          </w:tcPr>
          <w:p w14:paraId="7768099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2.车辆（台、辆）</w:t>
            </w:r>
          </w:p>
        </w:tc>
        <w:tc>
          <w:tcPr>
            <w:tcW w:w="3795" w:type="dxa"/>
            <w:tcBorders>
              <w:top w:val="single" w:color="000000" w:sz="4" w:space="0"/>
              <w:left w:val="single" w:color="000000" w:sz="4" w:space="0"/>
              <w:bottom w:val="single" w:color="000000" w:sz="4" w:space="0"/>
              <w:right w:val="single" w:color="000000" w:sz="4" w:space="0"/>
            </w:tcBorders>
            <w:noWrap w:val="0"/>
            <w:vAlign w:val="center"/>
          </w:tcPr>
          <w:p w14:paraId="1D7B1F1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5355" w:type="dxa"/>
            <w:tcBorders>
              <w:top w:val="single" w:color="000000" w:sz="4" w:space="0"/>
              <w:left w:val="single" w:color="000000" w:sz="4" w:space="0"/>
              <w:bottom w:val="single" w:color="000000" w:sz="4" w:space="0"/>
              <w:right w:val="single" w:color="000000" w:sz="4" w:space="0"/>
            </w:tcBorders>
            <w:noWrap w:val="0"/>
            <w:vAlign w:val="center"/>
          </w:tcPr>
          <w:p w14:paraId="2F8E6EEA">
            <w:pPr>
              <w:widowControl/>
              <w:jc w:val="center"/>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val="en-US" w:eastAsia="zh-CN" w:bidi="ar"/>
              </w:rPr>
              <w:t>0</w:t>
            </w:r>
          </w:p>
        </w:tc>
      </w:tr>
      <w:tr w14:paraId="5A875D93">
        <w:tblPrEx>
          <w:tblCellMar>
            <w:top w:w="15" w:type="dxa"/>
            <w:left w:w="15" w:type="dxa"/>
            <w:bottom w:w="15" w:type="dxa"/>
            <w:right w:w="15" w:type="dxa"/>
          </w:tblCellMar>
        </w:tblPrEx>
        <w:trPr>
          <w:trHeight w:val="600" w:hRule="atLeast"/>
          <w:jc w:val="center"/>
        </w:trPr>
        <w:tc>
          <w:tcPr>
            <w:tcW w:w="3465" w:type="dxa"/>
            <w:tcBorders>
              <w:top w:val="single" w:color="000000" w:sz="4" w:space="0"/>
              <w:left w:val="single" w:color="000000" w:sz="4" w:space="0"/>
              <w:bottom w:val="single" w:color="000000" w:sz="4" w:space="0"/>
              <w:right w:val="single" w:color="000000" w:sz="4" w:space="0"/>
            </w:tcBorders>
            <w:noWrap w:val="0"/>
            <w:vAlign w:val="center"/>
          </w:tcPr>
          <w:p w14:paraId="0E4EB37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3.其他固定资产</w:t>
            </w:r>
          </w:p>
        </w:tc>
        <w:tc>
          <w:tcPr>
            <w:tcW w:w="3795" w:type="dxa"/>
            <w:tcBorders>
              <w:top w:val="single" w:color="000000" w:sz="4" w:space="0"/>
              <w:left w:val="single" w:color="000000" w:sz="4" w:space="0"/>
              <w:bottom w:val="single" w:color="000000" w:sz="4" w:space="0"/>
              <w:right w:val="single" w:color="000000" w:sz="4" w:space="0"/>
            </w:tcBorders>
            <w:noWrap w:val="0"/>
            <w:vAlign w:val="center"/>
          </w:tcPr>
          <w:p w14:paraId="1AC609CF">
            <w:pPr>
              <w:widowControl/>
              <w:jc w:val="center"/>
              <w:textAlignment w:val="center"/>
              <w:rPr>
                <w:rFonts w:hint="eastAsia" w:ascii="宋体" w:hAnsi="宋体" w:cs="宋体"/>
                <w:color w:val="000000"/>
                <w:sz w:val="20"/>
                <w:szCs w:val="20"/>
              </w:rPr>
            </w:pPr>
          </w:p>
        </w:tc>
        <w:tc>
          <w:tcPr>
            <w:tcW w:w="5355" w:type="dxa"/>
            <w:tcBorders>
              <w:top w:val="single" w:color="000000" w:sz="4" w:space="0"/>
              <w:left w:val="single" w:color="000000" w:sz="4" w:space="0"/>
              <w:bottom w:val="single" w:color="000000" w:sz="4" w:space="0"/>
              <w:right w:val="single" w:color="000000" w:sz="4" w:space="0"/>
            </w:tcBorders>
            <w:noWrap w:val="0"/>
            <w:vAlign w:val="center"/>
          </w:tcPr>
          <w:p w14:paraId="2C926FF1">
            <w:pPr>
              <w:widowControl/>
              <w:jc w:val="center"/>
              <w:textAlignment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20.949</w:t>
            </w:r>
          </w:p>
        </w:tc>
      </w:tr>
    </w:tbl>
    <w:p w14:paraId="569B245B">
      <w:pPr>
        <w:ind w:firstLine="560"/>
        <w:rPr>
          <w:rFonts w:hint="eastAsia" w:ascii="宋体" w:hAnsi="宋体" w:cs="宋体"/>
          <w:sz w:val="32"/>
          <w:szCs w:val="32"/>
        </w:rPr>
      </w:pPr>
    </w:p>
    <w:p w14:paraId="3927AAD2">
      <w:pPr>
        <w:spacing w:line="560" w:lineRule="exact"/>
        <w:ind w:firstLine="645"/>
        <w:rPr>
          <w:rFonts w:hint="eastAsia" w:ascii="宋体" w:hAnsi="宋体" w:cs="FZFSK--GBK1-0"/>
          <w:b/>
          <w:bCs/>
          <w:kern w:val="0"/>
          <w:sz w:val="36"/>
          <w:szCs w:val="36"/>
        </w:rPr>
      </w:pPr>
      <w:r>
        <w:rPr>
          <w:rFonts w:hint="eastAsia" w:ascii="宋体" w:hAnsi="宋体" w:cs="FZFSK--GBK1-0"/>
          <w:b/>
          <w:bCs/>
          <w:kern w:val="0"/>
          <w:sz w:val="36"/>
          <w:szCs w:val="36"/>
        </w:rPr>
        <w:t>八、名词解释</w:t>
      </w:r>
    </w:p>
    <w:p w14:paraId="7B0265D8">
      <w:pPr>
        <w:pStyle w:val="4"/>
        <w:spacing w:line="560" w:lineRule="exact"/>
        <w:ind w:firstLine="643" w:firstLineChars="200"/>
        <w:rPr>
          <w:rFonts w:ascii="仿宋_GB2312" w:hAnsi="仿宋" w:eastAsia="仿宋_GB2312" w:cs="Times New Roman"/>
          <w:kern w:val="2"/>
          <w:sz w:val="32"/>
          <w:szCs w:val="32"/>
        </w:rPr>
      </w:pPr>
      <w:r>
        <w:rPr>
          <w:rFonts w:hint="eastAsia" w:ascii="仿宋_GB2312" w:hAnsi="仿宋" w:eastAsia="仿宋_GB2312" w:cs="Times New Roman"/>
          <w:b/>
          <w:kern w:val="2"/>
          <w:sz w:val="32"/>
          <w:szCs w:val="32"/>
        </w:rPr>
        <w:t>1. 财政拨款收入：</w:t>
      </w:r>
      <w:r>
        <w:rPr>
          <w:rFonts w:hint="eastAsia" w:ascii="仿宋_GB2312" w:hAnsi="仿宋" w:eastAsia="仿宋_GB2312" w:cs="Times New Roman"/>
          <w:kern w:val="2"/>
          <w:sz w:val="32"/>
          <w:szCs w:val="32"/>
        </w:rPr>
        <w:t>指本级财政当年拨付的资金。</w:t>
      </w:r>
    </w:p>
    <w:p w14:paraId="10B2E435">
      <w:pPr>
        <w:pStyle w:val="4"/>
        <w:spacing w:line="560" w:lineRule="exact"/>
        <w:ind w:firstLine="643" w:firstLineChars="200"/>
        <w:rPr>
          <w:rFonts w:ascii="仿宋_GB2312" w:hAnsi="仿宋" w:eastAsia="仿宋_GB2312" w:cs="Times New Roman"/>
          <w:kern w:val="2"/>
          <w:sz w:val="32"/>
          <w:szCs w:val="32"/>
        </w:rPr>
      </w:pPr>
      <w:r>
        <w:rPr>
          <w:rFonts w:hint="eastAsia" w:ascii="仿宋_GB2312" w:hAnsi="仿宋" w:eastAsia="仿宋_GB2312" w:cs="Times New Roman"/>
          <w:b/>
          <w:bCs/>
          <w:kern w:val="2"/>
          <w:sz w:val="32"/>
          <w:szCs w:val="32"/>
        </w:rPr>
        <w:t>2. 一般公共服务（101类）</w:t>
      </w:r>
      <w:r>
        <w:rPr>
          <w:rFonts w:hint="eastAsia" w:ascii="仿宋_GB2312" w:hAnsi="仿宋" w:eastAsia="仿宋_GB2312" w:cs="Times New Roman"/>
          <w:kern w:val="2"/>
          <w:sz w:val="32"/>
          <w:szCs w:val="32"/>
        </w:rPr>
        <w:t>：反映党委提供一般公共服务的支出。</w:t>
      </w:r>
    </w:p>
    <w:p w14:paraId="34291CC5">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xml:space="preserve">　  </w:t>
      </w:r>
      <w:r>
        <w:rPr>
          <w:rFonts w:hint="eastAsia" w:ascii="仿宋" w:hAnsi="仿宋" w:eastAsia="仿宋" w:cs="仿宋"/>
          <w:b/>
          <w:bCs/>
          <w:color w:val="000000"/>
          <w:sz w:val="32"/>
          <w:szCs w:val="32"/>
        </w:rPr>
        <w:t>3. 行政运行（101002项）</w:t>
      </w:r>
      <w:r>
        <w:rPr>
          <w:rFonts w:hint="eastAsia" w:ascii="仿宋" w:hAnsi="仿宋" w:eastAsia="仿宋" w:cs="仿宋"/>
          <w:color w:val="000000"/>
          <w:sz w:val="32"/>
          <w:szCs w:val="32"/>
        </w:rPr>
        <w:t>：反映行政单位（包括实行公务员管理的事业单位）的基本支出。</w:t>
      </w:r>
    </w:p>
    <w:p w14:paraId="08632D29">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4. 社会保障和就业支出（208项）</w:t>
      </w:r>
      <w:r>
        <w:rPr>
          <w:rFonts w:hint="eastAsia" w:ascii="仿宋" w:hAnsi="仿宋" w:eastAsia="仿宋" w:cs="仿宋"/>
          <w:color w:val="000000"/>
          <w:sz w:val="32"/>
          <w:szCs w:val="32"/>
        </w:rPr>
        <w:t>：反映政府在社会保障与就业方面的支出。</w:t>
      </w:r>
    </w:p>
    <w:p w14:paraId="5E02A1CB">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5. 行政事业单位离退休（20805项）</w:t>
      </w:r>
      <w:r>
        <w:rPr>
          <w:rFonts w:hint="eastAsia" w:ascii="仿宋" w:hAnsi="仿宋" w:eastAsia="仿宋" w:cs="仿宋"/>
          <w:color w:val="000000"/>
          <w:sz w:val="32"/>
          <w:szCs w:val="32"/>
        </w:rPr>
        <w:t>：反映用于行政事业单位离退休方面的支出。</w:t>
      </w:r>
    </w:p>
    <w:p w14:paraId="769C26FB">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6. 医疗卫生与计划生育支出（210类）</w:t>
      </w:r>
      <w:r>
        <w:rPr>
          <w:rFonts w:hint="eastAsia" w:ascii="仿宋" w:hAnsi="仿宋" w:eastAsia="仿宋" w:cs="仿宋"/>
          <w:color w:val="000000"/>
          <w:sz w:val="32"/>
          <w:szCs w:val="32"/>
        </w:rPr>
        <w:t>：反映党委医疗卫生方面的支出。</w:t>
      </w:r>
    </w:p>
    <w:p w14:paraId="7448242C">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7. 医疗保障（21005款）：</w:t>
      </w:r>
      <w:r>
        <w:rPr>
          <w:rFonts w:hint="eastAsia" w:ascii="仿宋" w:hAnsi="仿宋" w:eastAsia="仿宋" w:cs="仿宋"/>
          <w:color w:val="000000"/>
          <w:sz w:val="32"/>
          <w:szCs w:val="32"/>
        </w:rPr>
        <w:t>反映用于医疗保障方面的支出。</w:t>
      </w:r>
    </w:p>
    <w:p w14:paraId="22F93291">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xml:space="preserve">　　8. </w:t>
      </w:r>
      <w:r>
        <w:rPr>
          <w:rFonts w:hint="eastAsia" w:ascii="仿宋" w:hAnsi="仿宋" w:eastAsia="仿宋" w:cs="仿宋"/>
          <w:b/>
          <w:bCs/>
          <w:color w:val="000000"/>
          <w:sz w:val="32"/>
          <w:szCs w:val="32"/>
        </w:rPr>
        <w:t>行政单位医疗（2100501项）：</w:t>
      </w:r>
      <w:r>
        <w:rPr>
          <w:rFonts w:hint="eastAsia" w:ascii="仿宋" w:hAnsi="仿宋" w:eastAsia="仿宋" w:cs="仿宋"/>
          <w:color w:val="000000"/>
          <w:sz w:val="32"/>
          <w:szCs w:val="32"/>
        </w:rPr>
        <w:t>反映财政</w:t>
      </w:r>
      <w:r>
        <w:rPr>
          <w:rFonts w:hint="eastAsia" w:ascii="仿宋" w:hAnsi="仿宋" w:eastAsia="仿宋" w:cs="仿宋"/>
          <w:color w:val="000000"/>
          <w:sz w:val="32"/>
          <w:szCs w:val="32"/>
          <w:lang w:eastAsia="zh-CN"/>
        </w:rPr>
        <w:t>本级</w:t>
      </w:r>
      <w:r>
        <w:rPr>
          <w:rFonts w:hint="eastAsia" w:ascii="仿宋" w:hAnsi="仿宋" w:eastAsia="仿宋" w:cs="仿宋"/>
          <w:color w:val="000000"/>
          <w:sz w:val="32"/>
          <w:szCs w:val="32"/>
        </w:rPr>
        <w:t>集中安排的行政单位基本医疗保险缴费经费，未参加医疗保险的行政单位的公费医疗经费，按国家规定享受离休人员、红军老战士待遇人员的医疗经费。</w:t>
      </w:r>
    </w:p>
    <w:p w14:paraId="10C085C7">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9. 基本支出</w:t>
      </w:r>
      <w:r>
        <w:rPr>
          <w:rFonts w:hint="eastAsia" w:ascii="仿宋" w:hAnsi="仿宋" w:eastAsia="仿宋" w:cs="仿宋"/>
          <w:color w:val="000000"/>
          <w:sz w:val="32"/>
          <w:szCs w:val="32"/>
        </w:rPr>
        <w:t>：指为保障机构正常运转、完成日常工作任务而发生的人员支出（包括基本工资、津贴补贴等）和公用支出（包括办公费、水电费、邮电费、交通费、会议费、差旅费等）。</w:t>
      </w:r>
    </w:p>
    <w:p w14:paraId="5F10D1E9">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10. 项目支出：</w:t>
      </w:r>
      <w:r>
        <w:rPr>
          <w:rFonts w:hint="eastAsia" w:ascii="仿宋" w:hAnsi="仿宋" w:eastAsia="仿宋" w:cs="仿宋"/>
          <w:color w:val="000000"/>
          <w:sz w:val="32"/>
          <w:szCs w:val="32"/>
        </w:rPr>
        <w:t>指在基本支出之外为完成特定行政任务和事业发展目标所发生的支出。</w:t>
      </w:r>
    </w:p>
    <w:p w14:paraId="2653B936">
      <w:pPr>
        <w:pStyle w:val="4"/>
        <w:spacing w:line="375" w:lineRule="atLeast"/>
        <w:rPr>
          <w:rFonts w:ascii="仿宋" w:hAnsi="仿宋" w:eastAsia="仿宋" w:cs="仿宋"/>
          <w:sz w:val="32"/>
          <w:szCs w:val="32"/>
        </w:rPr>
      </w:pPr>
      <w:r>
        <w:rPr>
          <w:rFonts w:hint="eastAsia" w:ascii="仿宋" w:hAnsi="仿宋" w:eastAsia="仿宋" w:cs="仿宋"/>
          <w:b/>
          <w:bCs/>
          <w:color w:val="000000"/>
          <w:sz w:val="32"/>
          <w:szCs w:val="32"/>
        </w:rPr>
        <w:t>　　11. "三公"经费：</w:t>
      </w:r>
      <w:r>
        <w:rPr>
          <w:rFonts w:hint="eastAsia" w:ascii="仿宋" w:hAnsi="仿宋" w:eastAsia="仿宋" w:cs="仿宋"/>
          <w:color w:val="000000"/>
          <w:sz w:val="32"/>
          <w:szCs w:val="32"/>
        </w:rPr>
        <w:t>按照有关规定，"三公"经费包括因公出国（境）费、公务接待费、公务用车购置及运行费。</w:t>
      </w:r>
    </w:p>
    <w:p w14:paraId="607A2E95">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12. 因公出国（境）费：</w:t>
      </w:r>
      <w:r>
        <w:rPr>
          <w:rFonts w:hint="eastAsia" w:ascii="仿宋" w:hAnsi="仿宋" w:eastAsia="仿宋" w:cs="仿宋"/>
          <w:color w:val="000000"/>
          <w:sz w:val="32"/>
          <w:szCs w:val="32"/>
        </w:rPr>
        <w:t>指单位工作人员因公务出国（境）的住宿费、旅费、伙食补助费、杂费、培训费等支出。</w:t>
      </w:r>
    </w:p>
    <w:p w14:paraId="07D76673">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　13. 公务接待费：</w:t>
      </w:r>
      <w:r>
        <w:rPr>
          <w:rFonts w:hint="eastAsia" w:ascii="仿宋" w:hAnsi="仿宋" w:eastAsia="仿宋" w:cs="仿宋"/>
          <w:color w:val="000000"/>
          <w:sz w:val="32"/>
          <w:szCs w:val="32"/>
        </w:rPr>
        <w:t>指单位按规定开支的各类公务接待（含外宾接待）支出。</w:t>
      </w:r>
    </w:p>
    <w:p w14:paraId="14D4E9C0">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　14. 公务用车：</w:t>
      </w:r>
      <w:r>
        <w:rPr>
          <w:rFonts w:hint="eastAsia" w:ascii="仿宋" w:hAnsi="仿宋" w:eastAsia="仿宋" w:cs="仿宋"/>
          <w:color w:val="000000"/>
          <w:sz w:val="32"/>
          <w:szCs w:val="32"/>
        </w:rPr>
        <w:t>指单位用于履行公务的车辆，包括领导干部专车、一般公务用车和执法执勤用车。</w:t>
      </w:r>
    </w:p>
    <w:p w14:paraId="3C41DEB3">
      <w:pPr>
        <w:pStyle w:val="4"/>
        <w:spacing w:line="375" w:lineRule="atLeast"/>
        <w:rPr>
          <w:rFonts w:ascii="仿宋" w:hAnsi="仿宋" w:eastAsia="仿宋" w:cs="仿宋"/>
          <w:sz w:val="32"/>
          <w:szCs w:val="32"/>
        </w:rPr>
      </w:pPr>
      <w:r>
        <w:rPr>
          <w:rFonts w:hint="eastAsia" w:ascii="仿宋" w:hAnsi="仿宋" w:eastAsia="仿宋" w:cs="仿宋"/>
          <w:color w:val="000000"/>
          <w:sz w:val="32"/>
          <w:szCs w:val="32"/>
        </w:rPr>
        <w:t>　　</w:t>
      </w:r>
      <w:r>
        <w:rPr>
          <w:rFonts w:hint="eastAsia" w:ascii="仿宋" w:hAnsi="仿宋" w:eastAsia="仿宋" w:cs="仿宋"/>
          <w:b/>
          <w:bCs/>
          <w:color w:val="000000"/>
          <w:sz w:val="32"/>
          <w:szCs w:val="32"/>
        </w:rPr>
        <w:t>16.公务用车购置及运行费：</w:t>
      </w:r>
      <w:r>
        <w:rPr>
          <w:rFonts w:hint="eastAsia" w:ascii="仿宋" w:hAnsi="仿宋" w:eastAsia="仿宋" w:cs="仿宋"/>
          <w:color w:val="000000"/>
          <w:sz w:val="32"/>
          <w:szCs w:val="32"/>
        </w:rPr>
        <w:t>指单位公务用车购置及租用费、燃料费、维修费、过桥过路费、保险费、安全奖励费用等支出。</w:t>
      </w:r>
    </w:p>
    <w:p w14:paraId="0E4B77DC">
      <w:pPr>
        <w:pStyle w:val="4"/>
        <w:spacing w:before="0" w:beforeAutospacing="0" w:after="0" w:afterAutospacing="0" w:line="560" w:lineRule="exact"/>
        <w:rPr>
          <w:rFonts w:cs="Times New Roman"/>
          <w:kern w:val="2"/>
          <w:sz w:val="30"/>
          <w:szCs w:val="30"/>
        </w:rPr>
      </w:pPr>
      <w:r>
        <w:rPr>
          <w:rFonts w:hint="eastAsia"/>
          <w:b/>
          <w:bCs/>
          <w:sz w:val="36"/>
          <w:szCs w:val="36"/>
          <w:lang w:bidi="ar"/>
        </w:rPr>
        <w:t xml:space="preserve"> 九、其他需要说明的事项</w:t>
      </w:r>
    </w:p>
    <w:p w14:paraId="2220A7D8">
      <w:pPr>
        <w:pStyle w:val="4"/>
        <w:spacing w:before="0" w:beforeAutospacing="0" w:after="0" w:afterAutospacing="0" w:line="560" w:lineRule="exact"/>
        <w:ind w:firstLine="600" w:firstLineChars="200"/>
        <w:rPr>
          <w:rFonts w:hint="eastAsia" w:cs="Times New Roman"/>
          <w:kern w:val="2"/>
          <w:sz w:val="30"/>
          <w:szCs w:val="30"/>
        </w:rPr>
      </w:pPr>
      <w:r>
        <w:rPr>
          <w:rFonts w:hint="eastAsia" w:cs="Times New Roman"/>
          <w:kern w:val="2"/>
          <w:sz w:val="30"/>
          <w:szCs w:val="30"/>
        </w:rPr>
        <w:t>无其他需说明事项</w:t>
      </w:r>
    </w:p>
    <w:p w14:paraId="7AA21D3A">
      <w:pPr>
        <w:rPr>
          <w:rFonts w:hint="eastAsia" w:eastAsia="宋体"/>
          <w:lang w:eastAsia="zh-CN"/>
        </w:rPr>
      </w:pPr>
    </w:p>
    <w:sectPr>
      <w:pgSz w:w="16840" w:h="11900" w:orient="landscape"/>
      <w:pgMar w:top="1361" w:right="1020" w:bottom="1361"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小标宋_GBK">
    <w:panose1 w:val="02000000000000000000"/>
    <w:charset w:val="86"/>
    <w:family w:val="roman"/>
    <w:pitch w:val="default"/>
    <w:sig w:usb0="A00002BF" w:usb1="38CF7CFA" w:usb2="00082016" w:usb3="00000000" w:csb0="00040001" w:csb1="00000000"/>
  </w:font>
  <w:font w:name="方正楷体_GBK">
    <w:altName w:val="宋体"/>
    <w:panose1 w:val="00000000000000000000"/>
    <w:charset w:val="86"/>
    <w:family w:val="roman"/>
    <w:pitch w:val="default"/>
    <w:sig w:usb0="00000000" w:usb1="00000000" w:usb2="00000000" w:usb3="00000000" w:csb0="00000000" w:csb1="00000000"/>
  </w:font>
  <w:font w:name="FZFSK--GBK1-0">
    <w:altName w:val="黑体"/>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C49117">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6717E8">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626717E8">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868EF6">
    <w:r>
      <w:rPr>
        <w:sz w:val="24"/>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967CE6">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66967CE6">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8D5BCF">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B257D8">
                          <w:pPr>
                            <w:jc w:val="right"/>
                          </w:pPr>
                          <w:r>
                            <w:fldChar w:fldCharType="begin"/>
                          </w:r>
                          <w:r>
                            <w:instrText xml:space="preserve">PAGE "page number"</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1BB257D8">
                    <w:pPr>
                      <w:jc w:val="right"/>
                    </w:pPr>
                    <w:r>
                      <w:fldChar w:fldCharType="begin"/>
                    </w:r>
                    <w:r>
                      <w:instrText xml:space="preserve">PAGE "page number"</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1495B">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0D3734">
                          <w:r>
                            <w:fldChar w:fldCharType="begin"/>
                          </w:r>
                          <w:r>
                            <w:instrText xml:space="preserve">PAGE "page number"</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320D3734">
                    <w:r>
                      <w:fldChar w:fldCharType="begin"/>
                    </w:r>
                    <w:r>
                      <w:instrText xml:space="preserve">PAGE "page number"</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4BD3928"/>
    <w:multiLevelType w:val="singleLevel"/>
    <w:tmpl w:val="54BD3928"/>
    <w:lvl w:ilvl="0" w:tentative="0">
      <w:start w:val="2"/>
      <w:numFmt w:val="chineseCounting"/>
      <w:suff w:val="space"/>
      <w:lvlText w:val="第%1部分"/>
      <w:lvlJc w:val="left"/>
      <w:rPr>
        <w:rFonts w:hint="eastAsia"/>
      </w:rPr>
    </w:lvl>
  </w:abstractNum>
  <w:abstractNum w:abstractNumId="1">
    <w:nsid w:val="58818F2D"/>
    <w:multiLevelType w:val="singleLevel"/>
    <w:tmpl w:val="58818F2D"/>
    <w:lvl w:ilvl="0" w:tentative="0">
      <w:start w:val="2"/>
      <w:numFmt w:val="decimal"/>
      <w:suff w:val="nothing"/>
      <w:lvlText w:val="%1、"/>
      <w:lvlJc w:val="left"/>
    </w:lvl>
  </w:abstractNum>
  <w:abstractNum w:abstractNumId="2">
    <w:nsid w:val="59422066"/>
    <w:multiLevelType w:val="singleLevel"/>
    <w:tmpl w:val="59422066"/>
    <w:lvl w:ilvl="0" w:tentative="0">
      <w:start w:val="1"/>
      <w:numFmt w:val="chineseCounting"/>
      <w:suff w:val="nothing"/>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0F273A8"/>
    <w:rsid w:val="00367B9E"/>
    <w:rsid w:val="00491693"/>
    <w:rsid w:val="005925FB"/>
    <w:rsid w:val="005D76FE"/>
    <w:rsid w:val="006D2C04"/>
    <w:rsid w:val="007A37A7"/>
    <w:rsid w:val="00A00858"/>
    <w:rsid w:val="00F273A8"/>
    <w:rsid w:val="00F7367F"/>
    <w:rsid w:val="05B3687C"/>
    <w:rsid w:val="06A32448"/>
    <w:rsid w:val="0C8E60C0"/>
    <w:rsid w:val="11E715AE"/>
    <w:rsid w:val="163F59B0"/>
    <w:rsid w:val="16845502"/>
    <w:rsid w:val="20945F2C"/>
    <w:rsid w:val="241340C7"/>
    <w:rsid w:val="2629469A"/>
    <w:rsid w:val="27C77C70"/>
    <w:rsid w:val="29A005BA"/>
    <w:rsid w:val="2AA10B49"/>
    <w:rsid w:val="2DA03BFD"/>
    <w:rsid w:val="2DD0631D"/>
    <w:rsid w:val="3165042F"/>
    <w:rsid w:val="3180038B"/>
    <w:rsid w:val="32255F11"/>
    <w:rsid w:val="33C359DE"/>
    <w:rsid w:val="36472D8F"/>
    <w:rsid w:val="36D8328C"/>
    <w:rsid w:val="37BD42D9"/>
    <w:rsid w:val="3C283071"/>
    <w:rsid w:val="3DF04A2E"/>
    <w:rsid w:val="3E6D7D68"/>
    <w:rsid w:val="3FC866F0"/>
    <w:rsid w:val="40BC51B8"/>
    <w:rsid w:val="41CD3612"/>
    <w:rsid w:val="43CE6D1E"/>
    <w:rsid w:val="45054E10"/>
    <w:rsid w:val="47347DD3"/>
    <w:rsid w:val="4A497996"/>
    <w:rsid w:val="4AD655F9"/>
    <w:rsid w:val="5BBB73E4"/>
    <w:rsid w:val="61930747"/>
    <w:rsid w:val="61D815B1"/>
    <w:rsid w:val="63F6756C"/>
    <w:rsid w:val="6A440190"/>
    <w:rsid w:val="6AE759BF"/>
    <w:rsid w:val="6D85187C"/>
    <w:rsid w:val="70855B9F"/>
    <w:rsid w:val="70F65056"/>
    <w:rsid w:val="71241A1C"/>
    <w:rsid w:val="777B5E82"/>
    <w:rsid w:val="7FF810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8">
    <w:name w:val="page number"/>
    <w:basedOn w:val="7"/>
    <w:autoRedefine/>
    <w:unhideWhenUsed/>
    <w:qFormat/>
    <w:uiPriority w:val="99"/>
  </w:style>
  <w:style w:type="paragraph" w:customStyle="1" w:styleId="9">
    <w:name w:val="插入文本样式-插入部门职责文件"/>
    <w:basedOn w:val="1"/>
    <w:autoRedefine/>
    <w:qFormat/>
    <w:uiPriority w:val="0"/>
    <w:pPr>
      <w:spacing w:line="500" w:lineRule="exact"/>
      <w:ind w:firstLine="560"/>
    </w:pPr>
    <w:rPr>
      <w:rFonts w:eastAsia="方正仿宋_GBK"/>
      <w:sz w:val="28"/>
    </w:rPr>
  </w:style>
  <w:style w:type="paragraph" w:customStyle="1" w:styleId="10">
    <w:name w:val="单元格样式23"/>
    <w:basedOn w:val="1"/>
    <w:autoRedefine/>
    <w:qFormat/>
    <w:uiPriority w:val="0"/>
    <w:pPr>
      <w:jc w:val="right"/>
    </w:pPr>
    <w:rPr>
      <w:rFonts w:ascii="方正书宋_GBK" w:hAnsi="方正书宋_GBK" w:eastAsia="方正书宋_GBK" w:cs="方正书宋_GBK"/>
    </w:rPr>
  </w:style>
  <w:style w:type="paragraph" w:customStyle="1" w:styleId="11">
    <w:name w:val="单元格样式20"/>
    <w:basedOn w:val="1"/>
    <w:autoRedefine/>
    <w:qFormat/>
    <w:uiPriority w:val="0"/>
    <w:rPr>
      <w:rFonts w:ascii="方正小标宋_GBK" w:hAnsi="方正小标宋_GBK" w:eastAsia="方正小标宋_GBK" w:cs="方正小标宋_GBK"/>
    </w:rPr>
  </w:style>
  <w:style w:type="paragraph" w:customStyle="1" w:styleId="12">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3">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4">
    <w:name w:val="单元格样式2"/>
    <w:basedOn w:val="1"/>
    <w:autoRedefine/>
    <w:qFormat/>
    <w:uiPriority w:val="0"/>
    <w:rPr>
      <w:rFonts w:ascii="方正书宋_GBK" w:hAnsi="方正书宋_GBK" w:eastAsia="方正书宋_GBK" w:cs="方正书宋_GBK"/>
      <w:sz w:val="21"/>
    </w:rPr>
  </w:style>
  <w:style w:type="paragraph" w:customStyle="1" w:styleId="15">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6">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7">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8">
    <w:name w:val="单元格样式5"/>
    <w:basedOn w:val="1"/>
    <w:autoRedefine/>
    <w:qFormat/>
    <w:uiPriority w:val="0"/>
    <w:rPr>
      <w:rFonts w:ascii="方正书宋_GBK" w:hAnsi="方正书宋_GBK" w:eastAsia="方正书宋_GBK" w:cs="方正书宋_GBK"/>
      <w:b/>
      <w:sz w:val="21"/>
    </w:rPr>
  </w:style>
  <w:style w:type="paragraph" w:customStyle="1" w:styleId="19">
    <w:name w:val="TOC 2"/>
    <w:basedOn w:val="1"/>
    <w:autoRedefine/>
    <w:qFormat/>
    <w:uiPriority w:val="0"/>
    <w:pPr>
      <w:ind w:left="240"/>
    </w:pPr>
  </w:style>
  <w:style w:type="paragraph" w:customStyle="1" w:styleId="20">
    <w:name w:val="TOC 4"/>
    <w:basedOn w:val="1"/>
    <w:autoRedefine/>
    <w:qFormat/>
    <w:uiPriority w:val="0"/>
    <w:pPr>
      <w:ind w:left="720"/>
    </w:pPr>
  </w:style>
  <w:style w:type="paragraph" w:customStyle="1" w:styleId="21">
    <w:name w:val="TOC 1"/>
    <w:basedOn w:val="1"/>
    <w:autoRedefine/>
    <w:qFormat/>
    <w:uiPriority w:val="0"/>
    <w:pPr>
      <w:spacing w:before="120"/>
    </w:pPr>
    <w:rPr>
      <w:rFonts w:eastAsia="方正仿宋_GBK"/>
      <w:color w:val="000000"/>
      <w:sz w:val="28"/>
    </w:rPr>
  </w:style>
  <w:style w:type="paragraph" w:styleId="22">
    <w:name w:val="List Paragraph"/>
    <w:basedOn w:val="1"/>
    <w:autoRedefine/>
    <w:qFormat/>
    <w:uiPriority w:val="34"/>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embeddings/oleObject2.bin" Type="http://schemas.openxmlformats.org/officeDocument/2006/relationships/oleObject"/><Relationship Id="rId11" Target="media/image2.emf" Type="http://schemas.openxmlformats.org/officeDocument/2006/relationships/image"/><Relationship Id="rId12" Target="embeddings/oleObject3.bin" Type="http://schemas.openxmlformats.org/officeDocument/2006/relationships/oleObject"/><Relationship Id="rId13" Target="media/image3.emf" Type="http://schemas.openxmlformats.org/officeDocument/2006/relationships/image"/><Relationship Id="rId14" Target="embeddings/oleObject4.bin" Type="http://schemas.openxmlformats.org/officeDocument/2006/relationships/oleObject"/><Relationship Id="rId15" Target="media/image4.emf" Type="http://schemas.openxmlformats.org/officeDocument/2006/relationships/image"/><Relationship Id="rId16" Target="embeddings/oleObject5.bin" Type="http://schemas.openxmlformats.org/officeDocument/2006/relationships/oleObject"/><Relationship Id="rId17" Target="media/image5.emf" Type="http://schemas.openxmlformats.org/officeDocument/2006/relationships/image"/><Relationship Id="rId18" Target="embeddings/oleObject6.bin" Type="http://schemas.openxmlformats.org/officeDocument/2006/relationships/oleObject"/><Relationship Id="rId19" Target="media/image6.emf" Type="http://schemas.openxmlformats.org/officeDocument/2006/relationships/image"/><Relationship Id="rId2" Target="settings.xml" Type="http://schemas.openxmlformats.org/officeDocument/2006/relationships/settings"/><Relationship Id="rId20" Target="embeddings/oleObject7.bin" Type="http://schemas.openxmlformats.org/officeDocument/2006/relationships/oleObject"/><Relationship Id="rId21" Target="media/image7.emf" Type="http://schemas.openxmlformats.org/officeDocument/2006/relationships/image"/><Relationship Id="rId22" Target="embeddings/oleObject8.bin" Type="http://schemas.openxmlformats.org/officeDocument/2006/relationships/oleObject"/><Relationship Id="rId23" Target="media/image8.emf" Type="http://schemas.openxmlformats.org/officeDocument/2006/relationships/image"/><Relationship Id="rId24" Target="embeddings/oleObject9.bin" Type="http://schemas.openxmlformats.org/officeDocument/2006/relationships/oleObject"/><Relationship Id="rId25" Target="media/image9.emf" Type="http://schemas.openxmlformats.org/officeDocument/2006/relationships/image"/><Relationship Id="rId26" Target="embeddings/oleObject10.bin" Type="http://schemas.openxmlformats.org/officeDocument/2006/relationships/oleObject"/><Relationship Id="rId27" Target="media/image10.emf" Type="http://schemas.openxmlformats.org/officeDocument/2006/relationships/image"/><Relationship Id="rId28" Target="embeddings/oleObject11.bin" Type="http://schemas.openxmlformats.org/officeDocument/2006/relationships/oleObject"/><Relationship Id="rId29" Target="media/image11.emf" Type="http://schemas.openxmlformats.org/officeDocument/2006/relationships/image"/><Relationship Id="rId3" Target="footer1.xml" Type="http://schemas.openxmlformats.org/officeDocument/2006/relationships/footer"/><Relationship Id="rId30" Target="embeddings/oleObject12.bin" Type="http://schemas.openxmlformats.org/officeDocument/2006/relationships/oleObject"/><Relationship Id="rId31" Target="media/image12.emf" Type="http://schemas.openxmlformats.org/officeDocument/2006/relationships/image"/><Relationship Id="rId32" Target="embeddings/oleObject13.bin" Type="http://schemas.openxmlformats.org/officeDocument/2006/relationships/oleObject"/><Relationship Id="rId33" Target="media/image13.emf" Type="http://schemas.openxmlformats.org/officeDocument/2006/relationships/image"/><Relationship Id="rId34" Target="embeddings/oleObject14.bin" Type="http://schemas.openxmlformats.org/officeDocument/2006/relationships/oleObject"/><Relationship Id="rId35" Target="media/image14.emf" Type="http://schemas.openxmlformats.org/officeDocument/2006/relationships/image"/><Relationship Id="rId36" Target="embeddings/oleObject15.bin" Type="http://schemas.openxmlformats.org/officeDocument/2006/relationships/oleObject"/><Relationship Id="rId37" Target="media/image15.emf" Type="http://schemas.openxmlformats.org/officeDocument/2006/relationships/image"/><Relationship Id="rId38" Target="embeddings/oleObject16.bin" Type="http://schemas.openxmlformats.org/officeDocument/2006/relationships/oleObject"/><Relationship Id="rId39" Target="media/image16.emf" Type="http://schemas.openxmlformats.org/officeDocument/2006/relationships/image"/><Relationship Id="rId4" Target="footer2.xml" Type="http://schemas.openxmlformats.org/officeDocument/2006/relationships/footer"/><Relationship Id="rId40" Target="embeddings/oleObject17.bin" Type="http://schemas.openxmlformats.org/officeDocument/2006/relationships/oleObject"/><Relationship Id="rId41" Target="media/image17.emf" Type="http://schemas.openxmlformats.org/officeDocument/2006/relationships/image"/><Relationship Id="rId42" Target="embeddings/oleObject18.bin" Type="http://schemas.openxmlformats.org/officeDocument/2006/relationships/oleObject"/><Relationship Id="rId43" Target="media/image18.emf" Type="http://schemas.openxmlformats.org/officeDocument/2006/relationships/image"/><Relationship Id="rId44" Target="embeddings/oleObject19.bin" Type="http://schemas.openxmlformats.org/officeDocument/2006/relationships/oleObject"/><Relationship Id="rId45" Target="media/image19.emf" Type="http://schemas.openxmlformats.org/officeDocument/2006/relationships/image"/><Relationship Id="rId46" Target="embeddings/oleObject20.bin" Type="http://schemas.openxmlformats.org/officeDocument/2006/relationships/oleObject"/><Relationship Id="rId47" Target="media/image20.emf" Type="http://schemas.openxmlformats.org/officeDocument/2006/relationships/image"/><Relationship Id="rId48" Target="embeddings/oleObject21.bin" Type="http://schemas.openxmlformats.org/officeDocument/2006/relationships/oleObject"/><Relationship Id="rId49" Target="media/image21.emf" Type="http://schemas.openxmlformats.org/officeDocument/2006/relationships/image"/><Relationship Id="rId5" Target="footer3.xml" Type="http://schemas.openxmlformats.org/officeDocument/2006/relationships/footer"/><Relationship Id="rId50" Target="embeddings/oleObject22.bin" Type="http://schemas.openxmlformats.org/officeDocument/2006/relationships/oleObject"/><Relationship Id="rId51" Target="media/image22.emf" Type="http://schemas.openxmlformats.org/officeDocument/2006/relationships/image"/><Relationship Id="rId52" Target="embeddings/oleObject23.bin" Type="http://schemas.openxmlformats.org/officeDocument/2006/relationships/oleObject"/><Relationship Id="rId53" Target="media/image23.emf" Type="http://schemas.openxmlformats.org/officeDocument/2006/relationships/image"/><Relationship Id="rId54" Target="embeddings/oleObject24.bin" Type="http://schemas.openxmlformats.org/officeDocument/2006/relationships/oleObject"/><Relationship Id="rId55" Target="media/image24.emf" Type="http://schemas.openxmlformats.org/officeDocument/2006/relationships/image"/><Relationship Id="rId56" Target="../customXml/item1.xml" Type="http://schemas.openxmlformats.org/officeDocument/2006/relationships/customXml"/><Relationship Id="rId57" Target="numbering.xml" Type="http://schemas.openxmlformats.org/officeDocument/2006/relationships/numbering"/><Relationship Id="rId58" Target="../customXml/item2.xml" Type="http://schemas.openxmlformats.org/officeDocument/2006/relationships/customXml"/><Relationship Id="rId59" Target="../customXml/item3.xml" Type="http://schemas.openxmlformats.org/officeDocument/2006/relationships/customXml"/><Relationship Id="rId6" Target="footer4.xml" Type="http://schemas.openxmlformats.org/officeDocument/2006/relationships/footer"/><Relationship Id="rId60" Target="../customXml/item4.xml" Type="http://schemas.openxmlformats.org/officeDocument/2006/relationships/customXml"/><Relationship Id="rId61" Target="../customXml/item5.xml" Type="http://schemas.openxmlformats.org/officeDocument/2006/relationships/customXml"/><Relationship Id="rId62" Target="../customXml/item6.xml" Type="http://schemas.openxmlformats.org/officeDocument/2006/relationships/customXml"/><Relationship Id="rId63" Target="../customXml/item7.xml" Type="http://schemas.openxmlformats.org/officeDocument/2006/relationships/customXml"/><Relationship Id="rId64" Target="../customXml/item8.xml" Type="http://schemas.openxmlformats.org/officeDocument/2006/relationships/customXml"/><Relationship Id="rId65" Target="fontTable.xml" Type="http://schemas.openxmlformats.org/officeDocument/2006/relationships/fontTable"/><Relationship Id="rId7" Target="theme/theme1.xml" Type="http://schemas.openxmlformats.org/officeDocument/2006/relationships/theme"/><Relationship Id="rId8" Target="embeddings/oleObject1.bin" Type="http://schemas.openxmlformats.org/officeDocument/2006/relationships/oleObject"/><Relationship Id="rId9" Target="media/image1.emf"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2022-05-24T14:28:22Z</dcterms:created>
  <dcterms:modified xsi:type="dcterms:W3CDTF">2022-05-24T06:28:22Z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2022-05-24T14:28:20Z</dcterms:created>
  <dcterms:modified xsi:type="dcterms:W3CDTF">2022-05-24T06:28:20Z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2022-05-24T14:28:20Z</dcterms:created>
  <dcterms:modified xsi:type="dcterms:W3CDTF">2022-05-24T06:28:20Z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F540809-FACA-4153-A2E1-9A03CCD54BD5}">
  <ds:schemaRefs/>
</ds:datastoreItem>
</file>

<file path=customXml/itemProps3.xml><?xml version="1.0" encoding="utf-8"?>
<ds:datastoreItem xmlns:ds="http://schemas.openxmlformats.org/officeDocument/2006/customXml" ds:itemID="{EE140B64-BDB5-480D-8EA2-CF4359A36F88}">
  <ds:schemaRefs/>
</ds:datastoreItem>
</file>

<file path=customXml/itemProps4.xml><?xml version="1.0" encoding="utf-8"?>
<ds:datastoreItem xmlns:ds="http://schemas.openxmlformats.org/officeDocument/2006/customXml" ds:itemID="{D7E8263B-A9E1-435A-89CC-311EE0C6275C}">
  <ds:schemaRefs/>
</ds:datastoreItem>
</file>

<file path=customXml/itemProps5.xml><?xml version="1.0" encoding="utf-8"?>
<ds:datastoreItem xmlns:ds="http://schemas.openxmlformats.org/officeDocument/2006/customXml" ds:itemID="{B84E2E4D-1E29-4F25-92DA-C88C3ADA3F2E}">
  <ds:schemaRefs/>
</ds:datastoreItem>
</file>

<file path=customXml/itemProps6.xml><?xml version="1.0" encoding="utf-8"?>
<ds:datastoreItem xmlns:ds="http://schemas.openxmlformats.org/officeDocument/2006/customXml" ds:itemID="{69CAAC71-D892-400C-9024-D5B93B9D9472}">
  <ds:schemaRefs/>
</ds:datastoreItem>
</file>

<file path=customXml/itemProps7.xml><?xml version="1.0" encoding="utf-8"?>
<ds:datastoreItem xmlns:ds="http://schemas.openxmlformats.org/officeDocument/2006/customXml" ds:itemID="{E242A4C6-3EC7-479B-AC36-042B4B9D8DAD}">
  <ds:schemaRefs/>
</ds:datastoreItem>
</file>

<file path=customXml/itemProps8.xml><?xml version="1.0" encoding="utf-8"?>
<ds:datastoreItem xmlns:ds="http://schemas.openxmlformats.org/officeDocument/2006/customXml" ds:itemID="{BEDDF470-E743-49E9-8FFC-054001162126}">
  <ds:schemaRefs/>
</ds:datastoreItem>
</file>

<file path=docProps/app.xml><?xml version="1.0" encoding="utf-8"?>
<Properties xmlns="http://schemas.openxmlformats.org/officeDocument/2006/extended-properties" xmlns:vt="http://schemas.openxmlformats.org/officeDocument/2006/docPropsVTypes">
  <Template>Normal</Template>
  <Pages>52</Pages>
  <Words>9510</Words>
  <Characters>10402</Characters>
  <Lines>55</Lines>
  <Paragraphs>15</Paragraphs>
  <TotalTime>9</TotalTime>
  <ScaleCrop>false</ScaleCrop>
  <LinksUpToDate>false</LinksUpToDate>
  <CharactersWithSpaces>10789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2022-05-24T06:26:00Z</dcterms:created>
  <dc:creator>Administrator</dc:creator>
  <cp:lastModifiedBy>你渴望力量吗？</cp:lastModifiedBy>
  <dcterms:modified xsi:type="dcterms:W3CDTF">2025-02-28T06:38:11Z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BCAA7342B5A845938291865CFB23B788</vt:lpwstr>
  </property>
  <property fmtid="{D5CDD505-2E9C-101B-9397-08002B2CF9AE}" pid="4" name="KSOTemplateDocerSaveRecord">
    <vt:lpwstr>eyJoZGlkIjoiZDE4NWUwZWQ0ZWY4NGY5MjZkYzU3ZGI3ODMyNmNiNmIiLCJ1c2VySWQiOiI1MTM2NDE5MjQifQ==</vt:lpwstr>
  </property>
</Properties>
</file>