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1B53C">
      <w:pPr>
        <w:jc w:val="center"/>
        <w:rPr>
          <w:b/>
          <w:sz w:val="48"/>
          <w:szCs w:val="48"/>
        </w:rPr>
      </w:pPr>
      <w:r>
        <w:rPr>
          <w:rFonts w:hint="eastAsia"/>
          <w:b/>
          <w:sz w:val="48"/>
          <w:szCs w:val="48"/>
        </w:rPr>
        <w:t>2019年预算公开有关事项说明</w:t>
      </w:r>
    </w:p>
    <w:p w14:paraId="2EDDC4D4">
      <w:pPr>
        <w:ind w:firstLine="1760" w:firstLineChars="550"/>
        <w:rPr>
          <w:sz w:val="32"/>
          <w:szCs w:val="32"/>
        </w:rPr>
      </w:pPr>
    </w:p>
    <w:p w14:paraId="092D245B">
      <w:pPr>
        <w:ind w:firstLine="640" w:firstLineChars="200"/>
        <w:rPr>
          <w:rFonts w:ascii="黑体" w:hAnsi="黑体" w:eastAsia="黑体" w:cs="黑体"/>
          <w:sz w:val="32"/>
          <w:szCs w:val="32"/>
        </w:rPr>
      </w:pPr>
      <w:r>
        <w:rPr>
          <w:rFonts w:hint="eastAsia" w:ascii="黑体" w:hAnsi="黑体" w:eastAsia="黑体" w:cs="黑体"/>
          <w:sz w:val="32"/>
          <w:szCs w:val="32"/>
        </w:rPr>
        <w:t>一、“三公”经费情况说明</w:t>
      </w:r>
    </w:p>
    <w:p w14:paraId="5519DB29">
      <w:pPr>
        <w:ind w:firstLine="640" w:firstLineChars="200"/>
        <w:rPr>
          <w:rFonts w:ascii="仿宋_GB2312" w:eastAsia="仿宋_GB2312"/>
          <w:sz w:val="32"/>
          <w:szCs w:val="32"/>
        </w:rPr>
      </w:pPr>
      <w:r>
        <w:rPr>
          <w:rFonts w:hint="eastAsia" w:ascii="仿宋_GB2312" w:eastAsia="仿宋_GB2312"/>
          <w:sz w:val="32"/>
          <w:szCs w:val="32"/>
        </w:rPr>
        <w:t>全县共安排“三公”经费728万元，与2018年三公经费相比减少357万元。其中，因公出国费2018年、2019年均未安排；公务用车购置费2018年、2019年均未安排；公务用车运行维护费666万元，比上年减少170万元；公务接待费63万元，比上年减少57万元。2018年全县实际支出三公经费956万元。2019年安排会议费130万元，比上年减少38万元，培训费253万元，比上年增加163万元，原因是</w:t>
      </w:r>
      <w:bookmarkStart w:id="0" w:name="_GoBack"/>
      <w:bookmarkEnd w:id="0"/>
      <w:r>
        <w:rPr>
          <w:rFonts w:hint="eastAsia" w:ascii="仿宋_GB2312" w:eastAsia="仿宋_GB2312"/>
          <w:sz w:val="32"/>
          <w:szCs w:val="32"/>
        </w:rPr>
        <w:t>机构改革，组织部门、合并部门和新增部门，业务及管理等方面均需要安排培训，导致培训费增多。</w:t>
      </w:r>
    </w:p>
    <w:p w14:paraId="22537783">
      <w:pPr>
        <w:spacing w:line="600" w:lineRule="atLeast"/>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二、债务情况说明</w:t>
      </w:r>
    </w:p>
    <w:p w14:paraId="53341F81">
      <w:pPr>
        <w:spacing w:line="600" w:lineRule="atLeast"/>
        <w:ind w:firstLine="640" w:firstLineChars="200"/>
        <w:jc w:val="left"/>
        <w:outlineLvl w:val="0"/>
        <w:rPr>
          <w:rFonts w:ascii="仿宋_GB2312" w:eastAsia="仿宋_GB2312"/>
          <w:sz w:val="32"/>
          <w:szCs w:val="32"/>
        </w:rPr>
      </w:pPr>
      <w:r>
        <w:rPr>
          <w:rFonts w:hint="eastAsia" w:ascii="仿宋_GB2312" w:eastAsia="仿宋_GB2312"/>
          <w:sz w:val="32"/>
          <w:szCs w:val="32"/>
        </w:rPr>
        <w:t>2018年共争取一般债券26000万元，专项债券27000万元。限额下达后，已及时报请县政府批准，并经人大常委会议审议通过。2019年拟向省厅申请地方政府一般债券项目资金71000万元。经分析测算，我县2018年底债务率为28.9%，债务风险均在可控范围，属于绿色范畴。</w:t>
      </w:r>
    </w:p>
    <w:p w14:paraId="39CB9C01">
      <w:pPr>
        <w:tabs>
          <w:tab w:val="left" w:pos="851"/>
        </w:tabs>
        <w:spacing w:line="600" w:lineRule="atLeast"/>
        <w:ind w:firstLine="640" w:firstLineChars="200"/>
        <w:jc w:val="left"/>
        <w:rPr>
          <w:rFonts w:ascii="黑体" w:hAnsi="黑体" w:eastAsia="黑体" w:cs="黑体"/>
          <w:color w:val="000000"/>
          <w:kern w:val="0"/>
          <w:sz w:val="32"/>
          <w:szCs w:val="32"/>
        </w:rPr>
      </w:pPr>
      <w:r>
        <w:rPr>
          <w:rFonts w:hint="eastAsia" w:ascii="黑体" w:hAnsi="黑体" w:eastAsia="黑体" w:cs="黑体"/>
          <w:color w:val="000000"/>
          <w:kern w:val="0"/>
          <w:sz w:val="32"/>
          <w:szCs w:val="32"/>
        </w:rPr>
        <w:t>三、财政转移支付共130981万元</w:t>
      </w:r>
    </w:p>
    <w:p w14:paraId="32A7A571">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（一）税收返还收入8359万元。</w:t>
      </w:r>
    </w:p>
    <w:p w14:paraId="7C50E2C2">
      <w:pPr>
        <w:tabs>
          <w:tab w:val="left" w:pos="851"/>
        </w:tabs>
        <w:spacing w:line="600" w:lineRule="atLeast"/>
        <w:ind w:firstLine="640" w:firstLineChars="200"/>
        <w:jc w:val="left"/>
        <w:rPr>
          <w:rFonts w:ascii="仿宋_GB2312" w:hAnsi="宋体" w:eastAsia="仿宋_GB2312"/>
          <w:color w:val="000000"/>
          <w:kern w:val="0"/>
          <w:sz w:val="32"/>
          <w:szCs w:val="32"/>
        </w:rPr>
      </w:pPr>
      <w:r>
        <w:rPr>
          <w:rFonts w:hint="eastAsia" w:ascii="仿宋_GB2312" w:eastAsia="仿宋_GB2312"/>
          <w:color w:val="000000"/>
          <w:sz w:val="32"/>
          <w:szCs w:val="32"/>
        </w:rPr>
        <w:t>（二）财力性转移支付46078万元。</w:t>
      </w:r>
    </w:p>
    <w:p w14:paraId="0E665F39">
      <w:pPr>
        <w:tabs>
          <w:tab w:val="left" w:pos="851"/>
        </w:tabs>
        <w:spacing w:line="600" w:lineRule="atLeast"/>
        <w:ind w:firstLine="640" w:firstLineChars="20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（三）上级预下达转移支付资金</w:t>
      </w:r>
      <w:r>
        <w:rPr>
          <w:rFonts w:hint="eastAsia" w:ascii="仿宋_GB2312" w:hAnsi="宋体" w:eastAsia="仿宋_GB2312"/>
          <w:color w:val="000000"/>
          <w:sz w:val="32"/>
          <w:szCs w:val="32"/>
        </w:rPr>
        <w:t>105036</w:t>
      </w:r>
      <w:r>
        <w:rPr>
          <w:rFonts w:hint="eastAsia" w:ascii="仿宋_GB2312" w:hAnsi="宋体" w:eastAsia="仿宋_GB2312"/>
          <w:color w:val="000000"/>
          <w:kern w:val="0"/>
          <w:sz w:val="32"/>
          <w:szCs w:val="32"/>
        </w:rPr>
        <w:t>万元。主要有：</w:t>
      </w:r>
    </w:p>
    <w:p w14:paraId="28366BC6">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1.城乡居民医疗保险补助25814万元；</w:t>
      </w:r>
    </w:p>
    <w:p w14:paraId="04C4344B">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2.城乡居民养老保险补助16539万元；</w:t>
      </w:r>
    </w:p>
    <w:p w14:paraId="0EB65DDB">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3.城乡义务教育补助9436万元；</w:t>
      </w:r>
    </w:p>
    <w:p w14:paraId="09780C70">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4.医疗救助补助931万元；</w:t>
      </w:r>
    </w:p>
    <w:p w14:paraId="4B45A301">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5.困难群众救助补助5237万元；</w:t>
      </w:r>
    </w:p>
    <w:p w14:paraId="6B822CF4">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6.公共卫生服务补助3976万元；</w:t>
      </w:r>
    </w:p>
    <w:p w14:paraId="027986D5">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7.优抚对象补助2812万元；</w:t>
      </w:r>
    </w:p>
    <w:p w14:paraId="31923B3C">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8.大气污染防治专项资金2408万元；</w:t>
      </w:r>
    </w:p>
    <w:p w14:paraId="0469C915">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9.地下水超采综合治理专项资金609万元；</w:t>
      </w:r>
    </w:p>
    <w:p w14:paraId="1D7139D6">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10.农业保险保费补贴2600万元；</w:t>
      </w:r>
    </w:p>
    <w:p w14:paraId="4304FA55">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11.水利发展转移支付6300万元；</w:t>
      </w:r>
    </w:p>
    <w:p w14:paraId="108DEEE1">
      <w:pPr>
        <w:tabs>
          <w:tab w:val="left" w:pos="851"/>
        </w:tabs>
        <w:spacing w:line="600" w:lineRule="atLeast"/>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12.农业生产发展转移支付3219万元。</w:t>
      </w:r>
    </w:p>
    <w:p w14:paraId="1DBDC3C0">
      <w:pPr>
        <w:spacing w:line="600" w:lineRule="atLeast"/>
        <w:ind w:firstLine="640" w:firstLineChars="200"/>
        <w:jc w:val="left"/>
        <w:outlineLvl w:val="0"/>
        <w:rPr>
          <w:rFonts w:ascii="黑体" w:hAnsi="黑体" w:eastAsia="黑体" w:cs="黑体"/>
          <w:color w:val="000000"/>
          <w:kern w:val="0"/>
          <w:sz w:val="32"/>
          <w:szCs w:val="32"/>
        </w:rPr>
      </w:pPr>
      <w:r>
        <w:rPr>
          <w:rFonts w:hint="eastAsia" w:ascii="黑体" w:hAnsi="黑体" w:eastAsia="黑体" w:cs="黑体"/>
          <w:color w:val="000000"/>
          <w:kern w:val="0"/>
          <w:sz w:val="32"/>
          <w:szCs w:val="32"/>
        </w:rPr>
        <w:t>四、政府采购情况说明</w:t>
      </w:r>
    </w:p>
    <w:p w14:paraId="2C631F88">
      <w:pPr>
        <w:spacing w:line="600" w:lineRule="atLeast"/>
        <w:ind w:firstLine="640" w:firstLineChars="200"/>
        <w:jc w:val="left"/>
        <w:outlineLvl w:val="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我县已完善政府采购软件系统，使用采购资金支付网上报送功能。落实《河北省财政厅关于调整河北省政府采购集中采购目录和限额标准的通知》文件要求，提高采购限额。对集中采购目录内采购限额以下的计算机设备、办公设备、办公空调、家具用具等通用类货物，实行协议供货，最大限度地方便预算单位小额通用类办公用品的采购，提高政府采购效率，节约财政资金。并印发了《政府采购政策法规汇编》，使部门政府采购有法可依。本年度部门上报政府采购项目共计26906万元，涉及106个项目。</w:t>
      </w:r>
    </w:p>
    <w:p w14:paraId="3B2E8E53">
      <w:pPr>
        <w:ind w:firstLine="640" w:firstLineChars="200"/>
        <w:rPr>
          <w:rFonts w:ascii="黑体" w:hAnsi="黑体" w:eastAsia="黑体" w:cs="黑体"/>
          <w:color w:val="000000"/>
          <w:kern w:val="0"/>
          <w:sz w:val="32"/>
          <w:szCs w:val="32"/>
        </w:rPr>
      </w:pPr>
      <w:r>
        <w:rPr>
          <w:rFonts w:hint="eastAsia" w:ascii="黑体" w:hAnsi="黑体" w:eastAsia="黑体" w:cs="黑体"/>
          <w:color w:val="000000"/>
          <w:kern w:val="0"/>
          <w:sz w:val="32"/>
          <w:szCs w:val="32"/>
        </w:rPr>
        <w:t>五、绩效预算工作开展情况</w:t>
      </w:r>
    </w:p>
    <w:p w14:paraId="7B3C754B">
      <w:pPr>
        <w:ind w:firstLine="640" w:firstLineChars="200"/>
        <w:rPr>
          <w:rFonts w:ascii="仿宋_GB2312" w:eastAsia="仿宋_GB2312"/>
          <w:color w:val="000000"/>
          <w:sz w:val="32"/>
          <w:szCs w:val="32"/>
        </w:rPr>
      </w:pPr>
      <w:r>
        <w:rPr>
          <w:rFonts w:hint="eastAsia" w:ascii="仿宋_GB2312" w:eastAsia="仿宋_GB2312"/>
          <w:sz w:val="32"/>
          <w:szCs w:val="32"/>
        </w:rPr>
        <w:t>几年来我县一直将绩效预算改革做为重点工作。具体做法是：</w:t>
      </w:r>
    </w:p>
    <w:p w14:paraId="328E247F">
      <w:pPr>
        <w:spacing w:line="580" w:lineRule="exact"/>
        <w:ind w:firstLine="640" w:firstLineChars="200"/>
        <w:rPr>
          <w:rFonts w:ascii="仿宋_GB2312" w:hAnsi="仿宋" w:eastAsia="仿宋_GB2312"/>
          <w:color w:val="000000"/>
          <w:sz w:val="32"/>
          <w:szCs w:val="32"/>
        </w:rPr>
      </w:pPr>
      <w:r>
        <w:rPr>
          <w:rFonts w:hint="eastAsia" w:ascii="仿宋_GB2312" w:hAnsi="宋体" w:eastAsia="仿宋_GB2312"/>
          <w:color w:val="000000"/>
          <w:sz w:val="32"/>
          <w:szCs w:val="32"/>
        </w:rPr>
        <w:t>一是充分领会学习省厅一体化软件是关键。财政内部业务科室和所有预算单位在电教室模拟练习，从项目库申报、业务科室及职能科室如何审核、精细化程度、退回、到预算股生成文本模式，遇到问题及时向省厅业务骨干请示，解决实际困惑，基本上掌握了关键要领。机构改革后，第一时间</w:t>
      </w:r>
      <w:r>
        <w:rPr>
          <w:rFonts w:hint="eastAsia" w:ascii="仿宋_GB2312" w:hAnsi="宋体" w:eastAsia="仿宋_GB2312"/>
          <w:sz w:val="32"/>
          <w:szCs w:val="32"/>
        </w:rPr>
        <w:t>完善</w:t>
      </w:r>
      <w:r>
        <w:rPr>
          <w:rFonts w:hint="eastAsia" w:ascii="仿宋_GB2312" w:hAnsi="宋体" w:eastAsia="仿宋_GB2312"/>
          <w:color w:val="000000"/>
          <w:sz w:val="32"/>
          <w:szCs w:val="32"/>
        </w:rPr>
        <w:t>所有单位信息，通过一体化软件，使所有预算部门</w:t>
      </w:r>
      <w:r>
        <w:rPr>
          <w:rFonts w:hint="eastAsia" w:ascii="仿宋_GB2312" w:hAnsi="新宋体" w:eastAsia="仿宋_GB2312"/>
          <w:color w:val="000000"/>
          <w:sz w:val="32"/>
          <w:szCs w:val="32"/>
        </w:rPr>
        <w:t>建立“</w:t>
      </w:r>
      <w:r>
        <w:rPr>
          <w:rFonts w:hint="eastAsia" w:ascii="仿宋_GB2312" w:hAnsi="仿宋" w:eastAsia="仿宋_GB2312"/>
          <w:color w:val="000000"/>
          <w:sz w:val="32"/>
          <w:szCs w:val="32"/>
        </w:rPr>
        <w:t>部门职责一工作活动一预算项目”三个层级的绩效预算管理结构，严格遵循“两上三下”的原则部署了部门预算编制。</w:t>
      </w:r>
    </w:p>
    <w:p w14:paraId="41C70BC0">
      <w:pPr>
        <w:widowControl/>
        <w:spacing w:line="580" w:lineRule="exact"/>
        <w:ind w:firstLine="640" w:firstLineChars="200"/>
        <w:jc w:val="left"/>
        <w:rPr>
          <w:rFonts w:ascii="仿宋_GB2312" w:hAnsi="宋体" w:eastAsia="仿宋_GB2312"/>
          <w:color w:val="000000"/>
          <w:sz w:val="32"/>
          <w:szCs w:val="32"/>
        </w:rPr>
      </w:pPr>
      <w:r>
        <w:rPr>
          <w:rFonts w:hint="eastAsia" w:ascii="仿宋_GB2312" w:hAnsi="仿宋" w:eastAsia="仿宋_GB2312"/>
          <w:color w:val="000000"/>
          <w:sz w:val="32"/>
          <w:szCs w:val="32"/>
        </w:rPr>
        <w:t>二是下发</w:t>
      </w:r>
      <w:r>
        <w:rPr>
          <w:rFonts w:hint="eastAsia" w:ascii="仿宋_GB2312" w:hAnsi="新宋体" w:eastAsia="仿宋_GB2312"/>
          <w:color w:val="000000"/>
          <w:sz w:val="32"/>
          <w:szCs w:val="32"/>
        </w:rPr>
        <w:t>《部门绩效预算编制业务政策依据》</w:t>
      </w:r>
      <w:r>
        <w:rPr>
          <w:rFonts w:hint="eastAsia" w:ascii="仿宋_GB2312" w:hAnsi="仿宋" w:eastAsia="仿宋_GB2312"/>
          <w:color w:val="000000"/>
          <w:sz w:val="32"/>
          <w:szCs w:val="32"/>
        </w:rPr>
        <w:t>，印发</w:t>
      </w:r>
      <w:r>
        <w:rPr>
          <w:rFonts w:hint="eastAsia" w:ascii="仿宋_GB2312" w:hAnsi="新宋体" w:eastAsia="仿宋_GB2312"/>
          <w:color w:val="000000"/>
          <w:sz w:val="32"/>
          <w:szCs w:val="32"/>
        </w:rPr>
        <w:t>《部门绩效预算编制业务培训讲义》，</w:t>
      </w:r>
      <w:r>
        <w:rPr>
          <w:rFonts w:hint="eastAsia" w:ascii="仿宋_GB2312" w:hAnsi="仿宋" w:eastAsia="仿宋_GB2312"/>
          <w:color w:val="000000"/>
          <w:sz w:val="32"/>
          <w:szCs w:val="32"/>
        </w:rPr>
        <w:t>使部门做到政策上有依据、</w:t>
      </w:r>
      <w:r>
        <w:rPr>
          <w:rFonts w:hint="eastAsia" w:ascii="仿宋_GB2312" w:hAnsi="新宋体" w:eastAsia="仿宋_GB2312"/>
          <w:color w:val="000000"/>
          <w:sz w:val="32"/>
          <w:szCs w:val="32"/>
        </w:rPr>
        <w:t>操作上有规程。在2019年预算编制中严格按照新《预算法》的规定，遵循以下原则：</w:t>
      </w:r>
      <w:r>
        <w:rPr>
          <w:rFonts w:hint="eastAsia" w:ascii="仿宋_GB2312" w:eastAsia="仿宋_GB2312"/>
          <w:color w:val="000000"/>
          <w:sz w:val="32"/>
          <w:szCs w:val="32"/>
        </w:rPr>
        <w:t>1.实行全口径预算，统筹配置所有收支。2.提高部门预算到位率，细化基本支出和项目支出预算，压减预留资金。3.清理规范重点支出与财政收支或GDP增幅挂钩事项。4</w:t>
      </w:r>
      <w:r>
        <w:rPr>
          <w:rFonts w:hint="eastAsia" w:ascii="仿宋_GB2312" w:hAnsi="宋体" w:eastAsia="仿宋_GB2312"/>
          <w:color w:val="000000"/>
          <w:sz w:val="32"/>
          <w:szCs w:val="32"/>
        </w:rPr>
        <w:t>.严格控制“三公”经费和会议培训等一般性支出。</w:t>
      </w:r>
    </w:p>
    <w:p w14:paraId="16BA4219">
      <w:pPr>
        <w:widowControl/>
        <w:spacing w:line="580" w:lineRule="exact"/>
        <w:ind w:firstLine="640" w:firstLineChars="200"/>
        <w:jc w:val="left"/>
        <w:rPr>
          <w:rFonts w:ascii="仿宋_GB2312" w:hAnsi="仿宋" w:eastAsia="仿宋_GB2312"/>
          <w:color w:val="000000"/>
          <w:sz w:val="32"/>
          <w:szCs w:val="32"/>
        </w:rPr>
      </w:pPr>
      <w:r>
        <w:rPr>
          <w:rFonts w:hint="eastAsia" w:ascii="仿宋_GB2312" w:hAnsi="宋体" w:eastAsia="仿宋_GB2312"/>
          <w:color w:val="000000"/>
          <w:sz w:val="32"/>
          <w:szCs w:val="32"/>
        </w:rPr>
        <w:t>三是明确预算编制的具体方法。</w:t>
      </w:r>
    </w:p>
    <w:p w14:paraId="52D74989">
      <w:pPr>
        <w:spacing w:line="580" w:lineRule="exact"/>
        <w:ind w:firstLine="640" w:firstLineChars="200"/>
        <w:rPr>
          <w:rFonts w:ascii="仿宋_GB2312" w:hAnsi="仿宋" w:eastAsia="仿宋_GB2312"/>
          <w:b/>
          <w:color w:val="000000"/>
          <w:sz w:val="32"/>
          <w:szCs w:val="32"/>
        </w:rPr>
      </w:pPr>
      <w:r>
        <w:rPr>
          <w:rFonts w:hint="eastAsia" w:ascii="仿宋_GB2312" w:hAnsi="仿宋" w:eastAsia="仿宋_GB2312"/>
          <w:color w:val="000000"/>
          <w:sz w:val="32"/>
          <w:szCs w:val="32"/>
        </w:rPr>
        <w:t>1.支出预算结构的调整。我县实行的是县级部门支出划分为“基本支出”和“项目支出”两大类。及时下发科目本并与部门沟通，使部门尽快掌握科目用途，以及部门经济分类与政府经济分类之间的关系，确保部门政府收支分类科目的正确使用。</w:t>
      </w:r>
    </w:p>
    <w:p w14:paraId="6271445E">
      <w:pPr>
        <w:spacing w:line="58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2.日常基本支出的核定。2019年我县按照上级精神，继续压减一般性支出，部门综合定额县直为3600元，乡镇为</w:t>
      </w:r>
      <w:r>
        <w:rPr>
          <w:rFonts w:hint="eastAsia" w:ascii="宋体" w:hAnsi="宋体" w:cs="宋体"/>
          <w:color w:val="000000"/>
          <w:sz w:val="32"/>
          <w:szCs w:val="32"/>
        </w:rPr>
        <w:t>22400元。</w:t>
      </w:r>
      <w:r>
        <w:rPr>
          <w:rFonts w:hint="eastAsia" w:ascii="仿宋_GB2312" w:hAnsi="仿宋" w:eastAsia="仿宋_GB2312"/>
          <w:color w:val="000000"/>
          <w:sz w:val="32"/>
          <w:szCs w:val="32"/>
        </w:rPr>
        <w:t>按照核定方式，分为按基础定额核算、按规定比例计提、按特殊因素核定三部分，实行国库均衡拨款。按基础定额核算包括办公费、水费、电费、差旅费等11项，用于保障各单位共性支出，保障单位基本运转需要；按比例计提包括公务接待费、培训费、福利费和工会经费，分别按照国家规定的基数和比例测算；按特殊因素核定部分，用于解决非共性支出，解决基础定额无法调整的少数部门特殊支出需要，包括大宗印刷费、专项购置费、执法执勤特种业务车辆运行费、临时办公室经费、不可预见费等。这些特殊因素属于日常运转支出范畴，以前主要通过项目经费解决，今后作为特殊因素核定，不再安排专项经费。</w:t>
      </w:r>
    </w:p>
    <w:p w14:paraId="7C9777FE">
      <w:pPr>
        <w:spacing w:line="58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3.细化预算项目库管理。项目库管理是财政部门编制本级财政专项资金预算（含一般公共预算、政府性基金）和向上申报项目的依据。凡需财政资金支持的项目，必须全部纳入项目库管理，否则不安排财政资金。各预算部门为项目库建设责任部门，根据全县经济社会发展规划，编制行业发展规划，结合行业发展实际、特点，广泛收集和储备符合县域经济、产业发展的项目，认真做好项目的征集、筛选工作，并结合行业特点，自行设计，编制分年度实施项目，在预算编制时统一报县财政局相关业务股室汇总，建立财政部门年度“项目库”，项目库随时开放。预算安排的项目均从项目库中择优选取，未入库项目不予安排财政资金。</w:t>
      </w:r>
    </w:p>
    <w:p w14:paraId="4AD7850D">
      <w:pPr>
        <w:widowControl/>
        <w:spacing w:line="580" w:lineRule="exact"/>
        <w:ind w:firstLine="570"/>
        <w:jc w:val="left"/>
        <w:rPr>
          <w:rFonts w:ascii="仿宋_GB2312" w:hAnsi="宋体" w:eastAsia="仿宋_GB2312"/>
          <w:color w:val="000000"/>
          <w:sz w:val="32"/>
          <w:szCs w:val="32"/>
        </w:rPr>
      </w:pPr>
      <w:r>
        <w:rPr>
          <w:rFonts w:hint="eastAsia" w:ascii="仿宋_GB2312" w:hAnsi="仿宋" w:eastAsia="仿宋_GB2312"/>
          <w:color w:val="000000"/>
          <w:sz w:val="32"/>
          <w:szCs w:val="32"/>
        </w:rPr>
        <w:t>4.</w:t>
      </w:r>
      <w:r>
        <w:rPr>
          <w:rFonts w:hint="eastAsia" w:ascii="仿宋_GB2312" w:hAnsi="宋体" w:eastAsia="仿宋_GB2312"/>
          <w:color w:val="000000"/>
          <w:sz w:val="32"/>
          <w:szCs w:val="32"/>
        </w:rPr>
        <w:t>认真编制政府采购预算。</w:t>
      </w:r>
      <w:r>
        <w:rPr>
          <w:rFonts w:hint="eastAsia" w:ascii="仿宋_GB2312" w:hAnsi="仿宋" w:eastAsia="仿宋_GB2312"/>
          <w:color w:val="000000"/>
          <w:sz w:val="32"/>
          <w:szCs w:val="32"/>
        </w:rPr>
        <w:t>部门或单位的货物、工程和服务类采购性支出预算，在编制单位公共财政收支预算时，应同步编制政府采购预算，应</w:t>
      </w:r>
      <w:r>
        <w:rPr>
          <w:rFonts w:hint="eastAsia" w:ascii="仿宋_GB2312" w:hAnsi="宋体" w:eastAsia="仿宋_GB2312"/>
          <w:color w:val="000000"/>
          <w:sz w:val="32"/>
          <w:szCs w:val="32"/>
        </w:rPr>
        <w:t>编未编的，不列入部门预算；日常公用经费支出涉及政府采购的，也要编制政府采购预算，未编列的，执行中不予办理采购手续。</w:t>
      </w:r>
    </w:p>
    <w:p w14:paraId="7272A46E">
      <w:pPr>
        <w:spacing w:line="58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5.细化部门预算文本编制。部门预算按照部门编制、财政审核、政府审定、人大批准、财政批复的完整步骤进行，实行“两上三下”的编报程序。部门预算编报资料分两个部分，由各部门、各单位汇编成册报送：</w:t>
      </w:r>
      <w:r>
        <w:rPr>
          <w:rFonts w:hint="eastAsia" w:ascii="仿宋_GB2312" w:hAnsi="宋体" w:eastAsia="仿宋_GB2312"/>
          <w:b/>
          <w:bCs/>
          <w:color w:val="000000"/>
          <w:sz w:val="32"/>
          <w:szCs w:val="32"/>
        </w:rPr>
        <w:t>一是</w:t>
      </w:r>
      <w:r>
        <w:rPr>
          <w:rFonts w:hint="eastAsia" w:ascii="仿宋_GB2312" w:hAnsi="宋体" w:eastAsia="仿宋_GB2312"/>
          <w:color w:val="000000"/>
          <w:sz w:val="32"/>
          <w:szCs w:val="32"/>
        </w:rPr>
        <w:t>部门预算编制说明。各部门、各单位就本部门本单位职能、预算编制情况、人员变动情况、当年重点工作等按要求作详细的文字说明。</w:t>
      </w:r>
      <w:r>
        <w:rPr>
          <w:rFonts w:hint="eastAsia" w:ascii="仿宋_GB2312" w:hAnsi="宋体" w:eastAsia="仿宋_GB2312"/>
          <w:b/>
          <w:bCs/>
          <w:color w:val="000000"/>
          <w:sz w:val="32"/>
          <w:szCs w:val="32"/>
        </w:rPr>
        <w:t>二是</w:t>
      </w:r>
      <w:r>
        <w:rPr>
          <w:rFonts w:hint="eastAsia" w:ascii="仿宋_GB2312" w:hAnsi="宋体" w:eastAsia="仿宋_GB2312"/>
          <w:color w:val="000000"/>
          <w:sz w:val="32"/>
          <w:szCs w:val="32"/>
        </w:rPr>
        <w:t>部门预算编制草案表格。各部门、各单位在河北财政一体化应用支撑系统中生成制作电子表格上报。</w:t>
      </w:r>
    </w:p>
    <w:p w14:paraId="2F6F6E71">
      <w:pPr>
        <w:spacing w:line="58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六、取得的成效</w:t>
      </w:r>
    </w:p>
    <w:p w14:paraId="75379E99">
      <w:pPr>
        <w:spacing w:line="580" w:lineRule="exact"/>
        <w:ind w:firstLine="640" w:firstLineChars="200"/>
        <w:rPr>
          <w:rFonts w:ascii="仿宋_GB2312" w:hAnsi="宋体" w:eastAsia="仿宋_GB2312"/>
          <w:color w:val="000000"/>
          <w:sz w:val="32"/>
          <w:szCs w:val="32"/>
        </w:rPr>
      </w:pPr>
      <w:r>
        <w:rPr>
          <w:rFonts w:hint="eastAsia" w:ascii="仿宋_GB2312" w:hAnsi="Calibri" w:eastAsia="仿宋_GB2312" w:cs="宋体"/>
          <w:color w:val="000000"/>
          <w:sz w:val="32"/>
          <w:szCs w:val="32"/>
        </w:rPr>
        <w:t>经过几年的探索实践，绩效预算改革已突显成效。</w:t>
      </w:r>
      <w:r>
        <w:rPr>
          <w:rFonts w:hint="eastAsia" w:ascii="仿宋_GB2312" w:eastAsia="仿宋_GB2312"/>
          <w:color w:val="000000"/>
          <w:sz w:val="32"/>
          <w:szCs w:val="32"/>
        </w:rPr>
        <w:t>当前，在财政收入增长难度较大、财政支出呈刚性增长的收支矛盾情况下，迫切需要提高财政资金使用效益，做到公开、透明、绩效化管理，“倒逼”各预算单位把财政的钱花得明白、花出效益。具体说主要体现在四个方面：</w:t>
      </w:r>
    </w:p>
    <w:p w14:paraId="215BF213">
      <w:pPr>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工作目标更加明确。预算管理改革实施后，预算单位要拿出申报依据，选择符合的职责要求，表明项目要实现的目标和产生的效果。我们对谋划不实的项目预算不予审批，倒逼部门科学谋划。站在全县的大局谋大事、抓大事，通过扎扎实实的工作提高财政绩效和财政效能。</w:t>
      </w:r>
    </w:p>
    <w:p w14:paraId="05854396">
      <w:pPr>
        <w:spacing w:line="580" w:lineRule="exact"/>
        <w:ind w:firstLine="640" w:firstLineChars="200"/>
        <w:rPr>
          <w:rFonts w:ascii="仿宋_GB2312" w:hAnsi="仿宋" w:eastAsia="仿宋_GB2312" w:cs="宋体"/>
          <w:color w:val="000000"/>
          <w:sz w:val="32"/>
          <w:szCs w:val="32"/>
        </w:rPr>
      </w:pPr>
      <w:r>
        <w:rPr>
          <w:rFonts w:hint="eastAsia" w:ascii="仿宋_GB2312" w:eastAsia="仿宋_GB2312"/>
          <w:color w:val="000000"/>
          <w:sz w:val="32"/>
          <w:szCs w:val="32"/>
        </w:rPr>
        <w:t>2、财力分配更加科学。所有部门</w:t>
      </w:r>
      <w:r>
        <w:rPr>
          <w:rFonts w:hint="eastAsia" w:ascii="仿宋_GB2312" w:hAnsi="仿宋" w:eastAsia="仿宋_GB2312" w:cs="宋体"/>
          <w:color w:val="000000"/>
          <w:sz w:val="32"/>
          <w:szCs w:val="32"/>
        </w:rPr>
        <w:t>建立“部门职责—工作活动—预算项目”三个层级的绩效预算管理结构，使部门职责和预算结构、工作重点与财力比重、项目的实际效果和部门预算的总体效益一目了然，有利于各项工作按轻重缓急、财力投入的比较效益，对活动和项目统筹定位，合理分配财力，避免出现支出“前松后紧”或“前紧后松”的问题，改变了财会部门多次催促、突击支付的不良习惯。</w:t>
      </w:r>
    </w:p>
    <w:p w14:paraId="6479F98C">
      <w:pPr>
        <w:spacing w:line="580" w:lineRule="exact"/>
        <w:ind w:firstLine="640" w:firstLineChars="200"/>
        <w:rPr>
          <w:rFonts w:ascii="仿宋_GB2312" w:hAnsi="Calibri" w:eastAsia="仿宋_GB2312" w:cs="宋体"/>
          <w:color w:val="000000"/>
          <w:sz w:val="32"/>
          <w:szCs w:val="32"/>
        </w:rPr>
      </w:pPr>
      <w:r>
        <w:rPr>
          <w:rFonts w:hint="eastAsia" w:ascii="仿宋_GB2312" w:eastAsia="仿宋_GB2312"/>
          <w:color w:val="000000"/>
          <w:sz w:val="32"/>
          <w:szCs w:val="32"/>
        </w:rPr>
        <w:t>3、部门工作更加便捷。</w:t>
      </w:r>
      <w:r>
        <w:rPr>
          <w:rFonts w:hint="eastAsia" w:ascii="仿宋_GB2312" w:hAnsi="Calibri" w:eastAsia="仿宋_GB2312" w:cs="宋体"/>
          <w:color w:val="000000"/>
          <w:sz w:val="32"/>
          <w:szCs w:val="32"/>
        </w:rPr>
        <w:t>所有预算资金通过一体化系统支出，运用信息化科技手段，不仅能够实现预算管理的规范化、制度化，减少人为因素，还能提质提效，减轻劳动强度。我县</w:t>
      </w:r>
      <w:r>
        <w:rPr>
          <w:rFonts w:hint="eastAsia" w:ascii="仿宋_GB2312" w:hAnsi="仿宋" w:eastAsia="仿宋_GB2312" w:cs="宋体"/>
          <w:color w:val="000000"/>
          <w:sz w:val="32"/>
          <w:szCs w:val="32"/>
        </w:rPr>
        <w:t>绩效预算编审板块、预算项目库板块、国库电子银行支付板块和政府采购板块等</w:t>
      </w:r>
      <w:r>
        <w:rPr>
          <w:rFonts w:hint="eastAsia" w:ascii="仿宋_GB2312" w:hAnsi="Calibri" w:eastAsia="仿宋_GB2312" w:cs="宋体"/>
          <w:color w:val="000000"/>
          <w:sz w:val="32"/>
          <w:szCs w:val="32"/>
        </w:rPr>
        <w:t>上线运行后，所有资金拨付过程直接在网上无纸化运行，规范了资金拨付流程，加快了资金拨付速度。</w:t>
      </w:r>
    </w:p>
    <w:p w14:paraId="796EF87E">
      <w:pPr>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4、财政运行更加规范</w:t>
      </w:r>
      <w:r>
        <w:rPr>
          <w:rFonts w:hint="eastAsia" w:ascii="仿宋_GB2312" w:eastAsia="仿宋_GB2312"/>
          <w:b/>
          <w:color w:val="000000"/>
          <w:sz w:val="32"/>
          <w:szCs w:val="32"/>
        </w:rPr>
        <w:t>。</w:t>
      </w:r>
      <w:r>
        <w:rPr>
          <w:rFonts w:hint="eastAsia" w:ascii="仿宋_GB2312" w:hAnsi="Calibri" w:eastAsia="仿宋_GB2312" w:cs="宋体"/>
          <w:color w:val="000000"/>
          <w:sz w:val="32"/>
          <w:szCs w:val="32"/>
        </w:rPr>
        <w:t>按照“预算编制有目标、用钱先问效、无效必问责”的要求，将绩效目标指标审核作为安排预算的前提，“基本支出”预算实现标准定额测算、</w:t>
      </w:r>
      <w:r>
        <w:rPr>
          <w:rFonts w:hint="eastAsia" w:ascii="仿宋_GB2312" w:eastAsia="仿宋_GB2312"/>
          <w:color w:val="000000"/>
          <w:sz w:val="32"/>
          <w:szCs w:val="32"/>
        </w:rPr>
        <w:t>分项核定、统筹使用，“项目支出”预算细化到电子化银行可支付程度，预算执行中原则上不在进行细化和调整。</w:t>
      </w:r>
      <w:r>
        <w:rPr>
          <w:rFonts w:hint="eastAsia" w:ascii="仿宋_GB2312" w:hAnsi="Calibri" w:eastAsia="仿宋_GB2312" w:cs="宋体"/>
          <w:color w:val="000000"/>
          <w:sz w:val="32"/>
          <w:szCs w:val="32"/>
        </w:rPr>
        <w:t>全县绩效预算改革已实现了“两个全覆盖、一个全过程”，即全县所有预算单位全覆盖、所有预算资金全覆盖；绩效预算编制、支出绩效评价、国库电子支付全过程。</w:t>
      </w:r>
    </w:p>
    <w:p w14:paraId="1C7FD1A3">
      <w:pPr>
        <w:ind w:firstLine="640" w:firstLineChars="200"/>
        <w:rPr>
          <w:rFonts w:ascii="仿宋_GB2312" w:eastAsia="仿宋_GB2312"/>
          <w:color w:val="000000"/>
          <w:sz w:val="32"/>
          <w:szCs w:val="32"/>
        </w:rPr>
      </w:pPr>
      <w:r>
        <w:rPr>
          <w:rFonts w:hint="eastAsia" w:ascii="仿宋_GB2312" w:eastAsia="仿宋_GB2312"/>
          <w:sz w:val="32"/>
          <w:szCs w:val="32"/>
        </w:rPr>
        <w:t>自从我县被省厅评为绩效预算管理示范县后，面对荣誉，更加坚定了我们加速改革的动力和步伐，我县将在此基础上，严格对照省市要求，继续规范绩效预算管理，向打造省市样板县而不懈努力。</w:t>
      </w:r>
    </w:p>
    <w:p w14:paraId="1ACF4A00">
      <w:pPr>
        <w:tabs>
          <w:tab w:val="left" w:pos="6600"/>
        </w:tabs>
        <w:ind w:left="420"/>
        <w:rPr>
          <w:rFonts w:ascii="仿宋_GB2312" w:eastAsia="仿宋_GB2312"/>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040D"/>
    <w:rsid w:val="001C040D"/>
    <w:rsid w:val="009E0D83"/>
    <w:rsid w:val="00AE0A6B"/>
    <w:rsid w:val="79C612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3145</Words>
  <Characters>3312</Characters>
  <Lines>23</Lines>
  <Paragraphs>6</Paragraphs>
  <TotalTime>1</TotalTime>
  <ScaleCrop>false</ScaleCrop>
  <LinksUpToDate>false</LinksUpToDate>
  <CharactersWithSpaces>3312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2018-02-23T07:38:00Z</dcterms:created>
  <dc:creator>User</dc:creator>
  <cp:lastModifiedBy>你渴望力量吗？</cp:lastModifiedBy>
  <cp:lastPrinted>2019-02-19T06:57:00Z</cp:lastPrinted>
  <dcterms:modified xsi:type="dcterms:W3CDTF">2025-08-19T07:31:35Z</dcterms:modified>
  <dc:title>2016年预算公开有关事项说明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eyJoZGlkIjoiZDE4NWUwZWQ0ZWY4NGY5MjZkYzU3ZGI3ODMyNmNiNmIiLCJ1c2VySWQiOiI1MTM2NDE5MjQifQ==</vt:lpwstr>
  </property>
  <property fmtid="{D5CDD505-2E9C-101B-9397-08002B2CF9AE}" pid="4" name="ICV">
    <vt:lpwstr>E57AB6A4E996418097368373EBCC1240_12</vt:lpwstr>
  </property>
</Properties>
</file>