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jc w:val="both"/>
        <w:rPr>
          <w:rFonts w:hint="eastAsia" w:ascii="楷体_GB2312" w:hAnsi="楷体_GB2312" w:eastAsia="楷体_GB2312" w:cs="楷体_GB2312"/>
          <w:color w:val="000000"/>
          <w:sz w:val="40"/>
          <w:szCs w:val="40"/>
        </w:rPr>
      </w:pPr>
      <w:r>
        <w:drawing>
          <wp:anchor distT="0" distB="0" distL="114300" distR="114300" simplePos="0" relativeHeight="251659264" behindDoc="1" locked="0" layoutInCell="1" allowOverlap="1">
            <wp:simplePos x="0" y="0"/>
            <wp:positionH relativeFrom="column">
              <wp:posOffset>-1692910</wp:posOffset>
            </wp:positionH>
            <wp:positionV relativeFrom="paragraph">
              <wp:posOffset>-1319530</wp:posOffset>
            </wp:positionV>
            <wp:extent cx="8646795" cy="11107420"/>
            <wp:effectExtent l="0" t="0" r="1905" b="5080"/>
            <wp:wrapNone/>
            <wp:docPr id="15" name="图片 15" descr="7b0a202020202266696c746572223a202230220a7d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7b0a202020202266696c746572223a202230220a7d0a"/>
                    <pic:cNvPicPr>
                      <a:picLocks noChangeAspect="1"/>
                    </pic:cNvPicPr>
                  </pic:nvPicPr>
                  <pic:blipFill>
                    <a:blip r:embed="rId10">
                      <a:lum bright="6000"/>
                    </a:blip>
                    <a:srcRect t="559" b="3637"/>
                    <a:stretch>
                      <a:fillRect/>
                    </a:stretch>
                  </pic:blipFill>
                  <pic:spPr>
                    <a:xfrm>
                      <a:off x="0" y="0"/>
                      <a:ext cx="8646795" cy="11107420"/>
                    </a:xfrm>
                    <a:prstGeom prst="rect">
                      <a:avLst/>
                    </a:prstGeom>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-546735</wp:posOffset>
                </wp:positionH>
                <wp:positionV relativeFrom="paragraph">
                  <wp:posOffset>253365</wp:posOffset>
                </wp:positionV>
                <wp:extent cx="6431280" cy="2862580"/>
                <wp:effectExtent l="0" t="0" r="0" b="0"/>
                <wp:wrapNone/>
                <wp:docPr id="1" name="文本框 1" descr="7b0a2020202022776f7264617274223a20227b5c2269645c223a32353030323136362c5c227469645c223a5c225c227d220a7d0a"/>
                <wp:cNvGraphicFramePr>
                  <a:extLst xmlns:a="http://schemas.openxmlformats.org/drawingml/2006/main">
                    <a:ext uri="{7FBC4E63-A832-4D11-8238-D91031DB1400}">
                      <s:tag xmlns="http://www.wps.cn/officeDocument/2013/wpsCustomData" xmlns:s="http://www.wps.cn/officeDocument/2013/wpsCustomData">
                        <s:item s:name="KSO_DOCER_RESOURCE_TRACE_INFO" s:val="{&quot;id&quot;:&quot;&quot;,&quot;origin&quot;:0,&quot;type&quot;:&quot;wordart&quot;,&quot;user&quot;:&quot;292216292&quot;}"/>
                      </s:tag>
                    </a:ext>
                  </a:extLst>
                </wp:cNvGraphicFramePr>
                <a:graphic xmlns:a="http://schemas.openxmlformats.org/drawingml/2006/main">
                  <a:graphicData uri="http://schemas.microsoft.com/office/word/2010/wordprocessingShape">
                    <wps:wsp>
                      <wps:cNvSpPr txBox="1"/>
                      <wps:spPr>
                        <a:xfrm>
                          <a:off x="0" y="0"/>
                          <a:ext cx="6431280" cy="2862580"/>
                        </a:xfrm>
                        <a:prstGeom prst="rect">
                          <a:avLst/>
                        </a:prstGeom>
                        <a:noFill/>
                        <a:ln>
                          <a:noFill/>
                        </a:ln>
                        <a:effectLst/>
                      </wps:spPr>
                      <wps:txbx>
                        <w:txbxContent>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lang w:val="en-US" w:eastAsia="zh-CN"/>
                                <w14:textFill>
                                  <w14:solidFill>
                                    <w14:schemeClr w14:val="tx1">
                                      <w14:lumMod w14:val="95000"/>
                                      <w14:lumOff w14:val="5000"/>
                                    </w14:schemeClr>
                                  </w14:solidFill>
                                </w14:textFill>
                              </w:rPr>
                              <w:t>部门</w:t>
                            </w: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决算公开文本</w:t>
                            </w:r>
                          </w:p>
                        </w:txbxContent>
                      </wps:txbx>
                      <wps:bodyPr upright="1"/>
                    </wps:wsp>
                  </a:graphicData>
                </a:graphic>
              </wp:anchor>
            </w:drawing>
          </mc:Choice>
          <mc:Fallback>
            <w:pict>
              <v:shape id="_x0000_s1026" o:spid="_x0000_s1026" o:spt="202" alt="7b0a2020202022776f7264617274223a20227b5c2269645c223a32353030323136362c5c227469645c223a5c225c227d220a7d0a" type="#_x0000_t202" style="position:absolute;left:0pt;margin-left:-43.05pt;margin-top:19.95pt;height:225.4pt;width:506.4pt;z-index:251660288;mso-width-relative:page;mso-height-relative:page;" filled="f" stroked="f" coordsize="21600,21600" o:gfxdata="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2yz97YAAAACgEAAA8AAAAAAAAAAQAgAAAAIgAAAGRycy9kb3ducmV2LnhtbFBL&#10;AQIUABQAAAAIAIdO4kCjWvfx9gEAAM4DAAAOAAAAAAAAAAEAIAAAACcBAABkcnMvZTJvRG9jLnht&#10;bFBLBQYAAAAABgAGAFkBAACPBQAAAAA=&#10;">
                <v:fill on="f" focussize="0,0"/>
                <v:stroke on="f"/>
                <v:imagedata o:title=""/>
                <o:lock v:ext="edit" aspectratio="f"/>
                <v:textbox>
                  <w:txbxContent>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lang w:val="en-US" w:eastAsia="zh-CN"/>
                          <w14:textFill>
                            <w14:solidFill>
                              <w14:schemeClr w14:val="tx1">
                                <w14:lumMod w14:val="95000"/>
                                <w14:lumOff w14:val="5000"/>
                              </w14:schemeClr>
                            </w14:solidFill>
                          </w14:textFill>
                        </w:rPr>
                        <w:t>部门</w:t>
                      </w: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决算公开文本</w:t>
                      </w:r>
                    </w:p>
                  </w:txbxContent>
                </v:textbox>
              </v:shape>
            </w:pict>
          </mc:Fallback>
        </mc:AlternateContent>
      </w: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left"/>
        <w:rPr>
          <w:rFonts w:hint="eastAsia" w:ascii="楷体_GB2312" w:hAnsi="楷体_GB2312" w:eastAsia="楷体_GB2312" w:cs="楷体_GB2312"/>
          <w:color w:val="000000"/>
          <w:sz w:val="40"/>
          <w:szCs w:val="40"/>
          <w:lang w:val="en-US" w:eastAsia="zh-CN"/>
        </w:rPr>
      </w:pPr>
      <w:r>
        <w:rPr>
          <w:rFonts w:hint="eastAsia" w:ascii="黑体" w:hAnsi="黑体" w:eastAsia="黑体" w:cs="黑体"/>
          <w:color w:val="000000"/>
          <w:sz w:val="40"/>
          <w:szCs w:val="40"/>
        </w:rPr>
        <w:t>预算代码</w:t>
      </w:r>
      <w:r>
        <w:rPr>
          <w:rFonts w:hint="eastAsia" w:ascii="楷体_GB2312" w:hAnsi="楷体_GB2312" w:eastAsia="楷体_GB2312" w:cs="楷体_GB2312"/>
          <w:color w:val="000000"/>
          <w:sz w:val="40"/>
          <w:szCs w:val="40"/>
        </w:rPr>
        <w:t>：</w:t>
      </w:r>
      <w:r>
        <w:rPr>
          <w:rFonts w:hint="eastAsia" w:ascii="楷体_GB2312" w:hAnsi="楷体_GB2312" w:eastAsia="楷体_GB2312" w:cs="楷体_GB2312"/>
          <w:color w:val="000000"/>
          <w:sz w:val="40"/>
          <w:szCs w:val="40"/>
          <w:lang w:val="en-US" w:eastAsia="zh-CN"/>
        </w:rPr>
        <w:t>241</w:t>
      </w:r>
    </w:p>
    <w:p>
      <w:pPr>
        <w:spacing w:line="600" w:lineRule="auto"/>
        <w:jc w:val="left"/>
        <w:rPr>
          <w:rFonts w:hint="eastAsia" w:ascii="楷体_GB2312" w:hAnsi="楷体_GB2312" w:eastAsia="楷体_GB2312" w:cs="楷体_GB2312"/>
          <w:color w:val="000000"/>
          <w:sz w:val="40"/>
          <w:szCs w:val="40"/>
        </w:rPr>
      </w:pPr>
      <w:r>
        <w:rPr>
          <w:rFonts w:hint="eastAsia" w:ascii="黑体" w:hAnsi="黑体" w:eastAsia="黑体" w:cs="黑体"/>
          <w:color w:val="000000"/>
          <w:sz w:val="40"/>
          <w:szCs w:val="40"/>
          <w:lang w:eastAsia="zh-CN"/>
        </w:rPr>
        <w:t>部门</w:t>
      </w:r>
      <w:r>
        <w:rPr>
          <w:rFonts w:hint="eastAsia" w:ascii="黑体" w:hAnsi="黑体" w:eastAsia="黑体" w:cs="黑体"/>
          <w:color w:val="000000"/>
          <w:sz w:val="40"/>
          <w:szCs w:val="40"/>
        </w:rPr>
        <w:t>名称</w:t>
      </w:r>
      <w:r>
        <w:rPr>
          <w:rFonts w:hint="eastAsia" w:ascii="楷体_GB2312" w:hAnsi="楷体_GB2312" w:eastAsia="楷体_GB2312" w:cs="楷体_GB2312"/>
          <w:color w:val="000000"/>
          <w:sz w:val="40"/>
          <w:szCs w:val="40"/>
        </w:rPr>
        <w:t>：宁晋县档案馆</w:t>
      </w:r>
      <w:bookmarkStart w:id="0" w:name="_GoBack"/>
      <w:bookmarkEnd w:id="0"/>
    </w:p>
    <w:p>
      <w:pPr>
        <w:spacing w:line="600" w:lineRule="auto"/>
        <w:jc w:val="both"/>
        <w:rPr>
          <w:rFonts w:hint="eastAsia" w:ascii="楷体_GB2312" w:hAnsi="楷体_GB2312" w:eastAsia="楷体_GB2312" w:cs="楷体_GB2312"/>
          <w:color w:val="000000"/>
          <w:sz w:val="40"/>
          <w:szCs w:val="40"/>
        </w:rPr>
        <w:sectPr>
          <w:footerReference r:id="rId3" w:type="default"/>
          <w:pgSz w:w="11906" w:h="16838"/>
          <w:pgMar w:top="2098" w:right="1417" w:bottom="1871" w:left="1417" w:header="851" w:footer="992" w:gutter="0"/>
          <w:pgBorders>
            <w:top w:val="none" w:sz="0" w:space="0"/>
            <w:left w:val="none" w:sz="0" w:space="0"/>
            <w:bottom w:val="none" w:sz="0" w:space="0"/>
            <w:right w:val="none" w:sz="0" w:space="0"/>
          </w:pgBorders>
          <w:cols w:space="720" w:num="1"/>
          <w:docGrid w:type="lines" w:linePitch="312" w:charSpace="0"/>
        </w:sectPr>
      </w:pPr>
    </w:p>
    <w:p>
      <w:pPr>
        <w:spacing w:line="600" w:lineRule="auto"/>
        <w:jc w:val="center"/>
        <w:rPr>
          <w:rFonts w:hint="eastAsia" w:ascii="楷体_GB2312" w:hAnsi="楷体_GB2312" w:eastAsia="楷体_GB2312" w:cs="楷体_GB2312"/>
          <w:color w:val="000000"/>
          <w:sz w:val="40"/>
          <w:szCs w:val="40"/>
        </w:rPr>
      </w:pPr>
    </w:p>
    <w:p>
      <w:pPr>
        <w:rPr>
          <w:rFonts w:hint="eastAsia" w:ascii="黑体" w:hAnsi="黑体" w:eastAsia="黑体" w:cs="黑体"/>
          <w:b/>
          <w:bCs/>
          <w:sz w:val="32"/>
          <w:szCs w:val="36"/>
          <w:highlight w:val="yellow"/>
        </w:rPr>
      </w:pPr>
    </w:p>
    <w:p>
      <w:pPr>
        <w:widowControl/>
        <w:spacing w:before="0" w:beforeLines="0" w:beforeAutospacing="0" w:after="0" w:afterLines="0" w:afterAutospacing="0" w:line="360" w:lineRule="auto"/>
        <w:jc w:val="center"/>
        <w:rPr>
          <w:rFonts w:ascii="Times New Roman" w:eastAsia="方正小标宋_GBK"/>
          <w:b w:val="0"/>
          <w:sz w:val="72"/>
          <w:szCs w:val="72"/>
        </w:rPr>
      </w:pPr>
      <w:r>
        <w:rPr>
          <w:rFonts w:ascii="Times New Roman" w:eastAsia="方正小标宋_GBK"/>
          <w:b w:val="0"/>
          <w:sz w:val="72"/>
          <w:szCs w:val="72"/>
        </w:rPr>
        <w:t>宁晋县档案馆</w:t>
      </w:r>
    </w:p>
    <w:p>
      <w:pPr>
        <w:widowControl/>
        <w:spacing w:before="0" w:beforeLines="0" w:beforeAutospacing="0" w:after="0" w:afterLines="0" w:afterAutospacing="0" w:line="360" w:lineRule="auto"/>
        <w:jc w:val="center"/>
        <w:rPr>
          <w:rFonts w:ascii="Times New Roman" w:eastAsia="方正小标宋_GBK"/>
          <w:sz w:val="72"/>
          <w:szCs w:val="72"/>
        </w:rPr>
      </w:pPr>
      <w:r>
        <w:rPr>
          <w:rFonts w:ascii="Times New Roman" w:eastAsia="仿宋_GB2312"/>
          <w:b w:val="0"/>
          <w:sz w:val="72"/>
          <w:szCs w:val="72"/>
        </w:rPr>
        <w:t>2024</w:t>
      </w:r>
      <w:r>
        <w:rPr>
          <w:rFonts w:ascii="Times New Roman" w:eastAsia="方正小标宋_GBK"/>
          <w:b w:val="0"/>
          <w:sz w:val="72"/>
          <w:szCs w:val="72"/>
        </w:rPr>
        <w:t>年度</w:t>
      </w:r>
      <w:r>
        <w:rPr>
          <w:rFonts w:hint="eastAsia" w:ascii="Times New Roman" w:eastAsia="方正小标宋_GBK"/>
          <w:b w:val="0"/>
          <w:sz w:val="72"/>
          <w:szCs w:val="72"/>
          <w:lang w:eastAsia="zh-CN"/>
        </w:rPr>
        <w:t>部门</w:t>
      </w:r>
      <w:r>
        <w:rPr>
          <w:rFonts w:ascii="Times New Roman" w:eastAsia="方正小标宋_GBK"/>
          <w:b w:val="0"/>
          <w:sz w:val="72"/>
          <w:szCs w:val="72"/>
        </w:rPr>
        <w:t>决算公开文本</w:t>
      </w:r>
    </w:p>
    <w:p>
      <w:pPr>
        <w:spacing w:line="36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480" w:lineRule="auto"/>
        <w:jc w:val="both"/>
        <w:rPr>
          <w:rFonts w:ascii="黑体" w:hAnsi="黑体" w:eastAsia="黑体" w:cs="黑体"/>
          <w:sz w:val="56"/>
          <w:szCs w:val="72"/>
        </w:rPr>
      </w:pPr>
    </w:p>
    <w:p>
      <w:pPr>
        <w:widowControl/>
        <w:spacing w:before="0" w:beforeLines="0" w:beforeAutospacing="0" w:after="0" w:afterLines="0" w:afterAutospacing="0" w:line="360" w:lineRule="auto"/>
        <w:jc w:val="center"/>
        <w:rPr>
          <w:rFonts w:ascii="Times New Roman" w:eastAsia="楷体_GB2312"/>
          <w:b w:val="0"/>
          <w:sz w:val="44"/>
          <w:szCs w:val="44"/>
        </w:rPr>
      </w:pPr>
      <w:r>
        <w:rPr>
          <w:rFonts w:ascii="Times New Roman" w:eastAsia="楷体_GB2312"/>
          <w:b w:val="0"/>
          <w:sz w:val="44"/>
          <w:szCs w:val="44"/>
        </w:rPr>
        <w:t>宁晋县档案馆</w:t>
      </w:r>
    </w:p>
    <w:p>
      <w:pPr>
        <w:widowControl/>
        <w:spacing w:before="0" w:beforeLines="0" w:beforeAutospacing="0" w:after="0" w:afterLines="0" w:afterAutospacing="0" w:line="360" w:lineRule="auto"/>
        <w:jc w:val="center"/>
        <w:rPr>
          <w:rFonts w:ascii="Times New Roman" w:eastAsia="楷体_GB2312"/>
          <w:sz w:val="44"/>
          <w:szCs w:val="44"/>
        </w:rPr>
      </w:pPr>
      <w:r>
        <w:rPr>
          <w:rFonts w:ascii="Times New Roman" w:eastAsia="楷体_GB2312"/>
          <w:b w:val="0"/>
          <w:sz w:val="44"/>
          <w:szCs w:val="44"/>
        </w:rPr>
        <w:t>二〇二五年</w:t>
      </w:r>
      <w:r>
        <w:rPr>
          <w:rFonts w:hint="eastAsia" w:ascii="Times New Roman" w:eastAsia="楷体_GB2312"/>
          <w:b w:val="0"/>
          <w:sz w:val="44"/>
          <w:szCs w:val="44"/>
          <w:lang w:val="en-US" w:eastAsia="zh-CN"/>
        </w:rPr>
        <w:t>九</w:t>
      </w:r>
      <w:r>
        <w:rPr>
          <w:rFonts w:ascii="Times New Roman" w:eastAsia="楷体_GB2312"/>
          <w:b w:val="0"/>
          <w:sz w:val="44"/>
          <w:szCs w:val="44"/>
        </w:rPr>
        <w:t>月</w:t>
      </w:r>
    </w:p>
    <w:p>
      <w:pPr>
        <w:snapToGrid w:val="0"/>
        <w:jc w:val="left"/>
        <w:rPr>
          <w:rFonts w:hint="eastAsia" w:ascii="楷体_GB2312" w:hAnsi="楷体_GB2312" w:eastAsia="楷体_GB2312" w:cs="楷体_GB2312"/>
          <w:color w:val="000000" w:themeColor="text1"/>
          <w:kern w:val="0"/>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pPr>
        <w:snapToGrid w:val="0"/>
        <w:jc w:val="left"/>
        <w:rPr>
          <w:rFonts w:hint="default" w:ascii="楷体_GB2312" w:hAnsi="楷体_GB2312" w:eastAsia="楷体_GB2312" w:cs="楷体_GB2312"/>
          <w:color w:val="000000" w:themeColor="text1"/>
          <w:kern w:val="0"/>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spacing w:line="600" w:lineRule="exact"/>
        <w:jc w:val="left"/>
        <w:rPr>
          <w:rFonts w:ascii="黑体" w:hAnsi="黑体" w:eastAsia="黑体" w:cs="黑体"/>
          <w:bCs/>
          <w:sz w:val="32"/>
          <w:szCs w:val="32"/>
        </w:rPr>
      </w:pPr>
    </w:p>
    <w:p>
      <w:pPr>
        <w:tabs>
          <w:tab w:val="left" w:pos="2728"/>
        </w:tabs>
        <w:jc w:val="center"/>
        <w:rPr>
          <w:rFonts w:ascii="黑体" w:hAnsi="Times New Roman" w:eastAsia="黑体" w:cs="Times New Roman"/>
          <w:sz w:val="48"/>
          <w:szCs w:val="48"/>
        </w:rPr>
      </w:pP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目录</w:t>
      </w:r>
    </w:p>
    <w:p>
      <w:pPr>
        <w:widowControl/>
        <w:spacing w:after="160" w:line="580" w:lineRule="exact"/>
        <w:ind w:firstLine="640" w:firstLineChars="200"/>
        <w:rPr>
          <w:rFonts w:ascii="Times New Roman" w:hAnsi="Times New Roman" w:eastAsia="黑体" w:cs="Times New Roman"/>
          <w:sz w:val="32"/>
          <w:szCs w:val="32"/>
        </w:rPr>
      </w:pPr>
    </w:p>
    <w:p>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第一部分</w:t>
      </w:r>
      <w:r>
        <w:rPr>
          <w:rFonts w:hint="eastAsia" w:ascii="Times New Roman" w:eastAsia="黑体"/>
          <w:b w:val="0"/>
          <w:sz w:val="32"/>
          <w:szCs w:val="32"/>
          <w:lang w:eastAsia="zh-CN"/>
        </w:rPr>
        <w:t>部门</w:t>
      </w:r>
      <w:r>
        <w:rPr>
          <w:rFonts w:ascii="Times New Roman" w:eastAsia="黑体"/>
          <w:b w:val="0"/>
          <w:sz w:val="32"/>
          <w:szCs w:val="32"/>
        </w:rPr>
        <w:t>概况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w:t>
      </w:r>
      <w:r>
        <w:rPr>
          <w:rFonts w:hint="eastAsia" w:ascii="Times New Roman" w:eastAsia="仿宋_GB2312"/>
          <w:b w:val="0"/>
          <w:sz w:val="32"/>
          <w:szCs w:val="32"/>
          <w:lang w:eastAsia="zh-CN"/>
        </w:rPr>
        <w:t>部门</w:t>
      </w:r>
      <w:r>
        <w:rPr>
          <w:rFonts w:ascii="Times New Roman" w:eastAsia="仿宋_GB2312"/>
          <w:b w:val="0"/>
          <w:sz w:val="32"/>
          <w:szCs w:val="32"/>
        </w:rPr>
        <w:t>职责</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二、机构设置</w:t>
      </w:r>
    </w:p>
    <w:p>
      <w:pPr>
        <w:widowControl/>
        <w:spacing w:before="0" w:beforeLines="0" w:beforeAutospacing="0" w:after="0" w:afterLines="0" w:afterAutospacing="0" w:line="360" w:lineRule="auto"/>
        <w:jc w:val="left"/>
        <w:outlineLvl w:val="0"/>
        <w:rPr>
          <w:rFonts w:ascii="Times New Roman" w:eastAsia="黑体"/>
          <w:sz w:val="32"/>
          <w:szCs w:val="32"/>
        </w:rPr>
      </w:pPr>
      <w:r>
        <w:rPr>
          <w:rFonts w:ascii="Times New Roman" w:eastAsia="黑体"/>
          <w:b w:val="0"/>
          <w:sz w:val="32"/>
          <w:szCs w:val="32"/>
        </w:rPr>
        <w:t>第二部分2024年度</w:t>
      </w:r>
      <w:r>
        <w:rPr>
          <w:rFonts w:hint="eastAsia" w:ascii="Times New Roman" w:eastAsia="黑体"/>
          <w:b w:val="0"/>
          <w:sz w:val="32"/>
          <w:szCs w:val="32"/>
          <w:lang w:eastAsia="zh-CN"/>
        </w:rPr>
        <w:t>部门</w:t>
      </w:r>
      <w:r>
        <w:rPr>
          <w:rFonts w:ascii="Times New Roman" w:eastAsia="黑体"/>
          <w:b w:val="0"/>
          <w:sz w:val="32"/>
          <w:szCs w:val="32"/>
        </w:rPr>
        <w:t>决算报表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一、收入支出决算总表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二、收入决算表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三、支出决算表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四、财政拨款收入支出决算总表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五、一般公共预算财政拨款支出决算表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六、一般公共预算财政拨款基本支出决算明细表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七、政府性基金预算财政拨款收入支出决算表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八、国有资本经营预算财政拨款支出决算表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九、财政拨款“三公”经费支出决算表</w:t>
      </w:r>
    </w:p>
    <w:p>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第三部分2024年度</w:t>
      </w:r>
      <w:r>
        <w:rPr>
          <w:rFonts w:hint="eastAsia" w:ascii="Times New Roman" w:eastAsia="黑体"/>
          <w:b w:val="0"/>
          <w:sz w:val="32"/>
          <w:szCs w:val="32"/>
          <w:lang w:eastAsia="zh-CN"/>
        </w:rPr>
        <w:t>部门</w:t>
      </w:r>
      <w:r>
        <w:rPr>
          <w:rFonts w:ascii="Times New Roman" w:eastAsia="黑体"/>
          <w:b w:val="0"/>
          <w:sz w:val="32"/>
          <w:szCs w:val="32"/>
        </w:rPr>
        <w:t>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一、收入支出决算总体情况说明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二、收入决算情况说明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三、支出决算情况说明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四、财政拨款收入支出决算总体情况说明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五、财政拨款“三公”经费支出决算情况说明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六、机关运行经费支出说明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七、政府采购支出说明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八、国有资产占用情况说明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九、关于2024年度绩效评价情况的说明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十、其他需要说明的情况</w:t>
      </w:r>
    </w:p>
    <w:p>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第四部分名词解释</w:t>
      </w:r>
    </w:p>
    <w:p>
      <w:pPr>
        <w:widowControl/>
        <w:spacing w:after="160" w:line="580" w:lineRule="exact"/>
        <w:rPr>
          <w:rFonts w:hint="eastAsia" w:ascii="Times New Roman" w:hAnsi="Times New Roman" w:eastAsia="黑体" w:cs="Times New Roman"/>
          <w:sz w:val="32"/>
          <w:szCs w:val="32"/>
          <w:lang w:val="en-US" w:eastAsia="zh-CN"/>
        </w:rPr>
        <w:sectPr>
          <w:headerReference r:id="rId5" w:type="first"/>
          <w:footerReference r:id="rId7" w:type="first"/>
          <w:headerReference r:id="rId4" w:type="default"/>
          <w:footerReference r:id="rId6" w:type="default"/>
          <w:pgSz w:w="11906" w:h="16838"/>
          <w:pgMar w:top="1474" w:right="1531" w:bottom="1474" w:left="1531" w:header="851" w:footer="992" w:gutter="0"/>
          <w:pgBorders>
            <w:top w:val="none" w:sz="0" w:space="0"/>
            <w:left w:val="none" w:sz="0" w:space="0"/>
            <w:bottom w:val="none" w:sz="0" w:space="0"/>
            <w:right w:val="none" w:sz="0" w:space="0"/>
          </w:pgBorders>
          <w:cols w:space="0" w:num="1"/>
          <w:titlePg/>
          <w:docGrid w:type="lines" w:linePitch="312" w:charSpace="0"/>
        </w:sectPr>
      </w:pP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第一部分</w:t>
      </w:r>
      <w:r>
        <w:rPr>
          <w:rFonts w:hint="eastAsia" w:ascii="Times New Roman" w:eastAsia="黑体"/>
          <w:b w:val="0"/>
          <w:sz w:val="44"/>
          <w:szCs w:val="44"/>
          <w:lang w:eastAsia="zh-CN"/>
        </w:rPr>
        <w:t>部门</w:t>
      </w:r>
      <w:r>
        <w:rPr>
          <w:rFonts w:ascii="Times New Roman" w:eastAsia="黑体"/>
          <w:b w:val="0"/>
          <w:sz w:val="44"/>
          <w:szCs w:val="44"/>
        </w:rPr>
        <w:t>概况</w:t>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一、</w:t>
      </w:r>
      <w:r>
        <w:rPr>
          <w:rFonts w:hint="eastAsia" w:ascii="Times New Roman" w:eastAsia="黑体"/>
          <w:b w:val="0"/>
          <w:sz w:val="32"/>
          <w:szCs w:val="32"/>
          <w:lang w:eastAsia="zh-CN"/>
        </w:rPr>
        <w:t>部门</w:t>
      </w:r>
      <w:r>
        <w:rPr>
          <w:rFonts w:ascii="Times New Roman" w:eastAsia="黑体"/>
          <w:b w:val="0"/>
          <w:sz w:val="32"/>
          <w:szCs w:val="32"/>
        </w:rPr>
        <w:t>职责</w:t>
      </w:r>
    </w:p>
    <w:p>
      <w:pPr>
        <w:widowControl/>
        <w:ind w:firstLine="480"/>
        <w:rPr>
          <w:rFonts w:ascii="Times New Roman" w:eastAsia="仿宋_GB2312"/>
          <w:sz w:val="32"/>
          <w:szCs w:val="32"/>
        </w:rPr>
      </w:pPr>
      <w:r>
        <w:rPr>
          <w:rFonts w:hint="eastAsia" w:ascii="仿宋_GB2312" w:eastAsia="仿宋_GB2312"/>
          <w:sz w:val="32"/>
          <w:szCs w:val="32"/>
          <w:lang w:eastAsia="zh-CN"/>
        </w:rPr>
        <w:t>（一）贯彻执行有关法律、法规和国家有关方针政策。（二）负责集中统一管理县直机关的档案以及本县其它重要档案、文献资料，开展接收、征集、整理、保管、鉴定、研究、编纂等项工作，保守党和国家秘密、维护档案的完整确保档案资料的安全。（三）完成县委、县政府交办的其他工作。</w:t>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二、机构设置</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从决算编报</w:t>
      </w:r>
      <w:r>
        <w:rPr>
          <w:rFonts w:hint="eastAsia" w:ascii="Times New Roman" w:eastAsia="仿宋_GB2312"/>
          <w:b w:val="0"/>
          <w:sz w:val="32"/>
          <w:szCs w:val="32"/>
          <w:lang w:eastAsia="zh-CN"/>
        </w:rPr>
        <w:t>部门</w:t>
      </w:r>
      <w:r>
        <w:rPr>
          <w:rFonts w:ascii="Times New Roman" w:eastAsia="仿宋_GB2312"/>
          <w:b w:val="0"/>
          <w:sz w:val="32"/>
          <w:szCs w:val="32"/>
        </w:rPr>
        <w:t>构成看，纳入2024年度本</w:t>
      </w:r>
      <w:r>
        <w:rPr>
          <w:rFonts w:hint="eastAsia" w:ascii="Times New Roman" w:eastAsia="仿宋_GB2312"/>
          <w:b w:val="0"/>
          <w:sz w:val="32"/>
          <w:szCs w:val="32"/>
          <w:lang w:eastAsia="zh-CN"/>
        </w:rPr>
        <w:t>部门</w:t>
      </w:r>
      <w:r>
        <w:rPr>
          <w:rFonts w:ascii="Times New Roman" w:eastAsia="仿宋_GB2312"/>
          <w:b w:val="0"/>
          <w:sz w:val="32"/>
          <w:szCs w:val="32"/>
        </w:rPr>
        <w:t>决算汇编范围的独立核算</w:t>
      </w:r>
      <w:r>
        <w:rPr>
          <w:rFonts w:hint="eastAsia" w:ascii="Times New Roman" w:eastAsia="仿宋_GB2312"/>
          <w:b w:val="0"/>
          <w:sz w:val="32"/>
          <w:szCs w:val="32"/>
          <w:lang w:eastAsia="zh-CN"/>
        </w:rPr>
        <w:t>部门</w:t>
      </w:r>
      <w:r>
        <w:rPr>
          <w:rFonts w:ascii="Times New Roman" w:eastAsia="仿宋_GB2312"/>
          <w:b w:val="0"/>
          <w:sz w:val="32"/>
          <w:szCs w:val="32"/>
        </w:rPr>
        <w:t>（以下简称“</w:t>
      </w:r>
      <w:r>
        <w:rPr>
          <w:rFonts w:hint="eastAsia" w:ascii="Times New Roman" w:eastAsia="仿宋_GB2312"/>
          <w:b w:val="0"/>
          <w:sz w:val="32"/>
          <w:szCs w:val="32"/>
          <w:lang w:eastAsia="zh-CN"/>
        </w:rPr>
        <w:t>部门</w:t>
      </w:r>
      <w:r>
        <w:rPr>
          <w:rFonts w:ascii="Times New Roman" w:eastAsia="仿宋_GB2312"/>
          <w:b w:val="0"/>
          <w:sz w:val="32"/>
          <w:szCs w:val="32"/>
        </w:rPr>
        <w:t>”）共</w:t>
      </w:r>
      <w:r>
        <w:rPr>
          <w:rFonts w:hint="eastAsia" w:ascii="Times New Roman" w:eastAsia="仿宋_GB2312"/>
          <w:b w:val="0"/>
          <w:sz w:val="32"/>
          <w:szCs w:val="32"/>
          <w:lang w:val="en-US" w:eastAsia="zh-CN"/>
        </w:rPr>
        <w:t>1</w:t>
      </w:r>
      <w:r>
        <w:rPr>
          <w:rFonts w:ascii="Times New Roman" w:eastAsia="仿宋_GB2312"/>
          <w:b w:val="0"/>
          <w:sz w:val="32"/>
          <w:szCs w:val="32"/>
        </w:rPr>
        <w:t>个，具体情况如下：</w:t>
      </w:r>
    </w:p>
    <w:tbl>
      <w:tblPr>
        <w:tblStyle w:val="11"/>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445"/>
        <w:gridCol w:w="2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8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序号</w:t>
            </w:r>
          </w:p>
        </w:tc>
        <w:tc>
          <w:tcPr>
            <w:tcW w:w="348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lang w:eastAsia="zh-CN"/>
              </w:rPr>
              <w:t>部门</w:t>
            </w:r>
            <w:r>
              <w:rPr>
                <w:rFonts w:hint="eastAsia" w:ascii="仿宋_GB2312" w:hAnsi="Calibri" w:eastAsia="仿宋_GB2312" w:cs="ArialUnicodeMS"/>
                <w:b/>
                <w:bCs/>
                <w:kern w:val="0"/>
                <w:sz w:val="28"/>
                <w:szCs w:val="28"/>
              </w:rPr>
              <w:t>名称</w:t>
            </w:r>
          </w:p>
        </w:tc>
        <w:tc>
          <w:tcPr>
            <w:tcW w:w="244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lang w:eastAsia="zh-CN"/>
              </w:rPr>
              <w:t>部门</w:t>
            </w:r>
            <w:r>
              <w:rPr>
                <w:rFonts w:hint="eastAsia" w:ascii="仿宋_GB2312" w:hAnsi="Calibri" w:eastAsia="仿宋_GB2312" w:cs="ArialUnicodeMS"/>
                <w:b/>
                <w:bCs/>
                <w:kern w:val="0"/>
                <w:sz w:val="28"/>
                <w:szCs w:val="28"/>
              </w:rPr>
              <w:t>基本性质</w:t>
            </w:r>
          </w:p>
        </w:tc>
        <w:tc>
          <w:tcPr>
            <w:tcW w:w="266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经费形式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1</w:t>
            </w:r>
          </w:p>
        </w:tc>
        <w:tc>
          <w:tcPr>
            <w:tcW w:w="348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宁晋县档案馆(本级)</w:t>
            </w:r>
          </w:p>
        </w:tc>
        <w:tc>
          <w:tcPr>
            <w:tcW w:w="2445" w:type="dxa"/>
          </w:tcPr>
          <w:p>
            <w:pPr>
              <w:spacing w:line="560" w:lineRule="exact"/>
              <w:jc w:val="center"/>
              <w:rPr>
                <w:rFonts w:hint="eastAsia" w:ascii="仿宋_GB2312" w:hAnsi="Calibri" w:eastAsia="仿宋_GB2312" w:cs="ArialUnicodeMS"/>
                <w:kern w:val="0"/>
                <w:sz w:val="28"/>
                <w:szCs w:val="28"/>
                <w:lang w:val="en-US" w:eastAsia="zh-CN"/>
              </w:rPr>
            </w:pPr>
            <w:r>
              <w:rPr>
                <w:rFonts w:hint="eastAsia" w:ascii="仿宋_GB2312" w:hAnsi="Calibri" w:eastAsia="仿宋_GB2312" w:cs="ArialUnicodeMS"/>
                <w:kern w:val="0"/>
                <w:sz w:val="28"/>
                <w:szCs w:val="28"/>
                <w:lang w:val="en-US" w:eastAsia="zh-CN"/>
              </w:rPr>
              <w:t>事业单位</w:t>
            </w:r>
          </w:p>
        </w:tc>
        <w:tc>
          <w:tcPr>
            <w:tcW w:w="266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全额</w:t>
            </w:r>
          </w:p>
        </w:tc>
      </w:tr>
    </w:tbl>
    <w:p>
      <w:pPr>
        <w:rPr>
          <w:rFonts w:hint="eastAsia" w:ascii="Times New Roman" w:hAnsi="Times New Roman" w:eastAsia="黑体" w:cs="Times New Roman"/>
          <w:sz w:val="32"/>
          <w:szCs w:val="32"/>
          <w:highlight w:val="yellow"/>
        </w:rPr>
      </w:pPr>
      <w:r>
        <w:rPr>
          <w:rFonts w:hint="eastAsia" w:ascii="Times New Roman" w:hAnsi="Times New Roman" w:eastAsia="黑体" w:cs="Times New Roman"/>
          <w:sz w:val="32"/>
          <w:szCs w:val="32"/>
          <w:highlight w:val="yellow"/>
        </w:rPr>
        <w:br w:type="page"/>
      </w: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第二部分</w:t>
      </w:r>
      <w:r>
        <w:rPr>
          <w:rFonts w:ascii="Times New Roman" w:eastAsia="仿宋_GB2312"/>
          <w:b w:val="0"/>
          <w:sz w:val="44"/>
          <w:szCs w:val="44"/>
        </w:rPr>
        <w:t>2024</w:t>
      </w:r>
      <w:r>
        <w:rPr>
          <w:rFonts w:ascii="Times New Roman" w:eastAsia="黑体"/>
          <w:b w:val="0"/>
          <w:sz w:val="44"/>
          <w:szCs w:val="44"/>
        </w:rPr>
        <w:t>年度</w:t>
      </w:r>
      <w:r>
        <w:rPr>
          <w:rFonts w:hint="eastAsia" w:ascii="Times New Roman" w:eastAsia="黑体"/>
          <w:b w:val="0"/>
          <w:sz w:val="44"/>
          <w:szCs w:val="44"/>
          <w:lang w:eastAsia="zh-CN"/>
        </w:rPr>
        <w:t>部门</w:t>
      </w:r>
      <w:r>
        <w:rPr>
          <w:rFonts w:ascii="Times New Roman" w:eastAsia="黑体"/>
          <w:b w:val="0"/>
          <w:sz w:val="44"/>
          <w:szCs w:val="44"/>
        </w:rPr>
        <w:t>决算表</w:t>
      </w:r>
    </w:p>
    <w:tbl>
      <w:tblPr>
        <w:tblStyle w:val="11"/>
        <w:tblW w:w="629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59"/>
        <w:gridCol w:w="721"/>
        <w:gridCol w:w="482"/>
        <w:gridCol w:w="668"/>
        <w:gridCol w:w="2200"/>
        <w:gridCol w:w="887"/>
        <w:gridCol w:w="888"/>
        <w:gridCol w:w="10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22" w:hRule="atLeast"/>
          <w:jc w:val="center"/>
        </w:trPr>
        <w:tc>
          <w:tcPr>
            <w:tcW w:w="5000" w:type="pct"/>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56" w:hRule="atLeast"/>
          <w:jc w:val="center"/>
        </w:trPr>
        <w:tc>
          <w:tcPr>
            <w:tcW w:w="5000" w:type="pct"/>
            <w:gridSpan w:val="8"/>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公开</w:t>
            </w:r>
            <w:r>
              <w:rPr>
                <w:rFonts w:hint="eastAsia" w:ascii="Times New Roman" w:hAnsi="Times New Roman" w:eastAsia="宋体" w:cs="Times New Roman"/>
                <w:i w:val="0"/>
                <w:iCs w:val="0"/>
                <w:color w:val="000000"/>
                <w:sz w:val="20"/>
                <w:szCs w:val="20"/>
                <w:highlight w:val="none"/>
                <w:u w:val="none"/>
                <w:lang w:val="en-US" w:eastAsia="zh-CN"/>
              </w:rPr>
              <w:t>01</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50" w:hRule="atLeast"/>
          <w:jc w:val="center"/>
        </w:trPr>
        <w:tc>
          <w:tcPr>
            <w:tcW w:w="2205" w:type="pct"/>
            <w:gridSpan w:val="3"/>
            <w:tcBorders>
              <w:top w:val="nil"/>
              <w:left w:val="nil"/>
              <w:bottom w:val="single" w:color="auto" w:sz="4" w:space="0"/>
              <w:right w:val="nil"/>
            </w:tcBorders>
            <w:noWrap/>
            <w:vAlign w:val="bottom"/>
          </w:tcPr>
          <w:p>
            <w:pPr>
              <w:jc w:val="both"/>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部门：宁晋县档案馆(本级)</w:t>
            </w:r>
          </w:p>
        </w:tc>
        <w:tc>
          <w:tcPr>
            <w:tcW w:w="1417" w:type="pct"/>
            <w:gridSpan w:val="2"/>
            <w:tcBorders>
              <w:top w:val="nil"/>
              <w:left w:val="nil"/>
              <w:bottom w:val="single" w:color="auto" w:sz="4" w:space="0"/>
              <w:right w:val="nil"/>
            </w:tcBorders>
            <w:noWrap/>
            <w:vAlign w:val="bottom"/>
          </w:tcPr>
          <w:p>
            <w:pPr>
              <w:jc w:val="center"/>
              <w:rPr>
                <w:rFonts w:hint="default" w:ascii="宋体" w:hAnsi="宋体" w:eastAsia="宋体" w:cs="宋体"/>
                <w:i w:val="0"/>
                <w:iCs w:val="0"/>
                <w:color w:val="000000"/>
                <w:kern w:val="0"/>
                <w:sz w:val="20"/>
                <w:szCs w:val="20"/>
                <w:highlight w:val="none"/>
                <w:u w:val="none"/>
                <w:lang w:val="en-US" w:eastAsia="zh-CN" w:bidi="ar"/>
              </w:rPr>
            </w:pPr>
            <w:r>
              <w:rPr>
                <w:rFonts w:hint="eastAsia" w:ascii="Times New Roman" w:hAnsi="Times New Roman" w:eastAsia="宋体" w:cs="Times New Roman"/>
                <w:i w:val="0"/>
                <w:iCs w:val="0"/>
                <w:color w:val="000000"/>
                <w:sz w:val="20"/>
                <w:szCs w:val="20"/>
                <w:highlight w:val="none"/>
                <w:u w:val="none"/>
                <w:lang w:val="en-US" w:eastAsia="zh-CN"/>
              </w:rPr>
              <w:t>2024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377" w:type="pct"/>
            <w:gridSpan w:val="3"/>
            <w:tcBorders>
              <w:top w:val="nil"/>
              <w:left w:val="nil"/>
              <w:bottom w:val="single" w:color="auto" w:sz="4" w:space="0"/>
              <w:right w:val="nil"/>
            </w:tcBorders>
            <w:noWrap/>
            <w:vAlign w:val="bottom"/>
          </w:tcPr>
          <w:p>
            <w:pPr>
              <w:jc w:val="right"/>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52" w:hRule="atLeast"/>
          <w:jc w:val="center"/>
        </w:trPr>
        <w:tc>
          <w:tcPr>
            <w:tcW w:w="2535" w:type="pct"/>
            <w:gridSpan w:val="4"/>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收入</w:t>
            </w:r>
          </w:p>
        </w:tc>
        <w:tc>
          <w:tcPr>
            <w:tcW w:w="2464" w:type="pct"/>
            <w:gridSpan w:val="4"/>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32" w:hRule="atLeast"/>
          <w:jc w:val="center"/>
        </w:trPr>
        <w:tc>
          <w:tcPr>
            <w:tcW w:w="161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3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56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决算数</w:t>
            </w:r>
          </w:p>
        </w:tc>
        <w:tc>
          <w:tcPr>
            <w:tcW w:w="152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43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50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84" w:hRule="atLeast"/>
          <w:jc w:val="center"/>
        </w:trPr>
        <w:tc>
          <w:tcPr>
            <w:tcW w:w="161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356"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56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Times New Roman" w:hAnsi="Times New Roman" w:eastAsia="宋体" w:cs="Times New Roman"/>
                <w:i w:val="0"/>
                <w:iCs w:val="0"/>
                <w:color w:val="000000"/>
                <w:sz w:val="20"/>
                <w:szCs w:val="20"/>
                <w:highlight w:val="none"/>
                <w:u w:val="none"/>
                <w:lang w:val="en-US" w:eastAsia="zh-CN"/>
              </w:rPr>
              <w:t>1</w:t>
            </w:r>
          </w:p>
        </w:tc>
        <w:tc>
          <w:tcPr>
            <w:tcW w:w="152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438"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50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Times New Roman" w:hAnsi="Times New Roman" w:eastAsia="宋体" w:cs="Times New Roman"/>
                <w:i w:val="0"/>
                <w:iCs w:val="0"/>
                <w:color w:val="000000"/>
                <w:sz w:val="20"/>
                <w:szCs w:val="20"/>
                <w:highlight w:val="none"/>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84" w:hRule="atLeast"/>
          <w:jc w:val="center"/>
        </w:trPr>
        <w:tc>
          <w:tcPr>
            <w:tcW w:w="161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一、一般公共预算财政拨款收入</w:t>
            </w:r>
          </w:p>
        </w:tc>
        <w:tc>
          <w:tcPr>
            <w:tcW w:w="3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宋体" w:hAnsi="宋体" w:eastAsia="宋体" w:cs="宋体"/>
                <w:i w:val="0"/>
                <w:iCs w:val="0"/>
                <w:color w:val="000000"/>
                <w:sz w:val="20"/>
                <w:szCs w:val="20"/>
                <w:highlight w:val="none"/>
                <w:u w:val="none"/>
                <w:lang w:val="en-US" w:eastAsia="zh-CN"/>
              </w:rPr>
              <w:t>1</w:t>
            </w:r>
          </w:p>
        </w:tc>
        <w:tc>
          <w:tcPr>
            <w:tcW w:w="568"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104.71</w:t>
            </w:r>
          </w:p>
        </w:tc>
        <w:tc>
          <w:tcPr>
            <w:tcW w:w="152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一、一般公共服务支出</w:t>
            </w:r>
          </w:p>
        </w:tc>
        <w:tc>
          <w:tcPr>
            <w:tcW w:w="43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32</w:t>
            </w:r>
          </w:p>
        </w:tc>
        <w:tc>
          <w:tcPr>
            <w:tcW w:w="50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46.87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84" w:hRule="atLeast"/>
          <w:jc w:val="center"/>
        </w:trPr>
        <w:tc>
          <w:tcPr>
            <w:tcW w:w="161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二、政府性基金预算财政拨款收入</w:t>
            </w:r>
          </w:p>
        </w:tc>
        <w:tc>
          <w:tcPr>
            <w:tcW w:w="3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568"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2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二、外交支出</w:t>
            </w:r>
          </w:p>
        </w:tc>
        <w:tc>
          <w:tcPr>
            <w:tcW w:w="43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33</w:t>
            </w:r>
          </w:p>
        </w:tc>
        <w:tc>
          <w:tcPr>
            <w:tcW w:w="50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32" w:hRule="atLeast"/>
          <w:jc w:val="center"/>
        </w:trPr>
        <w:tc>
          <w:tcPr>
            <w:tcW w:w="161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三、国有资本经营预算财政拨款收入</w:t>
            </w:r>
          </w:p>
        </w:tc>
        <w:tc>
          <w:tcPr>
            <w:tcW w:w="3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568"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2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三、国防支出</w:t>
            </w:r>
          </w:p>
        </w:tc>
        <w:tc>
          <w:tcPr>
            <w:tcW w:w="43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34</w:t>
            </w:r>
          </w:p>
        </w:tc>
        <w:tc>
          <w:tcPr>
            <w:tcW w:w="50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84" w:hRule="atLeast"/>
          <w:jc w:val="center"/>
        </w:trPr>
        <w:tc>
          <w:tcPr>
            <w:tcW w:w="161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四、上级补助收入</w:t>
            </w:r>
          </w:p>
        </w:tc>
        <w:tc>
          <w:tcPr>
            <w:tcW w:w="3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568"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2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四、公共安全支出</w:t>
            </w:r>
          </w:p>
        </w:tc>
        <w:tc>
          <w:tcPr>
            <w:tcW w:w="43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35</w:t>
            </w:r>
          </w:p>
        </w:tc>
        <w:tc>
          <w:tcPr>
            <w:tcW w:w="50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84" w:hRule="atLeast"/>
          <w:jc w:val="center"/>
        </w:trPr>
        <w:tc>
          <w:tcPr>
            <w:tcW w:w="161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五、事业收入</w:t>
            </w:r>
          </w:p>
        </w:tc>
        <w:tc>
          <w:tcPr>
            <w:tcW w:w="3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568"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2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五、教育支出</w:t>
            </w:r>
          </w:p>
        </w:tc>
        <w:tc>
          <w:tcPr>
            <w:tcW w:w="43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36</w:t>
            </w:r>
          </w:p>
        </w:tc>
        <w:tc>
          <w:tcPr>
            <w:tcW w:w="50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84" w:hRule="atLeast"/>
          <w:jc w:val="center"/>
        </w:trPr>
        <w:tc>
          <w:tcPr>
            <w:tcW w:w="161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六、经营收入</w:t>
            </w:r>
          </w:p>
        </w:tc>
        <w:tc>
          <w:tcPr>
            <w:tcW w:w="3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568"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2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六、科学技术支出</w:t>
            </w:r>
          </w:p>
        </w:tc>
        <w:tc>
          <w:tcPr>
            <w:tcW w:w="43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37</w:t>
            </w:r>
          </w:p>
        </w:tc>
        <w:tc>
          <w:tcPr>
            <w:tcW w:w="50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84" w:hRule="atLeast"/>
          <w:jc w:val="center"/>
        </w:trPr>
        <w:tc>
          <w:tcPr>
            <w:tcW w:w="161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七、附属单位上缴收入</w:t>
            </w:r>
          </w:p>
        </w:tc>
        <w:tc>
          <w:tcPr>
            <w:tcW w:w="3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p>
        </w:tc>
        <w:tc>
          <w:tcPr>
            <w:tcW w:w="568"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2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七、文化旅游体育与传媒支出</w:t>
            </w:r>
          </w:p>
        </w:tc>
        <w:tc>
          <w:tcPr>
            <w:tcW w:w="43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38</w:t>
            </w:r>
          </w:p>
        </w:tc>
        <w:tc>
          <w:tcPr>
            <w:tcW w:w="50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84" w:hRule="atLeast"/>
          <w:jc w:val="center"/>
        </w:trPr>
        <w:tc>
          <w:tcPr>
            <w:tcW w:w="161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八、其他收入</w:t>
            </w:r>
          </w:p>
        </w:tc>
        <w:tc>
          <w:tcPr>
            <w:tcW w:w="3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568"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2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八、社会保障和就业支出</w:t>
            </w:r>
          </w:p>
        </w:tc>
        <w:tc>
          <w:tcPr>
            <w:tcW w:w="43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39</w:t>
            </w:r>
          </w:p>
        </w:tc>
        <w:tc>
          <w:tcPr>
            <w:tcW w:w="50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84" w:hRule="atLeast"/>
          <w:jc w:val="center"/>
        </w:trPr>
        <w:tc>
          <w:tcPr>
            <w:tcW w:w="161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3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w:t>
            </w:r>
          </w:p>
        </w:tc>
        <w:tc>
          <w:tcPr>
            <w:tcW w:w="568"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2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九、卫生健康支出</w:t>
            </w:r>
          </w:p>
        </w:tc>
        <w:tc>
          <w:tcPr>
            <w:tcW w:w="43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40</w:t>
            </w:r>
          </w:p>
        </w:tc>
        <w:tc>
          <w:tcPr>
            <w:tcW w:w="50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84" w:hRule="atLeast"/>
          <w:jc w:val="center"/>
        </w:trPr>
        <w:tc>
          <w:tcPr>
            <w:tcW w:w="161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3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568"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2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十、节能环保支出</w:t>
            </w:r>
          </w:p>
        </w:tc>
        <w:tc>
          <w:tcPr>
            <w:tcW w:w="43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41</w:t>
            </w:r>
          </w:p>
        </w:tc>
        <w:tc>
          <w:tcPr>
            <w:tcW w:w="50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84" w:hRule="atLeast"/>
          <w:jc w:val="center"/>
        </w:trPr>
        <w:tc>
          <w:tcPr>
            <w:tcW w:w="161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3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w:t>
            </w:r>
          </w:p>
        </w:tc>
        <w:tc>
          <w:tcPr>
            <w:tcW w:w="568"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2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十一、城乡社区支出</w:t>
            </w:r>
          </w:p>
        </w:tc>
        <w:tc>
          <w:tcPr>
            <w:tcW w:w="43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42</w:t>
            </w:r>
          </w:p>
        </w:tc>
        <w:tc>
          <w:tcPr>
            <w:tcW w:w="50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84" w:hRule="atLeast"/>
          <w:jc w:val="center"/>
        </w:trPr>
        <w:tc>
          <w:tcPr>
            <w:tcW w:w="161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3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w:t>
            </w:r>
          </w:p>
        </w:tc>
        <w:tc>
          <w:tcPr>
            <w:tcW w:w="568"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2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十二、农林水支出</w:t>
            </w:r>
          </w:p>
        </w:tc>
        <w:tc>
          <w:tcPr>
            <w:tcW w:w="43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43</w:t>
            </w:r>
          </w:p>
        </w:tc>
        <w:tc>
          <w:tcPr>
            <w:tcW w:w="50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84" w:hRule="atLeast"/>
          <w:jc w:val="center"/>
        </w:trPr>
        <w:tc>
          <w:tcPr>
            <w:tcW w:w="161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3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w:t>
            </w:r>
          </w:p>
        </w:tc>
        <w:tc>
          <w:tcPr>
            <w:tcW w:w="568"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2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十三、交通运输支出</w:t>
            </w:r>
          </w:p>
        </w:tc>
        <w:tc>
          <w:tcPr>
            <w:tcW w:w="43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44</w:t>
            </w:r>
          </w:p>
        </w:tc>
        <w:tc>
          <w:tcPr>
            <w:tcW w:w="50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84" w:hRule="atLeast"/>
          <w:jc w:val="center"/>
        </w:trPr>
        <w:tc>
          <w:tcPr>
            <w:tcW w:w="1610" w:type="pct"/>
            <w:tcBorders>
              <w:top w:val="nil"/>
              <w:left w:val="single" w:color="000000" w:sz="4" w:space="0"/>
              <w:bottom w:val="single" w:color="auto"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356" w:type="pct"/>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w:t>
            </w:r>
          </w:p>
        </w:tc>
        <w:tc>
          <w:tcPr>
            <w:tcW w:w="568" w:type="pct"/>
            <w:gridSpan w:val="2"/>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25" w:type="pct"/>
            <w:gridSpan w:val="2"/>
            <w:tcBorders>
              <w:top w:val="nil"/>
              <w:left w:val="nil"/>
              <w:bottom w:val="single" w:color="auto"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十四、资源勘探工业信息等支出</w:t>
            </w:r>
          </w:p>
        </w:tc>
        <w:tc>
          <w:tcPr>
            <w:tcW w:w="438" w:type="pct"/>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45</w:t>
            </w:r>
          </w:p>
        </w:tc>
        <w:tc>
          <w:tcPr>
            <w:tcW w:w="500" w:type="pct"/>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84" w:hRule="atLeast"/>
          <w:jc w:val="center"/>
        </w:trPr>
        <w:tc>
          <w:tcPr>
            <w:tcW w:w="1610"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35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p>
        </w:tc>
        <w:tc>
          <w:tcPr>
            <w:tcW w:w="568"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2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十五、商业服务业等支出</w:t>
            </w:r>
          </w:p>
        </w:tc>
        <w:tc>
          <w:tcPr>
            <w:tcW w:w="43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46</w:t>
            </w:r>
          </w:p>
        </w:tc>
        <w:tc>
          <w:tcPr>
            <w:tcW w:w="50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84" w:hRule="atLeast"/>
          <w:jc w:val="center"/>
        </w:trPr>
        <w:tc>
          <w:tcPr>
            <w:tcW w:w="1610"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35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w:t>
            </w:r>
          </w:p>
        </w:tc>
        <w:tc>
          <w:tcPr>
            <w:tcW w:w="568"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2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十六、金融支出</w:t>
            </w:r>
          </w:p>
        </w:tc>
        <w:tc>
          <w:tcPr>
            <w:tcW w:w="43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47</w:t>
            </w:r>
          </w:p>
        </w:tc>
        <w:tc>
          <w:tcPr>
            <w:tcW w:w="50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84" w:hRule="atLeast"/>
          <w:jc w:val="center"/>
        </w:trPr>
        <w:tc>
          <w:tcPr>
            <w:tcW w:w="1610"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35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w:t>
            </w:r>
          </w:p>
        </w:tc>
        <w:tc>
          <w:tcPr>
            <w:tcW w:w="568"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2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十七、援助其他地区支出</w:t>
            </w:r>
          </w:p>
        </w:tc>
        <w:tc>
          <w:tcPr>
            <w:tcW w:w="43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48</w:t>
            </w:r>
          </w:p>
        </w:tc>
        <w:tc>
          <w:tcPr>
            <w:tcW w:w="50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84" w:hRule="atLeast"/>
          <w:jc w:val="center"/>
        </w:trPr>
        <w:tc>
          <w:tcPr>
            <w:tcW w:w="1610"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35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w:t>
            </w:r>
          </w:p>
        </w:tc>
        <w:tc>
          <w:tcPr>
            <w:tcW w:w="568"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2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十八、自然资源海洋气象等支出</w:t>
            </w:r>
          </w:p>
        </w:tc>
        <w:tc>
          <w:tcPr>
            <w:tcW w:w="43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49</w:t>
            </w:r>
          </w:p>
        </w:tc>
        <w:tc>
          <w:tcPr>
            <w:tcW w:w="50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84" w:hRule="atLeast"/>
          <w:jc w:val="center"/>
        </w:trPr>
        <w:tc>
          <w:tcPr>
            <w:tcW w:w="1610"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35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w:t>
            </w:r>
          </w:p>
        </w:tc>
        <w:tc>
          <w:tcPr>
            <w:tcW w:w="568"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2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十九、住房保障支出</w:t>
            </w:r>
          </w:p>
        </w:tc>
        <w:tc>
          <w:tcPr>
            <w:tcW w:w="43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50</w:t>
            </w:r>
          </w:p>
        </w:tc>
        <w:tc>
          <w:tcPr>
            <w:tcW w:w="50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84" w:hRule="atLeast"/>
          <w:jc w:val="center"/>
        </w:trPr>
        <w:tc>
          <w:tcPr>
            <w:tcW w:w="1610"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35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568"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2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二十、粮油物资储备支出</w:t>
            </w:r>
          </w:p>
        </w:tc>
        <w:tc>
          <w:tcPr>
            <w:tcW w:w="43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51</w:t>
            </w:r>
          </w:p>
        </w:tc>
        <w:tc>
          <w:tcPr>
            <w:tcW w:w="50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84" w:hRule="atLeast"/>
          <w:jc w:val="center"/>
        </w:trPr>
        <w:tc>
          <w:tcPr>
            <w:tcW w:w="1610" w:type="pct"/>
            <w:tcBorders>
              <w:top w:val="single" w:color="auto"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356" w:type="pct"/>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21</w:t>
            </w:r>
          </w:p>
        </w:tc>
        <w:tc>
          <w:tcPr>
            <w:tcW w:w="568" w:type="pct"/>
            <w:gridSpan w:val="2"/>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25" w:type="pct"/>
            <w:gridSpan w:val="2"/>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二十一、国有资本经营预算支出</w:t>
            </w:r>
          </w:p>
        </w:tc>
        <w:tc>
          <w:tcPr>
            <w:tcW w:w="438" w:type="pct"/>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52</w:t>
            </w:r>
          </w:p>
        </w:tc>
        <w:tc>
          <w:tcPr>
            <w:tcW w:w="500" w:type="pct"/>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84" w:hRule="atLeast"/>
          <w:jc w:val="center"/>
        </w:trPr>
        <w:tc>
          <w:tcPr>
            <w:tcW w:w="161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3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22</w:t>
            </w:r>
          </w:p>
        </w:tc>
        <w:tc>
          <w:tcPr>
            <w:tcW w:w="568"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2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二十二、灾害防治及应急管理支出</w:t>
            </w:r>
          </w:p>
        </w:tc>
        <w:tc>
          <w:tcPr>
            <w:tcW w:w="43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53</w:t>
            </w:r>
          </w:p>
        </w:tc>
        <w:tc>
          <w:tcPr>
            <w:tcW w:w="50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84" w:hRule="atLeast"/>
          <w:jc w:val="center"/>
        </w:trPr>
        <w:tc>
          <w:tcPr>
            <w:tcW w:w="161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3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w:t>
            </w:r>
          </w:p>
        </w:tc>
        <w:tc>
          <w:tcPr>
            <w:tcW w:w="568"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2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二十三、其他支出</w:t>
            </w:r>
          </w:p>
        </w:tc>
        <w:tc>
          <w:tcPr>
            <w:tcW w:w="43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54</w:t>
            </w:r>
          </w:p>
        </w:tc>
        <w:tc>
          <w:tcPr>
            <w:tcW w:w="50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84" w:hRule="atLeast"/>
          <w:jc w:val="center"/>
        </w:trPr>
        <w:tc>
          <w:tcPr>
            <w:tcW w:w="161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3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w:t>
            </w:r>
          </w:p>
        </w:tc>
        <w:tc>
          <w:tcPr>
            <w:tcW w:w="568"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2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二十四、债务还本支出</w:t>
            </w:r>
          </w:p>
        </w:tc>
        <w:tc>
          <w:tcPr>
            <w:tcW w:w="43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55</w:t>
            </w:r>
          </w:p>
        </w:tc>
        <w:tc>
          <w:tcPr>
            <w:tcW w:w="50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84" w:hRule="atLeast"/>
          <w:jc w:val="center"/>
        </w:trPr>
        <w:tc>
          <w:tcPr>
            <w:tcW w:w="161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3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p>
        </w:tc>
        <w:tc>
          <w:tcPr>
            <w:tcW w:w="568"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2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二十五、债务付息支出</w:t>
            </w:r>
          </w:p>
        </w:tc>
        <w:tc>
          <w:tcPr>
            <w:tcW w:w="43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56</w:t>
            </w:r>
          </w:p>
        </w:tc>
        <w:tc>
          <w:tcPr>
            <w:tcW w:w="50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84" w:hRule="atLeast"/>
          <w:jc w:val="center"/>
        </w:trPr>
        <w:tc>
          <w:tcPr>
            <w:tcW w:w="161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3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26</w:t>
            </w:r>
          </w:p>
        </w:tc>
        <w:tc>
          <w:tcPr>
            <w:tcW w:w="568"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2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二十六、抗疫特别国债安排的支出</w:t>
            </w:r>
          </w:p>
        </w:tc>
        <w:tc>
          <w:tcPr>
            <w:tcW w:w="43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57</w:t>
            </w:r>
          </w:p>
        </w:tc>
        <w:tc>
          <w:tcPr>
            <w:tcW w:w="50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84" w:hRule="atLeast"/>
          <w:jc w:val="center"/>
        </w:trPr>
        <w:tc>
          <w:tcPr>
            <w:tcW w:w="161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本年收入合计</w:t>
            </w:r>
          </w:p>
        </w:tc>
        <w:tc>
          <w:tcPr>
            <w:tcW w:w="3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27</w:t>
            </w:r>
          </w:p>
        </w:tc>
        <w:tc>
          <w:tcPr>
            <w:tcW w:w="568"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104.71</w:t>
            </w:r>
          </w:p>
        </w:tc>
        <w:tc>
          <w:tcPr>
            <w:tcW w:w="152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本年支出合计</w:t>
            </w:r>
          </w:p>
        </w:tc>
        <w:tc>
          <w:tcPr>
            <w:tcW w:w="43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58</w:t>
            </w:r>
          </w:p>
        </w:tc>
        <w:tc>
          <w:tcPr>
            <w:tcW w:w="50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104.71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84" w:hRule="atLeast"/>
          <w:jc w:val="center"/>
        </w:trPr>
        <w:tc>
          <w:tcPr>
            <w:tcW w:w="161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使用非财政拨款结余（含专用结余）</w:t>
            </w:r>
          </w:p>
        </w:tc>
        <w:tc>
          <w:tcPr>
            <w:tcW w:w="3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28</w:t>
            </w:r>
          </w:p>
        </w:tc>
        <w:tc>
          <w:tcPr>
            <w:tcW w:w="568"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2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结余分配</w:t>
            </w:r>
          </w:p>
        </w:tc>
        <w:tc>
          <w:tcPr>
            <w:tcW w:w="43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59</w:t>
            </w:r>
          </w:p>
        </w:tc>
        <w:tc>
          <w:tcPr>
            <w:tcW w:w="50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84" w:hRule="atLeast"/>
          <w:jc w:val="center"/>
        </w:trPr>
        <w:tc>
          <w:tcPr>
            <w:tcW w:w="161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年初结转和结余</w:t>
            </w:r>
          </w:p>
        </w:tc>
        <w:tc>
          <w:tcPr>
            <w:tcW w:w="3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29</w:t>
            </w:r>
          </w:p>
        </w:tc>
        <w:tc>
          <w:tcPr>
            <w:tcW w:w="568"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2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年末结转和结余</w:t>
            </w:r>
          </w:p>
        </w:tc>
        <w:tc>
          <w:tcPr>
            <w:tcW w:w="43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60</w:t>
            </w:r>
          </w:p>
        </w:tc>
        <w:tc>
          <w:tcPr>
            <w:tcW w:w="50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84" w:hRule="atLeast"/>
          <w:jc w:val="center"/>
        </w:trPr>
        <w:tc>
          <w:tcPr>
            <w:tcW w:w="161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pPr>
          </w:p>
        </w:tc>
        <w:tc>
          <w:tcPr>
            <w:tcW w:w="3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30</w:t>
            </w:r>
          </w:p>
        </w:tc>
        <w:tc>
          <w:tcPr>
            <w:tcW w:w="568"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2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pPr>
          </w:p>
        </w:tc>
        <w:tc>
          <w:tcPr>
            <w:tcW w:w="43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61</w:t>
            </w:r>
          </w:p>
        </w:tc>
        <w:tc>
          <w:tcPr>
            <w:tcW w:w="50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1" w:hRule="atLeast"/>
          <w:jc w:val="center"/>
        </w:trPr>
        <w:tc>
          <w:tcPr>
            <w:tcW w:w="161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3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31</w:t>
            </w:r>
          </w:p>
        </w:tc>
        <w:tc>
          <w:tcPr>
            <w:tcW w:w="568"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104.71</w:t>
            </w:r>
          </w:p>
        </w:tc>
        <w:tc>
          <w:tcPr>
            <w:tcW w:w="152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43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62</w:t>
            </w:r>
          </w:p>
        </w:tc>
        <w:tc>
          <w:tcPr>
            <w:tcW w:w="50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104.71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5000" w:type="pct"/>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注：1.本表反映部门本年度的总收支和年末结转结余情况。</w:t>
            </w:r>
          </w:p>
          <w:p>
            <w:pPr>
              <w:keepNext w:val="0"/>
              <w:keepLines w:val="0"/>
              <w:widowControl/>
              <w:suppressLineNumbers w:val="0"/>
              <w:ind w:firstLine="400" w:firstLineChars="20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2.本套报表金额转换时可能存在尾数误差。</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92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0"/>
        <w:gridCol w:w="1160"/>
        <w:gridCol w:w="1037"/>
        <w:gridCol w:w="1037"/>
        <w:gridCol w:w="1037"/>
        <w:gridCol w:w="964"/>
        <w:gridCol w:w="367"/>
        <w:gridCol w:w="597"/>
        <w:gridCol w:w="1027"/>
        <w:gridCol w:w="9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9230"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230" w:type="dxa"/>
            <w:gridSpan w:val="10"/>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eastAsia" w:ascii="Times New Roman" w:hAnsi="Times New Roman" w:eastAsia="宋体" w:cs="Times New Roman"/>
                <w:i w:val="0"/>
                <w:iCs w:val="0"/>
                <w:color w:val="000000"/>
                <w:sz w:val="20"/>
                <w:szCs w:val="20"/>
                <w:highlight w:val="none"/>
                <w:u w:val="none"/>
                <w:lang w:val="en-US" w:eastAsia="zh-CN"/>
              </w:rPr>
              <w:t>02</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237" w:type="dxa"/>
            <w:gridSpan w:val="3"/>
            <w:tcBorders>
              <w:top w:val="nil"/>
              <w:left w:val="nil"/>
              <w:bottom w:val="single" w:color="auto" w:sz="4" w:space="0"/>
              <w:right w:val="nil"/>
            </w:tcBorders>
            <w:noWrap/>
            <w:vAlign w:val="bottom"/>
          </w:tcPr>
          <w:p>
            <w:pP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部门：宁晋县档案馆(本级)                                                                                                         </w:t>
            </w:r>
          </w:p>
        </w:tc>
        <w:tc>
          <w:tcPr>
            <w:tcW w:w="3405" w:type="dxa"/>
            <w:gridSpan w:val="4"/>
            <w:tcBorders>
              <w:top w:val="nil"/>
              <w:left w:val="nil"/>
              <w:bottom w:val="single" w:color="auto" w:sz="4" w:space="0"/>
              <w:right w:val="nil"/>
            </w:tcBorders>
            <w:noWrap/>
            <w:vAlign w:val="bottom"/>
          </w:tcPr>
          <w:p>
            <w:pPr>
              <w:jc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default" w:ascii="Times New Roman" w:hAnsi="Times New Roman" w:eastAsia="方正仿宋_GB2312" w:cs="Times New Roman"/>
                <w:i w:val="0"/>
                <w:iCs w:val="0"/>
                <w:color w:val="000000"/>
                <w:sz w:val="20"/>
                <w:szCs w:val="20"/>
                <w:highlight w:val="none"/>
                <w:u w:val="none"/>
                <w:lang w:val="en-US" w:eastAsia="zh-CN"/>
              </w:rPr>
              <w:t>202</w:t>
            </w:r>
            <w:r>
              <w:rPr>
                <w:rFonts w:hint="eastAsia" w:ascii="Times New Roman" w:hAnsi="Times New Roman" w:eastAsia="方正仿宋_GB2312" w:cs="Times New Roman"/>
                <w:i w:val="0"/>
                <w:iCs w:val="0"/>
                <w:color w:val="000000"/>
                <w:sz w:val="20"/>
                <w:szCs w:val="20"/>
                <w:highlight w:val="none"/>
                <w:u w:val="none"/>
                <w:lang w:val="en-US" w:eastAsia="zh-CN"/>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2588" w:type="dxa"/>
            <w:gridSpan w:val="3"/>
            <w:tcBorders>
              <w:top w:val="nil"/>
              <w:left w:val="nil"/>
              <w:bottom w:val="single" w:color="auto" w:sz="4" w:space="0"/>
              <w:right w:val="nil"/>
            </w:tcBorders>
            <w:noWrap/>
            <w:vAlign w:val="bottom"/>
          </w:tcPr>
          <w:p>
            <w:pPr>
              <w:jc w:val="right"/>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200" w:type="dxa"/>
            <w:gridSpan w:val="2"/>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1037"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本年收入合计</w:t>
            </w:r>
          </w:p>
        </w:tc>
        <w:tc>
          <w:tcPr>
            <w:tcW w:w="1037"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财政拨款收入</w:t>
            </w:r>
          </w:p>
        </w:tc>
        <w:tc>
          <w:tcPr>
            <w:tcW w:w="1037"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上级补助收入</w:t>
            </w:r>
          </w:p>
        </w:tc>
        <w:tc>
          <w:tcPr>
            <w:tcW w:w="964" w:type="dxa"/>
            <w:vMerge w:val="restart"/>
            <w:tcBorders>
              <w:top w:val="single" w:color="auto" w:sz="4" w:space="0"/>
              <w:left w:val="nil"/>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事业收入</w:t>
            </w:r>
          </w:p>
        </w:tc>
        <w:tc>
          <w:tcPr>
            <w:tcW w:w="964" w:type="dxa"/>
            <w:gridSpan w:val="2"/>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经营收入</w:t>
            </w:r>
          </w:p>
        </w:tc>
        <w:tc>
          <w:tcPr>
            <w:tcW w:w="1027"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附属单位上缴收入</w:t>
            </w:r>
          </w:p>
        </w:tc>
        <w:tc>
          <w:tcPr>
            <w:tcW w:w="964"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160"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60" w:type="dxa"/>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60" w:type="dxa"/>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10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9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4</w:t>
            </w:r>
          </w:p>
        </w:tc>
        <w:tc>
          <w:tcPr>
            <w:tcW w:w="964"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2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9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104.71</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104.71</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一般公共服务支出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46.87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46.87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20126</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档案事务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46.87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46.87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2012601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行政运行</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46.87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46.87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社会保障和就业支出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50.70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50.70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行政事业单位养老支出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25.92</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25.92</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行政单位离退休</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20.21</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20.21</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2080505</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机关事业单位基本养老保险缴费支出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5.70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5.70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20808</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抚恤</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24.78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24.78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2080801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死亡抚恤</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24.78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24.78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卫生健康支出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2.59</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2.59</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21011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行政事业单位医疗</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2.59</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2.59</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2101101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行政单位医疗</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2.59</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2.59</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住房保障支出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4.56</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4.56</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22102</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住房改革支出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4.56</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4.56</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2210201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住房公积金</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4.56</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4.56</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230"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注：本表反映部门本年度取得的各项收入情况。</w:t>
            </w:r>
          </w:p>
        </w:tc>
      </w:tr>
    </w:tbl>
    <w:p>
      <w:pPr>
        <w:rPr>
          <w:rFonts w:hint="eastAsia" w:ascii="黑体" w:hAnsi="黑体" w:eastAsia="黑体" w:cs="宋体"/>
          <w:bCs/>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581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0"/>
        <w:gridCol w:w="1187"/>
        <w:gridCol w:w="1128"/>
        <w:gridCol w:w="126"/>
        <w:gridCol w:w="1000"/>
        <w:gridCol w:w="1126"/>
        <w:gridCol w:w="497"/>
        <w:gridCol w:w="629"/>
        <w:gridCol w:w="1126"/>
        <w:gridCol w:w="14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5000" w:type="pct"/>
            <w:gridSpan w:val="10"/>
            <w:tcBorders>
              <w:top w:val="nil"/>
              <w:left w:val="nil"/>
              <w:bottom w:val="nil"/>
              <w:right w:val="nil"/>
            </w:tcBorders>
            <w:noWrap/>
            <w:vAlign w:val="bottom"/>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br w:type="page"/>
            </w:r>
            <w:r>
              <w:rPr>
                <w:rFonts w:hint="eastAsia" w:ascii="方正仿宋_GB2312" w:hAnsi="方正仿宋_GB2312" w:eastAsia="方正仿宋_GB2312" w:cs="方正仿宋_GB2312"/>
                <w:b w:val="0"/>
                <w:bCs/>
                <w:color w:val="auto"/>
                <w:kern w:val="0"/>
                <w:sz w:val="32"/>
                <w:szCs w:val="32"/>
                <w:highlight w:val="none"/>
                <w:lang w:val="en-US" w:eastAsia="zh-CN"/>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000" w:type="pct"/>
            <w:gridSpan w:val="10"/>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宋体" w:cs="Times New Roman"/>
                <w:i w:val="0"/>
                <w:iCs w:val="0"/>
                <w:color w:val="000000"/>
                <w:kern w:val="0"/>
                <w:sz w:val="20"/>
                <w:szCs w:val="20"/>
                <w:highlight w:val="none"/>
                <w:u w:val="none"/>
                <w:lang w:val="en-US" w:eastAsia="zh-CN" w:bidi="ar"/>
              </w:rPr>
              <w:t>03</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862" w:type="pct"/>
            <w:gridSpan w:val="4"/>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部门：宁晋县档案馆(本级)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c>
          <w:tcPr>
            <w:tcW w:w="1403" w:type="pct"/>
            <w:gridSpan w:val="3"/>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eastAsiaTheme="minorEastAsia"/>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734" w:type="pct"/>
            <w:gridSpan w:val="3"/>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91" w:type="pct"/>
            <w:gridSpan w:val="2"/>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603"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本年支出合计</w:t>
            </w:r>
          </w:p>
        </w:tc>
        <w:tc>
          <w:tcPr>
            <w:tcW w:w="602" w:type="pct"/>
            <w:gridSpan w:val="2"/>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602"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c>
          <w:tcPr>
            <w:tcW w:w="602" w:type="pct"/>
            <w:gridSpan w:val="2"/>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上缴上级支出</w:t>
            </w:r>
          </w:p>
        </w:tc>
        <w:tc>
          <w:tcPr>
            <w:tcW w:w="602"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经营支出</w:t>
            </w:r>
          </w:p>
        </w:tc>
        <w:tc>
          <w:tcPr>
            <w:tcW w:w="795"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635"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60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35"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60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35"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60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60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602" w:type="pct"/>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60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602" w:type="pct"/>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60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795"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91"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104.71</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80.49</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24.23</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一般公共服务支出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46.87</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46.87</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20126</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档案事务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46.87</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46.87</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2012601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行政运行</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46.87</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46.87</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社会保障和就业支出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50.70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26.76</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23.94</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行政事业单位养老支出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25.92</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25.92</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行政单位离退休</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20.21</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20.21</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2080505</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机关事业单位基本养老保险缴费支出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5.70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5.70</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20808</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抚恤</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24.78</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0.84</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23.94</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2080801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死亡抚恤</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24.78</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0.84</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23.94</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卫生健康支出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2.59</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2.30</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0.29</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行政事业单位医疗</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2.59</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2.30</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0.29</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行政单位医疗</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2.59</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2.30</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0.29</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住房保障支出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4.56</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4.56</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住房改革支出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4.56</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4.56</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住房公积金</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4.56</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4.56</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000" w:type="pct"/>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注：本表反映部门本年度各项支出情况。</w:t>
            </w:r>
          </w:p>
        </w:tc>
      </w:tr>
    </w:tbl>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664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8"/>
        <w:gridCol w:w="568"/>
        <w:gridCol w:w="1303"/>
        <w:gridCol w:w="1514"/>
        <w:gridCol w:w="398"/>
        <w:gridCol w:w="568"/>
        <w:gridCol w:w="420"/>
        <w:gridCol w:w="760"/>
        <w:gridCol w:w="1110"/>
        <w:gridCol w:w="1110"/>
        <w:gridCol w:w="1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jc w:val="center"/>
        </w:trPr>
        <w:tc>
          <w:tcPr>
            <w:tcW w:w="5000" w:type="pct"/>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5000" w:type="pct"/>
            <w:gridSpan w:val="11"/>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2431" w:type="pct"/>
            <w:gridSpan w:val="4"/>
            <w:tcBorders>
              <w:top w:val="nil"/>
              <w:left w:val="nil"/>
              <w:bottom w:val="single" w:color="auto" w:sz="4" w:space="0"/>
              <w:right w:val="nil"/>
            </w:tcBorders>
            <w:noWrap/>
            <w:vAlign w:val="bottom"/>
          </w:tcPr>
          <w:p>
            <w:pPr>
              <w:rPr>
                <w:rFonts w:hint="eastAsia" w:ascii="仿宋" w:hAnsi="仿宋" w:eastAsia="仿宋" w:cs="仿宋"/>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部门：宁晋县档案馆(本级)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c>
          <w:tcPr>
            <w:tcW w:w="648" w:type="pct"/>
            <w:gridSpan w:val="3"/>
            <w:tcBorders>
              <w:top w:val="nil"/>
              <w:left w:val="nil"/>
              <w:bottom w:val="single" w:color="auto" w:sz="4" w:space="0"/>
              <w:right w:val="nil"/>
            </w:tcBorders>
            <w:noWrap/>
            <w:vAlign w:val="bottom"/>
          </w:tcPr>
          <w:p>
            <w:pPr>
              <w:jc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919" w:type="pct"/>
            <w:gridSpan w:val="4"/>
            <w:tcBorders>
              <w:top w:val="nil"/>
              <w:left w:val="nil"/>
              <w:bottom w:val="single" w:color="auto" w:sz="4" w:space="0"/>
              <w:right w:val="nil"/>
            </w:tcBorders>
            <w:noWrap/>
            <w:vAlign w:val="bottom"/>
          </w:tcPr>
          <w:p>
            <w:pPr>
              <w:jc w:val="right"/>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1722" w:type="pct"/>
            <w:gridSpan w:val="3"/>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收入</w:t>
            </w:r>
          </w:p>
        </w:tc>
        <w:tc>
          <w:tcPr>
            <w:tcW w:w="3277" w:type="pct"/>
            <w:gridSpan w:val="8"/>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846"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    目</w:t>
            </w:r>
          </w:p>
        </w:tc>
        <w:tc>
          <w:tcPr>
            <w:tcW w:w="265"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610"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金额</w:t>
            </w:r>
          </w:p>
        </w:tc>
        <w:tc>
          <w:tcPr>
            <w:tcW w:w="895" w:type="pct"/>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5"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552" w:type="pct"/>
            <w:gridSpan w:val="2"/>
            <w:vMerge w:val="restart"/>
            <w:tcBorders>
              <w:top w:val="nil"/>
              <w:left w:val="nil"/>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合计</w:t>
            </w:r>
          </w:p>
        </w:tc>
        <w:tc>
          <w:tcPr>
            <w:tcW w:w="519" w:type="pct"/>
            <w:vMerge w:val="restart"/>
            <w:tcBorders>
              <w:top w:val="nil"/>
              <w:left w:val="nil"/>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一般公共预算财政拨款</w:t>
            </w:r>
          </w:p>
        </w:tc>
        <w:tc>
          <w:tcPr>
            <w:tcW w:w="519" w:type="pct"/>
            <w:vMerge w:val="restart"/>
            <w:tcBorders>
              <w:top w:val="nil"/>
              <w:left w:val="nil"/>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政府性基金预算财政拨款</w:t>
            </w:r>
          </w:p>
        </w:tc>
        <w:tc>
          <w:tcPr>
            <w:tcW w:w="524" w:type="pct"/>
            <w:vMerge w:val="restart"/>
            <w:tcBorders>
              <w:top w:val="nil"/>
              <w:left w:val="nil"/>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84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65"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10"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895"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65"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52" w:type="pct"/>
            <w:gridSpan w:val="2"/>
            <w:vMerge w:val="continue"/>
            <w:tcBorders>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19" w:type="pct"/>
            <w:vMerge w:val="continue"/>
            <w:tcBorders>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19" w:type="pct"/>
            <w:vMerge w:val="continue"/>
            <w:tcBorders>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4" w:type="pct"/>
            <w:vMerge w:val="continue"/>
            <w:tcBorders>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84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    次</w:t>
            </w:r>
          </w:p>
        </w:tc>
        <w:tc>
          <w:tcPr>
            <w:tcW w:w="265"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61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    次</w:t>
            </w:r>
          </w:p>
        </w:tc>
        <w:tc>
          <w:tcPr>
            <w:tcW w:w="265"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552"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1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1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24" w:type="pct"/>
            <w:tcBorders>
              <w:top w:val="nil"/>
              <w:left w:val="nil"/>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84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w:t>
            </w:r>
          </w:p>
        </w:tc>
        <w:tc>
          <w:tcPr>
            <w:tcW w:w="2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61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104.71</w:t>
            </w: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一、一般公共服务支出</w:t>
            </w:r>
          </w:p>
        </w:tc>
        <w:tc>
          <w:tcPr>
            <w:tcW w:w="2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33</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46.87</w:t>
            </w:r>
          </w:p>
        </w:tc>
        <w:tc>
          <w:tcPr>
            <w:tcW w:w="51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46.87</w:t>
            </w:r>
          </w:p>
        </w:tc>
        <w:tc>
          <w:tcPr>
            <w:tcW w:w="51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4"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84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w:t>
            </w:r>
          </w:p>
        </w:tc>
        <w:tc>
          <w:tcPr>
            <w:tcW w:w="2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61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二、外交支出</w:t>
            </w:r>
          </w:p>
        </w:tc>
        <w:tc>
          <w:tcPr>
            <w:tcW w:w="2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34</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4"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84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w:t>
            </w:r>
          </w:p>
        </w:tc>
        <w:tc>
          <w:tcPr>
            <w:tcW w:w="2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61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三、国防支出</w:t>
            </w:r>
          </w:p>
        </w:tc>
        <w:tc>
          <w:tcPr>
            <w:tcW w:w="2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35</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4"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84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61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四、公共安全支出</w:t>
            </w:r>
          </w:p>
        </w:tc>
        <w:tc>
          <w:tcPr>
            <w:tcW w:w="2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36</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4"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84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61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五、教育支出</w:t>
            </w:r>
          </w:p>
        </w:tc>
        <w:tc>
          <w:tcPr>
            <w:tcW w:w="2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37</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4"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84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61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六、科学技术支出</w:t>
            </w:r>
          </w:p>
        </w:tc>
        <w:tc>
          <w:tcPr>
            <w:tcW w:w="2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38</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4"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84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p>
        </w:tc>
        <w:tc>
          <w:tcPr>
            <w:tcW w:w="61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七、文化旅游体育与传媒支出</w:t>
            </w:r>
          </w:p>
        </w:tc>
        <w:tc>
          <w:tcPr>
            <w:tcW w:w="2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39</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4"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84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61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八、社会保障和就业支出</w:t>
            </w:r>
          </w:p>
        </w:tc>
        <w:tc>
          <w:tcPr>
            <w:tcW w:w="2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40</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50.70</w:t>
            </w:r>
          </w:p>
        </w:tc>
        <w:tc>
          <w:tcPr>
            <w:tcW w:w="51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50.70</w:t>
            </w:r>
          </w:p>
        </w:tc>
        <w:tc>
          <w:tcPr>
            <w:tcW w:w="51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4"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84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w:t>
            </w:r>
          </w:p>
        </w:tc>
        <w:tc>
          <w:tcPr>
            <w:tcW w:w="61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九、卫生健康支出</w:t>
            </w:r>
          </w:p>
        </w:tc>
        <w:tc>
          <w:tcPr>
            <w:tcW w:w="2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41</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2.59</w:t>
            </w:r>
          </w:p>
        </w:tc>
        <w:tc>
          <w:tcPr>
            <w:tcW w:w="51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2.59</w:t>
            </w:r>
          </w:p>
        </w:tc>
        <w:tc>
          <w:tcPr>
            <w:tcW w:w="51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4"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84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61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十、节能环保支出</w:t>
            </w:r>
          </w:p>
        </w:tc>
        <w:tc>
          <w:tcPr>
            <w:tcW w:w="2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42</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4"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84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w:t>
            </w:r>
          </w:p>
        </w:tc>
        <w:tc>
          <w:tcPr>
            <w:tcW w:w="61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十一、城乡社区支出</w:t>
            </w:r>
          </w:p>
        </w:tc>
        <w:tc>
          <w:tcPr>
            <w:tcW w:w="2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43</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4"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846" w:type="pct"/>
            <w:tcBorders>
              <w:top w:val="nil"/>
              <w:left w:val="single" w:color="000000" w:sz="4" w:space="0"/>
              <w:bottom w:val="single" w:color="auto"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5" w:type="pct"/>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w:t>
            </w:r>
          </w:p>
        </w:tc>
        <w:tc>
          <w:tcPr>
            <w:tcW w:w="610" w:type="pct"/>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auto"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十二、农林水支出</w:t>
            </w:r>
          </w:p>
        </w:tc>
        <w:tc>
          <w:tcPr>
            <w:tcW w:w="265" w:type="pct"/>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44</w:t>
            </w:r>
          </w:p>
        </w:tc>
        <w:tc>
          <w:tcPr>
            <w:tcW w:w="552" w:type="pct"/>
            <w:gridSpan w:val="2"/>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4" w:type="pct"/>
            <w:tcBorders>
              <w:top w:val="nil"/>
              <w:left w:val="nil"/>
              <w:bottom w:val="single" w:color="auto"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84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w:t>
            </w:r>
          </w:p>
        </w:tc>
        <w:tc>
          <w:tcPr>
            <w:tcW w:w="61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十三、交通运输支出</w:t>
            </w:r>
          </w:p>
        </w:tc>
        <w:tc>
          <w:tcPr>
            <w:tcW w:w="26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45</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4"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84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w:t>
            </w:r>
          </w:p>
        </w:tc>
        <w:tc>
          <w:tcPr>
            <w:tcW w:w="61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十四、资源勘探工业信息等支出</w:t>
            </w:r>
          </w:p>
        </w:tc>
        <w:tc>
          <w:tcPr>
            <w:tcW w:w="26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46</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4"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84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p>
        </w:tc>
        <w:tc>
          <w:tcPr>
            <w:tcW w:w="61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十五、商业服务业等支出</w:t>
            </w:r>
          </w:p>
        </w:tc>
        <w:tc>
          <w:tcPr>
            <w:tcW w:w="26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47</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4"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84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w:t>
            </w:r>
          </w:p>
        </w:tc>
        <w:tc>
          <w:tcPr>
            <w:tcW w:w="61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十六、金融支出</w:t>
            </w:r>
          </w:p>
        </w:tc>
        <w:tc>
          <w:tcPr>
            <w:tcW w:w="26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48</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4"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84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w:t>
            </w:r>
          </w:p>
        </w:tc>
        <w:tc>
          <w:tcPr>
            <w:tcW w:w="61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十七、援助其他地区支出</w:t>
            </w:r>
          </w:p>
        </w:tc>
        <w:tc>
          <w:tcPr>
            <w:tcW w:w="26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49</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4"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84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w:t>
            </w:r>
          </w:p>
        </w:tc>
        <w:tc>
          <w:tcPr>
            <w:tcW w:w="61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十八、自然资源海洋气象等支出</w:t>
            </w:r>
          </w:p>
        </w:tc>
        <w:tc>
          <w:tcPr>
            <w:tcW w:w="26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50</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4"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84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w:t>
            </w:r>
          </w:p>
        </w:tc>
        <w:tc>
          <w:tcPr>
            <w:tcW w:w="61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十九、住房保障支出</w:t>
            </w:r>
          </w:p>
        </w:tc>
        <w:tc>
          <w:tcPr>
            <w:tcW w:w="26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51</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4.56</w:t>
            </w:r>
          </w:p>
        </w:tc>
        <w:tc>
          <w:tcPr>
            <w:tcW w:w="51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4.56</w:t>
            </w:r>
          </w:p>
        </w:tc>
        <w:tc>
          <w:tcPr>
            <w:tcW w:w="51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4"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84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61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二十、粮油物资储备支出</w:t>
            </w:r>
          </w:p>
        </w:tc>
        <w:tc>
          <w:tcPr>
            <w:tcW w:w="26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52</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4"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84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21</w:t>
            </w:r>
          </w:p>
        </w:tc>
        <w:tc>
          <w:tcPr>
            <w:tcW w:w="61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二十一、国有资本经营预算支出</w:t>
            </w:r>
          </w:p>
        </w:tc>
        <w:tc>
          <w:tcPr>
            <w:tcW w:w="26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53</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4"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84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22</w:t>
            </w:r>
          </w:p>
        </w:tc>
        <w:tc>
          <w:tcPr>
            <w:tcW w:w="61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二十二、灾害防治及应急管理支出</w:t>
            </w:r>
          </w:p>
        </w:tc>
        <w:tc>
          <w:tcPr>
            <w:tcW w:w="26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54</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4"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84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w:t>
            </w:r>
          </w:p>
        </w:tc>
        <w:tc>
          <w:tcPr>
            <w:tcW w:w="61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二十三、其他支出</w:t>
            </w:r>
          </w:p>
        </w:tc>
        <w:tc>
          <w:tcPr>
            <w:tcW w:w="26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55</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4"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846" w:type="pct"/>
            <w:tcBorders>
              <w:top w:val="single" w:color="auto"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5" w:type="pct"/>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w:t>
            </w:r>
          </w:p>
        </w:tc>
        <w:tc>
          <w:tcPr>
            <w:tcW w:w="610" w:type="pct"/>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二十四、债务还本支出</w:t>
            </w:r>
          </w:p>
        </w:tc>
        <w:tc>
          <w:tcPr>
            <w:tcW w:w="265" w:type="pct"/>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56</w:t>
            </w:r>
          </w:p>
        </w:tc>
        <w:tc>
          <w:tcPr>
            <w:tcW w:w="552" w:type="pct"/>
            <w:gridSpan w:val="2"/>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4" w:type="pct"/>
            <w:tcBorders>
              <w:top w:val="single" w:color="auto" w:sz="4" w:space="0"/>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846" w:type="pct"/>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highlight w:val="none"/>
                <w:u w:val="none"/>
              </w:rPr>
            </w:pPr>
          </w:p>
        </w:tc>
        <w:tc>
          <w:tcPr>
            <w:tcW w:w="2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p>
        </w:tc>
        <w:tc>
          <w:tcPr>
            <w:tcW w:w="61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二十五、债务付息支出</w:t>
            </w:r>
          </w:p>
        </w:tc>
        <w:tc>
          <w:tcPr>
            <w:tcW w:w="2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57</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4"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846" w:type="pct"/>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2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26</w:t>
            </w:r>
          </w:p>
        </w:tc>
        <w:tc>
          <w:tcPr>
            <w:tcW w:w="61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二十六、抗疫特别国债安排的支出</w:t>
            </w:r>
          </w:p>
        </w:tc>
        <w:tc>
          <w:tcPr>
            <w:tcW w:w="2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58</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4"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84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本年收入合计</w:t>
            </w:r>
          </w:p>
        </w:tc>
        <w:tc>
          <w:tcPr>
            <w:tcW w:w="2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27</w:t>
            </w:r>
          </w:p>
        </w:tc>
        <w:tc>
          <w:tcPr>
            <w:tcW w:w="61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104.71</w:t>
            </w: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本年支出合计</w:t>
            </w:r>
          </w:p>
        </w:tc>
        <w:tc>
          <w:tcPr>
            <w:tcW w:w="2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59</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104.71</w:t>
            </w:r>
          </w:p>
        </w:tc>
        <w:tc>
          <w:tcPr>
            <w:tcW w:w="51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104.71</w:t>
            </w:r>
          </w:p>
        </w:tc>
        <w:tc>
          <w:tcPr>
            <w:tcW w:w="51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4"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84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年初财政拨款结转和结余</w:t>
            </w:r>
          </w:p>
        </w:tc>
        <w:tc>
          <w:tcPr>
            <w:tcW w:w="2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28</w:t>
            </w:r>
          </w:p>
        </w:tc>
        <w:tc>
          <w:tcPr>
            <w:tcW w:w="61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年末财政拨款结转和结余</w:t>
            </w:r>
          </w:p>
        </w:tc>
        <w:tc>
          <w:tcPr>
            <w:tcW w:w="2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60</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nil"/>
              <w:left w:val="nil"/>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20"/>
                <w:szCs w:val="20"/>
                <w:highlight w:val="none"/>
                <w:u w:val="none"/>
              </w:rPr>
            </w:pPr>
          </w:p>
        </w:tc>
        <w:tc>
          <w:tcPr>
            <w:tcW w:w="51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4" w:type="pct"/>
            <w:tcBorders>
              <w:top w:val="nil"/>
              <w:left w:val="nil"/>
              <w:bottom w:val="single" w:color="000000" w:sz="4" w:space="0"/>
              <w:right w:val="single" w:color="000000" w:sz="8" w:space="0"/>
            </w:tcBorders>
            <w:noWrap/>
            <w:vAlign w:val="center"/>
          </w:tcPr>
          <w:p>
            <w:pPr>
              <w:jc w:val="both"/>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84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w:t>
            </w:r>
          </w:p>
        </w:tc>
        <w:tc>
          <w:tcPr>
            <w:tcW w:w="2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29</w:t>
            </w:r>
          </w:p>
        </w:tc>
        <w:tc>
          <w:tcPr>
            <w:tcW w:w="61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61</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4" w:type="pct"/>
            <w:tcBorders>
              <w:top w:val="nil"/>
              <w:left w:val="nil"/>
              <w:bottom w:val="single" w:color="000000" w:sz="4" w:space="0"/>
              <w:right w:val="single" w:color="000000" w:sz="8" w:space="0"/>
            </w:tcBorders>
            <w:noWrap/>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84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w:t>
            </w:r>
          </w:p>
        </w:tc>
        <w:tc>
          <w:tcPr>
            <w:tcW w:w="2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30</w:t>
            </w:r>
          </w:p>
        </w:tc>
        <w:tc>
          <w:tcPr>
            <w:tcW w:w="61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62</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4" w:type="pct"/>
            <w:tcBorders>
              <w:top w:val="nil"/>
              <w:left w:val="nil"/>
              <w:bottom w:val="single" w:color="000000" w:sz="4" w:space="0"/>
              <w:right w:val="single" w:color="000000" w:sz="8" w:space="0"/>
            </w:tcBorders>
            <w:noWrap/>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84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w:t>
            </w:r>
          </w:p>
        </w:tc>
        <w:tc>
          <w:tcPr>
            <w:tcW w:w="2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31</w:t>
            </w:r>
          </w:p>
        </w:tc>
        <w:tc>
          <w:tcPr>
            <w:tcW w:w="61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63</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4" w:type="pct"/>
            <w:tcBorders>
              <w:top w:val="nil"/>
              <w:left w:val="nil"/>
              <w:bottom w:val="single" w:color="000000" w:sz="4" w:space="0"/>
              <w:right w:val="single" w:color="000000" w:sz="8" w:space="0"/>
            </w:tcBorders>
            <w:noWrap/>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jc w:val="center"/>
        </w:trPr>
        <w:tc>
          <w:tcPr>
            <w:tcW w:w="846" w:type="pct"/>
            <w:tcBorders>
              <w:top w:val="nil"/>
              <w:left w:val="single" w:color="000000" w:sz="4"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5" w:type="pct"/>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32</w:t>
            </w:r>
          </w:p>
        </w:tc>
        <w:tc>
          <w:tcPr>
            <w:tcW w:w="610" w:type="pct"/>
            <w:tcBorders>
              <w:top w:val="nil"/>
              <w:left w:val="nil"/>
              <w:bottom w:val="single" w:color="000000" w:sz="8"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104.71</w:t>
            </w:r>
          </w:p>
        </w:tc>
        <w:tc>
          <w:tcPr>
            <w:tcW w:w="895" w:type="pct"/>
            <w:gridSpan w:val="2"/>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5" w:type="pct"/>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64</w:t>
            </w:r>
          </w:p>
        </w:tc>
        <w:tc>
          <w:tcPr>
            <w:tcW w:w="552" w:type="pct"/>
            <w:gridSpan w:val="2"/>
            <w:tcBorders>
              <w:top w:val="nil"/>
              <w:left w:val="nil"/>
              <w:bottom w:val="single" w:color="000000" w:sz="8"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104.71</w:t>
            </w:r>
          </w:p>
        </w:tc>
        <w:tc>
          <w:tcPr>
            <w:tcW w:w="519" w:type="pct"/>
            <w:tcBorders>
              <w:top w:val="nil"/>
              <w:left w:val="nil"/>
              <w:bottom w:val="single" w:color="000000" w:sz="8" w:space="0"/>
              <w:right w:val="single" w:color="000000" w:sz="4" w:space="0"/>
            </w:tcBorders>
            <w:noWrap/>
            <w:vAlign w:val="center"/>
          </w:tcPr>
          <w:p>
            <w:pPr>
              <w:jc w:val="right"/>
              <w:rPr>
                <w:rFonts w:hint="default" w:ascii="Times New Roman" w:hAnsi="Times New Roman" w:cs="Times New Roman"/>
                <w:sz w:val="20"/>
                <w:szCs w:val="20"/>
                <w:highlight w:val="none"/>
              </w:rPr>
            </w:pPr>
          </w:p>
          <w:p>
            <w:pPr>
              <w:jc w:val="right"/>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104.71</w:t>
            </w:r>
          </w:p>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nil"/>
              <w:left w:val="nil"/>
              <w:bottom w:val="single" w:color="000000" w:sz="8"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4" w:type="pct"/>
            <w:tcBorders>
              <w:top w:val="nil"/>
              <w:left w:val="nil"/>
              <w:bottom w:val="single" w:color="000000" w:sz="8"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5000" w:type="pct"/>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注：本表反映部门本年度一般公共预算财政拨款、政府性基金预算财政拨款和国有资本经营预算财政拨款的总收支和年末结转结余情况。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5348" w:type="pct"/>
        <w:tblInd w:w="-6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9"/>
        <w:gridCol w:w="3416"/>
        <w:gridCol w:w="408"/>
        <w:gridCol w:w="832"/>
        <w:gridCol w:w="1002"/>
        <w:gridCol w:w="378"/>
        <w:gridCol w:w="16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5000" w:type="pct"/>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000" w:type="pct"/>
            <w:gridSpan w:val="7"/>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方正仿宋_GB2312" w:cs="Times New Roman"/>
                <w:i w:val="0"/>
                <w:iCs w:val="0"/>
                <w:color w:val="000000"/>
                <w:kern w:val="0"/>
                <w:sz w:val="20"/>
                <w:szCs w:val="20"/>
                <w:highlight w:val="none"/>
                <w:u w:val="none"/>
                <w:lang w:val="en-US" w:eastAsia="zh-CN" w:bidi="ar"/>
              </w:rPr>
              <w:t>05</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868" w:type="pct"/>
            <w:gridSpan w:val="3"/>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编制部门：宁晋县档案馆(本级)</w:t>
            </w:r>
          </w:p>
        </w:tc>
        <w:tc>
          <w:tcPr>
            <w:tcW w:w="1541" w:type="pct"/>
            <w:gridSpan w:val="2"/>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590" w:type="pct"/>
            <w:gridSpan w:val="2"/>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3538"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04"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科目代码</w:t>
            </w:r>
          </w:p>
        </w:tc>
        <w:tc>
          <w:tcPr>
            <w:tcW w:w="756"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1160"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小计</w:t>
            </w:r>
          </w:p>
        </w:tc>
        <w:tc>
          <w:tcPr>
            <w:tcW w:w="1160"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1218"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704"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56"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218"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04"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56"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218"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w:t>
            </w:r>
          </w:p>
        </w:tc>
        <w:tc>
          <w:tcPr>
            <w:tcW w:w="121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104.71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80.49</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24.23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一般公共服务支出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46.87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46.87</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20126</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档案事务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46.87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46.87</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2012601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行政运行</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46.87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46.87</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社会保障和就业支出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50.70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26.76</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行政事业单位养老支出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25.92</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25.92</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行政单位离退休</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20.21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20.21</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2080505</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机关事业单位基本养老保险缴费支出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5.70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5.70</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20808</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抚恤</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24.78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0.84</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2080801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死亡抚恤</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24.78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0.84</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卫生健康支出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2.59</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2.30</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行政事业单位医疗</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2.59</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2.30</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行政单位医疗</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2.59</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2.30</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住房保障支出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4.56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4.56</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住房改革支出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4.56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4.56</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住房公积金</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4.56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4.56</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5000" w:type="pct"/>
            <w:gridSpan w:val="7"/>
            <w:tcBorders>
              <w:top w:val="single" w:color="auto" w:sz="4" w:space="0"/>
              <w:left w:val="nil"/>
              <w:bottom w:val="nil"/>
              <w:right w:val="nil"/>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注：本表反映部门本年度一般公共预算财政拨款支出情况。</w:t>
            </w:r>
          </w:p>
        </w:tc>
      </w:tr>
    </w:tbl>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644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9"/>
        <w:gridCol w:w="1657"/>
        <w:gridCol w:w="933"/>
        <w:gridCol w:w="879"/>
        <w:gridCol w:w="403"/>
        <w:gridCol w:w="1254"/>
        <w:gridCol w:w="538"/>
        <w:gridCol w:w="341"/>
        <w:gridCol w:w="879"/>
        <w:gridCol w:w="1657"/>
        <w:gridCol w:w="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jc w:val="center"/>
        </w:trPr>
        <w:tc>
          <w:tcPr>
            <w:tcW w:w="5000" w:type="pct"/>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5000" w:type="pct"/>
            <w:gridSpan w:val="11"/>
            <w:tcBorders>
              <w:top w:val="nil"/>
              <w:left w:val="nil"/>
              <w:bottom w:val="nil"/>
              <w:right w:val="nil"/>
            </w:tcBorders>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公开</w:t>
            </w:r>
            <w:r>
              <w:rPr>
                <w:rFonts w:hint="default" w:ascii="Times New Roman" w:hAnsi="Times New Roman" w:eastAsia="方正仿宋_GB2312" w:cs="Times New Roman"/>
                <w:i w:val="0"/>
                <w:iCs w:val="0"/>
                <w:color w:val="000000"/>
                <w:kern w:val="0"/>
                <w:sz w:val="18"/>
                <w:szCs w:val="18"/>
                <w:highlight w:val="none"/>
                <w:u w:val="none"/>
                <w:lang w:val="en-US" w:eastAsia="zh-CN" w:bidi="ar"/>
              </w:rPr>
              <w:t>06</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2292" w:type="pct"/>
            <w:gridSpan w:val="5"/>
            <w:tcBorders>
              <w:top w:val="nil"/>
              <w:left w:val="nil"/>
              <w:bottom w:val="single" w:color="auto" w:sz="4" w:space="0"/>
              <w:right w:val="nil"/>
            </w:tcBorders>
            <w:noWrap/>
            <w:vAlign w:val="bottom"/>
          </w:tcPr>
          <w:p>
            <w:pP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部门：宁晋县档案馆(本级) </w:t>
            </w:r>
            <w:r>
              <w:rPr>
                <w:rFonts w:hint="eastAsia" w:asciiTheme="minorEastAsia" w:hAnsiTheme="minorEastAsia" w:cstheme="minorEastAsia"/>
                <w:i w:val="0"/>
                <w:iCs w:val="0"/>
                <w:color w:val="000000"/>
                <w:kern w:val="0"/>
                <w:sz w:val="18"/>
                <w:szCs w:val="18"/>
                <w:highlight w:val="none"/>
                <w:u w:val="none"/>
                <w:lang w:val="en-US" w:eastAsia="zh-CN" w:bidi="ar"/>
              </w:rPr>
              <w:t xml:space="preserve">                                                                   </w:t>
            </w:r>
          </w:p>
        </w:tc>
        <w:tc>
          <w:tcPr>
            <w:tcW w:w="864" w:type="pct"/>
            <w:gridSpan w:val="2"/>
            <w:tcBorders>
              <w:top w:val="nil"/>
              <w:left w:val="nil"/>
              <w:bottom w:val="single" w:color="auto" w:sz="4" w:space="0"/>
              <w:right w:val="nil"/>
            </w:tcBorders>
            <w:noWrap/>
            <w:vAlign w:val="bottom"/>
          </w:tcPr>
          <w:p>
            <w:pPr>
              <w:jc w:val="center"/>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cstheme="minorEastAsia"/>
                <w:i w:val="0"/>
                <w:iCs w:val="0"/>
                <w:color w:val="000000"/>
                <w:kern w:val="0"/>
                <w:sz w:val="18"/>
                <w:szCs w:val="18"/>
                <w:highlight w:val="none"/>
                <w:u w:val="none"/>
                <w:lang w:val="en-US" w:eastAsia="zh-CN" w:bidi="ar"/>
              </w:rPr>
              <w:t>2024</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年度</w:t>
            </w:r>
          </w:p>
        </w:tc>
        <w:tc>
          <w:tcPr>
            <w:tcW w:w="1842" w:type="pct"/>
            <w:gridSpan w:val="4"/>
            <w:tcBorders>
              <w:top w:val="nil"/>
              <w:left w:val="nil"/>
              <w:bottom w:val="single" w:color="auto" w:sz="4" w:space="0"/>
              <w:right w:val="nil"/>
            </w:tcBorders>
            <w:noWrap/>
            <w:vAlign w:val="bottom"/>
          </w:tcPr>
          <w:p>
            <w:pPr>
              <w:jc w:val="right"/>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1674" w:type="pct"/>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人员经费</w:t>
            </w:r>
          </w:p>
        </w:tc>
        <w:tc>
          <w:tcPr>
            <w:tcW w:w="3325" w:type="pct"/>
            <w:gridSpan w:val="8"/>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42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科目代码</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5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c>
          <w:tcPr>
            <w:tcW w:w="42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eastAsia="zh-CN"/>
              </w:rPr>
            </w:pPr>
            <w:r>
              <w:rPr>
                <w:rFonts w:hint="eastAsia" w:ascii="方正仿宋_GB2312" w:hAnsi="方正仿宋_GB2312" w:eastAsia="方正仿宋_GB2312" w:cs="方正仿宋_GB2312"/>
                <w:i w:val="0"/>
                <w:iCs w:val="0"/>
                <w:color w:val="000000"/>
                <w:sz w:val="18"/>
                <w:szCs w:val="18"/>
                <w:highlight w:val="none"/>
                <w:u w:val="none"/>
                <w:lang w:val="en-US" w:eastAsia="zh-CN"/>
              </w:rPr>
              <w:t>科目代码</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24"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c>
          <w:tcPr>
            <w:tcW w:w="42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eastAsia="zh-CN"/>
              </w:rPr>
            </w:pPr>
            <w:r>
              <w:rPr>
                <w:rFonts w:hint="eastAsia" w:ascii="方正仿宋_GB2312" w:hAnsi="方正仿宋_GB2312" w:eastAsia="方正仿宋_GB2312" w:cs="方正仿宋_GB2312"/>
                <w:i w:val="0"/>
                <w:iCs w:val="0"/>
                <w:color w:val="000000"/>
                <w:sz w:val="18"/>
                <w:szCs w:val="18"/>
                <w:highlight w:val="none"/>
                <w:u w:val="none"/>
                <w:lang w:val="en-US" w:eastAsia="zh-CN"/>
              </w:rPr>
              <w:t>科目代码</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5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工资福利支出</w:t>
            </w:r>
          </w:p>
        </w:tc>
        <w:tc>
          <w:tcPr>
            <w:tcW w:w="450"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59.43</w:t>
            </w: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商品和服务支出</w:t>
            </w:r>
          </w:p>
        </w:tc>
        <w:tc>
          <w:tcPr>
            <w:tcW w:w="4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债务利息及费用支出</w:t>
            </w:r>
          </w:p>
        </w:tc>
        <w:tc>
          <w:tcPr>
            <w:tcW w:w="453"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基本工资</w:t>
            </w:r>
          </w:p>
        </w:tc>
        <w:tc>
          <w:tcPr>
            <w:tcW w:w="450"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45.22</w:t>
            </w: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办公费</w:t>
            </w:r>
          </w:p>
        </w:tc>
        <w:tc>
          <w:tcPr>
            <w:tcW w:w="4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国内债务付息</w:t>
            </w:r>
          </w:p>
        </w:tc>
        <w:tc>
          <w:tcPr>
            <w:tcW w:w="453"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津贴补贴</w:t>
            </w:r>
          </w:p>
        </w:tc>
        <w:tc>
          <w:tcPr>
            <w:tcW w:w="450"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印刷费</w:t>
            </w:r>
          </w:p>
        </w:tc>
        <w:tc>
          <w:tcPr>
            <w:tcW w:w="4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30702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国外债务付息</w:t>
            </w:r>
          </w:p>
        </w:tc>
        <w:tc>
          <w:tcPr>
            <w:tcW w:w="453"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奖金</w:t>
            </w:r>
          </w:p>
        </w:tc>
        <w:tc>
          <w:tcPr>
            <w:tcW w:w="450"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1.50</w:t>
            </w: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30203</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咨询费</w:t>
            </w:r>
          </w:p>
        </w:tc>
        <w:tc>
          <w:tcPr>
            <w:tcW w:w="4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资本性支出</w:t>
            </w:r>
          </w:p>
        </w:tc>
        <w:tc>
          <w:tcPr>
            <w:tcW w:w="453"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30106</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伙食补助费</w:t>
            </w:r>
          </w:p>
        </w:tc>
        <w:tc>
          <w:tcPr>
            <w:tcW w:w="450"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手续费</w:t>
            </w:r>
          </w:p>
        </w:tc>
        <w:tc>
          <w:tcPr>
            <w:tcW w:w="4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房屋建筑物购建</w:t>
            </w:r>
          </w:p>
        </w:tc>
        <w:tc>
          <w:tcPr>
            <w:tcW w:w="453"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绩效工资</w:t>
            </w:r>
          </w:p>
        </w:tc>
        <w:tc>
          <w:tcPr>
            <w:tcW w:w="450"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水费</w:t>
            </w:r>
          </w:p>
        </w:tc>
        <w:tc>
          <w:tcPr>
            <w:tcW w:w="4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办公设备购置</w:t>
            </w:r>
          </w:p>
        </w:tc>
        <w:tc>
          <w:tcPr>
            <w:tcW w:w="453"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30108</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机关事业单位基本养老保险缴费</w:t>
            </w:r>
          </w:p>
        </w:tc>
        <w:tc>
          <w:tcPr>
            <w:tcW w:w="450"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5.70</w:t>
            </w: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电费</w:t>
            </w:r>
          </w:p>
        </w:tc>
        <w:tc>
          <w:tcPr>
            <w:tcW w:w="4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专用设备购置</w:t>
            </w:r>
          </w:p>
        </w:tc>
        <w:tc>
          <w:tcPr>
            <w:tcW w:w="453"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职业年金缴费</w:t>
            </w:r>
          </w:p>
        </w:tc>
        <w:tc>
          <w:tcPr>
            <w:tcW w:w="450"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邮电费</w:t>
            </w:r>
          </w:p>
        </w:tc>
        <w:tc>
          <w:tcPr>
            <w:tcW w:w="4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31005</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基础设施建设</w:t>
            </w:r>
          </w:p>
        </w:tc>
        <w:tc>
          <w:tcPr>
            <w:tcW w:w="453"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职工基本医疗保险缴费</w:t>
            </w:r>
          </w:p>
        </w:tc>
        <w:tc>
          <w:tcPr>
            <w:tcW w:w="45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2.30</w:t>
            </w: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取暖费</w:t>
            </w:r>
          </w:p>
        </w:tc>
        <w:tc>
          <w:tcPr>
            <w:tcW w:w="4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31006</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大型修缮</w:t>
            </w:r>
          </w:p>
        </w:tc>
        <w:tc>
          <w:tcPr>
            <w:tcW w:w="453"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公务员医疗补助缴费</w:t>
            </w:r>
          </w:p>
        </w:tc>
        <w:tc>
          <w:tcPr>
            <w:tcW w:w="45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物业管理费</w:t>
            </w:r>
          </w:p>
        </w:tc>
        <w:tc>
          <w:tcPr>
            <w:tcW w:w="4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信息网络及软件购置更新</w:t>
            </w:r>
          </w:p>
        </w:tc>
        <w:tc>
          <w:tcPr>
            <w:tcW w:w="453"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其他社会保障缴费</w:t>
            </w:r>
          </w:p>
        </w:tc>
        <w:tc>
          <w:tcPr>
            <w:tcW w:w="45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0.15</w:t>
            </w: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差旅费</w:t>
            </w:r>
          </w:p>
        </w:tc>
        <w:tc>
          <w:tcPr>
            <w:tcW w:w="4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31008</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物资储备</w:t>
            </w:r>
          </w:p>
        </w:tc>
        <w:tc>
          <w:tcPr>
            <w:tcW w:w="453"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住房公积金</w:t>
            </w:r>
          </w:p>
        </w:tc>
        <w:tc>
          <w:tcPr>
            <w:tcW w:w="45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4.56</w:t>
            </w: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因公出国（境）费用</w:t>
            </w:r>
          </w:p>
        </w:tc>
        <w:tc>
          <w:tcPr>
            <w:tcW w:w="4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土地补偿</w:t>
            </w:r>
          </w:p>
        </w:tc>
        <w:tc>
          <w:tcPr>
            <w:tcW w:w="453"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30114</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医疗费</w:t>
            </w:r>
          </w:p>
        </w:tc>
        <w:tc>
          <w:tcPr>
            <w:tcW w:w="45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30213</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维修（护）费</w:t>
            </w:r>
          </w:p>
        </w:tc>
        <w:tc>
          <w:tcPr>
            <w:tcW w:w="4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安置补助</w:t>
            </w:r>
          </w:p>
        </w:tc>
        <w:tc>
          <w:tcPr>
            <w:tcW w:w="453"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其他工资福利支出</w:t>
            </w:r>
          </w:p>
        </w:tc>
        <w:tc>
          <w:tcPr>
            <w:tcW w:w="45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租赁费</w:t>
            </w:r>
          </w:p>
        </w:tc>
        <w:tc>
          <w:tcPr>
            <w:tcW w:w="4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地上附着物和青苗补偿</w:t>
            </w:r>
          </w:p>
        </w:tc>
        <w:tc>
          <w:tcPr>
            <w:tcW w:w="453"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对个人和家庭的补助</w:t>
            </w:r>
          </w:p>
        </w:tc>
        <w:tc>
          <w:tcPr>
            <w:tcW w:w="45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21.05</w:t>
            </w: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会议费</w:t>
            </w:r>
          </w:p>
        </w:tc>
        <w:tc>
          <w:tcPr>
            <w:tcW w:w="4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拆迁补偿</w:t>
            </w:r>
          </w:p>
        </w:tc>
        <w:tc>
          <w:tcPr>
            <w:tcW w:w="453"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离休费</w:t>
            </w:r>
          </w:p>
        </w:tc>
        <w:tc>
          <w:tcPr>
            <w:tcW w:w="45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培训费</w:t>
            </w:r>
          </w:p>
        </w:tc>
        <w:tc>
          <w:tcPr>
            <w:tcW w:w="4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w:t>
            </w:r>
          </w:p>
        </w:tc>
        <w:tc>
          <w:tcPr>
            <w:tcW w:w="453"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退休费</w:t>
            </w:r>
          </w:p>
        </w:tc>
        <w:tc>
          <w:tcPr>
            <w:tcW w:w="45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20.21</w:t>
            </w: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c>
          <w:tcPr>
            <w:tcW w:w="4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其他交通工具购置</w:t>
            </w:r>
          </w:p>
        </w:tc>
        <w:tc>
          <w:tcPr>
            <w:tcW w:w="453"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退职（役）费</w:t>
            </w:r>
          </w:p>
        </w:tc>
        <w:tc>
          <w:tcPr>
            <w:tcW w:w="45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专用材料费</w:t>
            </w:r>
          </w:p>
        </w:tc>
        <w:tc>
          <w:tcPr>
            <w:tcW w:w="4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31021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文物和陈列品购置</w:t>
            </w:r>
          </w:p>
        </w:tc>
        <w:tc>
          <w:tcPr>
            <w:tcW w:w="453"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30304</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抚恤金</w:t>
            </w:r>
          </w:p>
        </w:tc>
        <w:tc>
          <w:tcPr>
            <w:tcW w:w="45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0.84</w:t>
            </w: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被装购置费</w:t>
            </w:r>
          </w:p>
        </w:tc>
        <w:tc>
          <w:tcPr>
            <w:tcW w:w="4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31022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无形资产购置</w:t>
            </w:r>
          </w:p>
        </w:tc>
        <w:tc>
          <w:tcPr>
            <w:tcW w:w="453"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30305</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生活补助</w:t>
            </w:r>
          </w:p>
        </w:tc>
        <w:tc>
          <w:tcPr>
            <w:tcW w:w="45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专用燃料费</w:t>
            </w:r>
          </w:p>
        </w:tc>
        <w:tc>
          <w:tcPr>
            <w:tcW w:w="4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其他资本性支出</w:t>
            </w:r>
          </w:p>
        </w:tc>
        <w:tc>
          <w:tcPr>
            <w:tcW w:w="453"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30306</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救济费</w:t>
            </w:r>
          </w:p>
        </w:tc>
        <w:tc>
          <w:tcPr>
            <w:tcW w:w="45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劳务费</w:t>
            </w:r>
          </w:p>
        </w:tc>
        <w:tc>
          <w:tcPr>
            <w:tcW w:w="4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对企业补助</w:t>
            </w:r>
          </w:p>
        </w:tc>
        <w:tc>
          <w:tcPr>
            <w:tcW w:w="453"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医疗费补助</w:t>
            </w:r>
          </w:p>
        </w:tc>
        <w:tc>
          <w:tcPr>
            <w:tcW w:w="45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委托业务费</w:t>
            </w:r>
          </w:p>
        </w:tc>
        <w:tc>
          <w:tcPr>
            <w:tcW w:w="4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资本金注入</w:t>
            </w:r>
          </w:p>
        </w:tc>
        <w:tc>
          <w:tcPr>
            <w:tcW w:w="453"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30308</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助学金</w:t>
            </w:r>
          </w:p>
        </w:tc>
        <w:tc>
          <w:tcPr>
            <w:tcW w:w="45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工会经费</w:t>
            </w:r>
          </w:p>
        </w:tc>
        <w:tc>
          <w:tcPr>
            <w:tcW w:w="4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政府投资基金股权投资</w:t>
            </w:r>
          </w:p>
        </w:tc>
        <w:tc>
          <w:tcPr>
            <w:tcW w:w="453"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奖励金</w:t>
            </w:r>
          </w:p>
        </w:tc>
        <w:tc>
          <w:tcPr>
            <w:tcW w:w="45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福利费</w:t>
            </w:r>
          </w:p>
        </w:tc>
        <w:tc>
          <w:tcPr>
            <w:tcW w:w="4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31204</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费用补贴</w:t>
            </w:r>
          </w:p>
        </w:tc>
        <w:tc>
          <w:tcPr>
            <w:tcW w:w="453"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个人农业生产补贴</w:t>
            </w:r>
          </w:p>
        </w:tc>
        <w:tc>
          <w:tcPr>
            <w:tcW w:w="45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30231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4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31205</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利息补贴</w:t>
            </w:r>
          </w:p>
        </w:tc>
        <w:tc>
          <w:tcPr>
            <w:tcW w:w="453"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30311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代缴社会保险费</w:t>
            </w:r>
          </w:p>
        </w:tc>
        <w:tc>
          <w:tcPr>
            <w:tcW w:w="45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30239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其他交通费用</w:t>
            </w:r>
          </w:p>
        </w:tc>
        <w:tc>
          <w:tcPr>
            <w:tcW w:w="4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其他对企业补助</w:t>
            </w:r>
          </w:p>
        </w:tc>
        <w:tc>
          <w:tcPr>
            <w:tcW w:w="453"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其他对个人和家庭的补助</w:t>
            </w:r>
          </w:p>
        </w:tc>
        <w:tc>
          <w:tcPr>
            <w:tcW w:w="45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30240</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税金及附加费用</w:t>
            </w:r>
          </w:p>
        </w:tc>
        <w:tc>
          <w:tcPr>
            <w:tcW w:w="4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其他支出</w:t>
            </w:r>
          </w:p>
        </w:tc>
        <w:tc>
          <w:tcPr>
            <w:tcW w:w="453"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50" w:type="pct"/>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30299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其他商品和服务支出</w:t>
            </w:r>
          </w:p>
        </w:tc>
        <w:tc>
          <w:tcPr>
            <w:tcW w:w="4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国家赔偿费用支出</w:t>
            </w:r>
          </w:p>
        </w:tc>
        <w:tc>
          <w:tcPr>
            <w:tcW w:w="453"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50"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4"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39908</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对民间非营利组织和群众性自治组织补贴</w:t>
            </w:r>
          </w:p>
        </w:tc>
        <w:tc>
          <w:tcPr>
            <w:tcW w:w="453"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50"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4"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经常性赠与</w:t>
            </w:r>
          </w:p>
        </w:tc>
        <w:tc>
          <w:tcPr>
            <w:tcW w:w="453"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50"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4"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资本性赠与</w:t>
            </w:r>
          </w:p>
        </w:tc>
        <w:tc>
          <w:tcPr>
            <w:tcW w:w="453"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50"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4"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其他支出</w:t>
            </w:r>
          </w:p>
        </w:tc>
        <w:tc>
          <w:tcPr>
            <w:tcW w:w="453"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1223" w:type="pct"/>
            <w:gridSpan w:val="2"/>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eastAsiaTheme="minorEastAsia"/>
                <w:sz w:val="18"/>
                <w:szCs w:val="18"/>
                <w:highlight w:val="none"/>
                <w:lang w:val="en-US" w:eastAsia="zh-CN"/>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人员经费合计</w:t>
            </w:r>
          </w:p>
        </w:tc>
        <w:tc>
          <w:tcPr>
            <w:tcW w:w="45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80.49</w:t>
            </w:r>
          </w:p>
        </w:tc>
        <w:tc>
          <w:tcPr>
            <w:tcW w:w="2872" w:type="pct"/>
            <w:gridSpan w:val="7"/>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公用经费合计</w:t>
            </w:r>
          </w:p>
        </w:tc>
        <w:tc>
          <w:tcPr>
            <w:tcW w:w="453"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5000" w:type="pct"/>
            <w:gridSpan w:val="11"/>
            <w:tcBorders>
              <w:top w:val="single" w:color="auto" w:sz="4" w:space="0"/>
              <w:left w:val="nil"/>
              <w:bottom w:val="nil"/>
              <w:right w:val="nil"/>
            </w:tcBorders>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注：本表反映部门本年度一般公共预算财政拨款基本支出明细情况。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616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91"/>
        <w:gridCol w:w="1396"/>
        <w:gridCol w:w="1236"/>
        <w:gridCol w:w="971"/>
        <w:gridCol w:w="1047"/>
        <w:gridCol w:w="397"/>
        <w:gridCol w:w="662"/>
        <w:gridCol w:w="1086"/>
        <w:gridCol w:w="19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5000" w:type="pct"/>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宋体" w:cs="Times New Roman"/>
                <w:i w:val="0"/>
                <w:iCs w:val="0"/>
                <w:color w:val="000000"/>
                <w:kern w:val="0"/>
                <w:sz w:val="20"/>
                <w:szCs w:val="20"/>
                <w:highlight w:val="none"/>
                <w:u w:val="none"/>
                <w:lang w:val="en-US" w:eastAsia="zh-CN" w:bidi="ar"/>
              </w:rPr>
              <w:t>07</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1926" w:type="pct"/>
            <w:gridSpan w:val="3"/>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部门：宁晋县档案馆(本级) </w:t>
            </w: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1217" w:type="pct"/>
            <w:gridSpan w:val="3"/>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202</w:t>
            </w:r>
            <w:r>
              <w:rPr>
                <w:rFonts w:hint="eastAsia" w:ascii="Times New Roman" w:hAnsi="Times New Roman" w:eastAsia="宋体"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855" w:type="pct"/>
            <w:gridSpan w:val="3"/>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1303" w:type="pct"/>
            <w:gridSpan w:val="2"/>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622"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年初结转和结余</w:t>
            </w:r>
          </w:p>
        </w:tc>
        <w:tc>
          <w:tcPr>
            <w:tcW w:w="489"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本年收入</w:t>
            </w:r>
          </w:p>
        </w:tc>
        <w:tc>
          <w:tcPr>
            <w:tcW w:w="1608" w:type="pct"/>
            <w:gridSpan w:val="4"/>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w:t>
            </w:r>
          </w:p>
        </w:tc>
        <w:tc>
          <w:tcPr>
            <w:tcW w:w="974" w:type="pct"/>
            <w:vMerge w:val="restart"/>
            <w:tcBorders>
              <w:top w:val="single" w:color="auto" w:sz="4" w:space="0"/>
              <w:left w:val="nil"/>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600"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703"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62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7"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小计</w:t>
            </w:r>
          </w:p>
        </w:tc>
        <w:tc>
          <w:tcPr>
            <w:tcW w:w="533" w:type="pct"/>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547"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c>
          <w:tcPr>
            <w:tcW w:w="974" w:type="pct"/>
            <w:vMerge w:val="continue"/>
            <w:tcBorders>
              <w:left w:val="nil"/>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结转</w:t>
            </w:r>
          </w:p>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60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3"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2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7"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33"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47"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74" w:type="pct"/>
            <w:vMerge w:val="continue"/>
            <w:tcBorders>
              <w:left w:val="nil"/>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600" w:type="pct"/>
            <w:vMerge w:val="continue"/>
            <w:tcBorders>
              <w:top w:val="nil"/>
              <w:left w:val="single" w:color="000000" w:sz="4" w:space="0"/>
              <w:bottom w:val="single" w:color="auto"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3" w:type="pct"/>
            <w:vMerge w:val="continue"/>
            <w:tcBorders>
              <w:top w:val="nil"/>
              <w:left w:val="nil"/>
              <w:bottom w:val="single" w:color="auto"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2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7"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33"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47"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74" w:type="pct"/>
            <w:vMerge w:val="continue"/>
            <w:tcBorders>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130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622" w:type="pct"/>
            <w:tcBorders>
              <w:top w:val="nil"/>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1</w:t>
            </w:r>
          </w:p>
        </w:tc>
        <w:tc>
          <w:tcPr>
            <w:tcW w:w="48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2</w:t>
            </w:r>
          </w:p>
        </w:tc>
        <w:tc>
          <w:tcPr>
            <w:tcW w:w="52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3</w:t>
            </w:r>
          </w:p>
        </w:tc>
        <w:tc>
          <w:tcPr>
            <w:tcW w:w="533"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4</w:t>
            </w:r>
          </w:p>
        </w:tc>
        <w:tc>
          <w:tcPr>
            <w:tcW w:w="54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5</w:t>
            </w:r>
          </w:p>
        </w:tc>
        <w:tc>
          <w:tcPr>
            <w:tcW w:w="9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lang w:val="en-US" w:eastAsia="zh-CN"/>
              </w:rPr>
            </w:pPr>
            <w:r>
              <w:rPr>
                <w:rFonts w:hint="default" w:ascii="Times New Roman" w:hAnsi="Times New Roman" w:eastAsia="方正仿宋_GB2312" w:cs="Times New Roman"/>
                <w:i w:val="0"/>
                <w:iCs w:val="0"/>
                <w:color w:val="000000"/>
                <w:sz w:val="20"/>
                <w:szCs w:val="20"/>
                <w:highlight w:val="none"/>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130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622" w:type="pct"/>
            <w:tcBorders>
              <w:top w:val="nil"/>
              <w:left w:val="single" w:color="auto" w:sz="4" w:space="0"/>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48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33"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4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74"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5000" w:type="pct"/>
            <w:gridSpan w:val="9"/>
            <w:tcBorders>
              <w:top w:val="nil"/>
              <w:left w:val="nil"/>
              <w:bottom w:val="nil"/>
              <w:right w:val="nil"/>
            </w:tcBorders>
            <w:noWrap/>
            <w:vAlign w:val="center"/>
          </w:tcPr>
          <w:p>
            <w:pP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注：本表反映部门本年度政府性基金预算财政拨款收入、支出及结转和结余情况。（本部门无政府性基金预算财政拨款</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，以空表列示）</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page"/>
            </w:r>
          </w:p>
        </w:tc>
      </w:tr>
    </w:tbl>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5783" w:type="pct"/>
        <w:tblInd w:w="-9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52"/>
        <w:gridCol w:w="721"/>
        <w:gridCol w:w="1278"/>
        <w:gridCol w:w="1313"/>
        <w:gridCol w:w="5"/>
        <w:gridCol w:w="47"/>
        <w:gridCol w:w="1262"/>
        <w:gridCol w:w="10"/>
        <w:gridCol w:w="17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000" w:type="pct"/>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方正仿宋_GB2312" w:cs="Times New Roman"/>
                <w:i w:val="0"/>
                <w:iCs w:val="0"/>
                <w:color w:val="000000"/>
                <w:kern w:val="0"/>
                <w:sz w:val="20"/>
                <w:szCs w:val="20"/>
                <w:highlight w:val="none"/>
                <w:u w:val="none"/>
                <w:lang w:val="en-US" w:eastAsia="zh-CN" w:bidi="ar"/>
              </w:rPr>
              <w:t>08</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974" w:type="pct"/>
            <w:gridSpan w:val="2"/>
            <w:tcBorders>
              <w:top w:val="nil"/>
              <w:left w:val="nil"/>
              <w:bottom w:val="single" w:color="auto" w:sz="4" w:space="0"/>
              <w:right w:val="nil"/>
            </w:tcBorders>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部门：宁晋县档案馆(本级)</w:t>
            </w:r>
          </w:p>
        </w:tc>
        <w:tc>
          <w:tcPr>
            <w:tcW w:w="1420" w:type="pct"/>
            <w:gridSpan w:val="4"/>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202</w:t>
            </w:r>
            <w:r>
              <w:rPr>
                <w:rFonts w:hint="eastAsia" w:ascii="Times New Roman" w:hAnsi="Times New Roman" w:eastAsia="宋体"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604" w:type="pct"/>
            <w:gridSpan w:val="3"/>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661" w:type="pct"/>
            <w:gridSpan w:val="3"/>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项目</w:t>
            </w:r>
          </w:p>
        </w:tc>
        <w:tc>
          <w:tcPr>
            <w:tcW w:w="2338" w:type="pct"/>
            <w:gridSpan w:val="6"/>
            <w:vMerge w:val="restart"/>
            <w:tcBorders>
              <w:top w:val="single" w:color="auto"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661" w:type="pct"/>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2338" w:type="pct"/>
            <w:gridSpan w:val="6"/>
            <w:vMerge w:val="continue"/>
            <w:tcBorders>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87" w:type="pct"/>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074"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科目名称</w:t>
            </w:r>
          </w:p>
        </w:tc>
        <w:tc>
          <w:tcPr>
            <w:tcW w:w="708" w:type="pct"/>
            <w:gridSpan w:val="2"/>
            <w:vMerge w:val="restart"/>
            <w:tcBorders>
              <w:top w:val="nil"/>
              <w:left w:val="single" w:color="auto"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合计</w:t>
            </w:r>
          </w:p>
        </w:tc>
        <w:tc>
          <w:tcPr>
            <w:tcW w:w="709" w:type="pct"/>
            <w:gridSpan w:val="3"/>
            <w:vMerge w:val="restart"/>
            <w:tcBorders>
              <w:top w:val="nil"/>
              <w:left w:val="nil"/>
              <w:right w:val="single" w:color="000000" w:sz="4" w:space="0"/>
            </w:tcBorders>
            <w:noWrap w:val="0"/>
            <w:vAlign w:val="center"/>
          </w:tcPr>
          <w:p>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基本支出</w:t>
            </w:r>
          </w:p>
        </w:tc>
        <w:tc>
          <w:tcPr>
            <w:tcW w:w="920" w:type="pct"/>
            <w:vMerge w:val="restart"/>
            <w:tcBorders>
              <w:top w:val="nil"/>
              <w:left w:val="nil"/>
              <w:right w:val="single" w:color="000000" w:sz="4" w:space="0"/>
            </w:tcBorders>
            <w:noWrap w:val="0"/>
            <w:vAlign w:val="center"/>
          </w:tcPr>
          <w:p>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87" w:type="pct"/>
            <w:vMerge w:val="continue"/>
            <w:tcBorders>
              <w:top w:val="single" w:color="auto" w:sz="4" w:space="0"/>
              <w:left w:val="single" w:color="auto" w:sz="4" w:space="0"/>
              <w:bottom w:val="single" w:color="auto"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74" w:type="pct"/>
            <w:gridSpan w:val="2"/>
            <w:vMerge w:val="continue"/>
            <w:tcBorders>
              <w:top w:val="single" w:color="auto" w:sz="4" w:space="0"/>
              <w:left w:val="nil"/>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8" w:type="pct"/>
            <w:gridSpan w:val="2"/>
            <w:vMerge w:val="continue"/>
            <w:tcBorders>
              <w:left w:val="single" w:color="auto"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9" w:type="pct"/>
            <w:gridSpan w:val="3"/>
            <w:vMerge w:val="continue"/>
            <w:tcBorders>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20" w:type="pct"/>
            <w:vMerge w:val="continue"/>
            <w:tcBorders>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661" w:type="pct"/>
            <w:gridSpan w:val="3"/>
            <w:tcBorders>
              <w:top w:val="single" w:color="auto" w:sz="4" w:space="0"/>
              <w:left w:val="single" w:color="auto"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栏次</w:t>
            </w:r>
          </w:p>
        </w:tc>
        <w:tc>
          <w:tcPr>
            <w:tcW w:w="705" w:type="pct"/>
            <w:tcBorders>
              <w:top w:val="nil"/>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1</w:t>
            </w:r>
          </w:p>
        </w:tc>
        <w:tc>
          <w:tcPr>
            <w:tcW w:w="70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2</w:t>
            </w:r>
          </w:p>
        </w:tc>
        <w:tc>
          <w:tcPr>
            <w:tcW w:w="92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661" w:type="pct"/>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合计</w:t>
            </w:r>
          </w:p>
        </w:tc>
        <w:tc>
          <w:tcPr>
            <w:tcW w:w="705" w:type="pct"/>
            <w:tcBorders>
              <w:top w:val="single" w:color="000000" w:sz="4" w:space="0"/>
              <w:left w:val="single" w:color="000000" w:sz="4" w:space="0"/>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06" w:type="pct"/>
            <w:gridSpan w:val="3"/>
            <w:tcBorders>
              <w:top w:val="single" w:color="000000" w:sz="4" w:space="0"/>
              <w:left w:val="single" w:color="000000" w:sz="4" w:space="0"/>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25" w:type="pct"/>
            <w:gridSpan w:val="2"/>
            <w:tcBorders>
              <w:top w:val="single" w:color="000000" w:sz="4" w:space="0"/>
              <w:left w:val="single" w:color="000000" w:sz="4" w:space="0"/>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000" w:type="pct"/>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注：本表反映部门本年度国有资本经营预算财政拨款支出情况。（本部门无国有资本经营预算财政拨款</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，以空表列示）</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pPr w:leftFromText="180" w:rightFromText="180" w:vertAnchor="text" w:horzAnchor="page" w:tblpXSpec="center" w:tblpY="39"/>
        <w:tblOverlap w:val="never"/>
        <w:tblW w:w="643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8"/>
        <w:gridCol w:w="1092"/>
        <w:gridCol w:w="723"/>
        <w:gridCol w:w="842"/>
        <w:gridCol w:w="468"/>
        <w:gridCol w:w="481"/>
        <w:gridCol w:w="697"/>
        <w:gridCol w:w="582"/>
        <w:gridCol w:w="876"/>
        <w:gridCol w:w="644"/>
        <w:gridCol w:w="937"/>
        <w:gridCol w:w="876"/>
        <w:gridCol w:w="12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jc w:val="center"/>
        </w:trPr>
        <w:tc>
          <w:tcPr>
            <w:tcW w:w="5000" w:type="pct"/>
            <w:gridSpan w:val="13"/>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000" w:type="pct"/>
            <w:gridSpan w:val="1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公开</w:t>
            </w:r>
            <w:r>
              <w:rPr>
                <w:rFonts w:hint="default" w:ascii="Times New Roman" w:hAnsi="Times New Roman" w:eastAsia="方正仿宋_GB2312" w:cs="Times New Roman"/>
                <w:i w:val="0"/>
                <w:iCs w:val="0"/>
                <w:color w:val="000000"/>
                <w:kern w:val="0"/>
                <w:sz w:val="18"/>
                <w:szCs w:val="18"/>
                <w:highlight w:val="none"/>
                <w:u w:val="none"/>
                <w:lang w:val="en-US" w:eastAsia="zh-CN" w:bidi="ar"/>
              </w:rPr>
              <w:t>09</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35" w:type="pct"/>
            <w:gridSpan w:val="5"/>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部门：宁晋县档案馆(本级)</w:t>
            </w:r>
          </w:p>
        </w:tc>
        <w:tc>
          <w:tcPr>
            <w:tcW w:w="851" w:type="pct"/>
            <w:gridSpan w:val="3"/>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202</w:t>
            </w:r>
            <w:r>
              <w:rPr>
                <w:rFonts w:hint="eastAsia" w:ascii="Times New Roman" w:hAnsi="Times New Roman" w:eastAsia="宋体" w:cs="Times New Roman"/>
                <w:i w:val="0"/>
                <w:iCs w:val="0"/>
                <w:color w:val="000000"/>
                <w:kern w:val="0"/>
                <w:sz w:val="18"/>
                <w:szCs w:val="18"/>
                <w:highlight w:val="none"/>
                <w:u w:val="none"/>
                <w:lang w:val="en-US" w:eastAsia="zh-CN" w:bidi="ar"/>
              </w:rPr>
              <w:t>4</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年度</w:t>
            </w:r>
          </w:p>
        </w:tc>
        <w:tc>
          <w:tcPr>
            <w:tcW w:w="2213" w:type="pct"/>
            <w:gridSpan w:val="5"/>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default" w:ascii="宋体" w:hAnsi="宋体" w:eastAsia="宋体" w:cs="宋体"/>
                <w:i w:val="0"/>
                <w:iCs w:val="0"/>
                <w:color w:val="000000"/>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2505" w:type="pct"/>
            <w:gridSpan w:val="7"/>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预算数</w:t>
            </w:r>
          </w:p>
        </w:tc>
        <w:tc>
          <w:tcPr>
            <w:tcW w:w="2494" w:type="pct"/>
            <w:gridSpan w:val="6"/>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424" w:type="pct"/>
            <w:vMerge w:val="restar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合计</w:t>
            </w:r>
          </w:p>
        </w:tc>
        <w:tc>
          <w:tcPr>
            <w:tcW w:w="528"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w:t>
            </w:r>
          </w:p>
        </w:tc>
        <w:tc>
          <w:tcPr>
            <w:tcW w:w="1215"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公务用车购置及运行维护费</w:t>
            </w:r>
          </w:p>
        </w:tc>
        <w:tc>
          <w:tcPr>
            <w:tcW w:w="337"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c>
          <w:tcPr>
            <w:tcW w:w="281"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合计</w:t>
            </w:r>
          </w:p>
        </w:tc>
        <w:tc>
          <w:tcPr>
            <w:tcW w:w="423"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w:t>
            </w:r>
          </w:p>
        </w:tc>
        <w:tc>
          <w:tcPr>
            <w:tcW w:w="1188"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公务用车购置及运行维护费</w:t>
            </w:r>
          </w:p>
        </w:tc>
        <w:tc>
          <w:tcPr>
            <w:tcW w:w="601"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7" w:hRule="atLeast"/>
          <w:jc w:val="center"/>
        </w:trPr>
        <w:tc>
          <w:tcPr>
            <w:tcW w:w="424" w:type="pct"/>
            <w:vMerge w:val="continue"/>
            <w:tcBorders>
              <w:top w:val="nil"/>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528" w:type="pct"/>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34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小计</w:t>
            </w:r>
          </w:p>
        </w:tc>
        <w:tc>
          <w:tcPr>
            <w:tcW w:w="4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公务用车购置费</w:t>
            </w:r>
          </w:p>
        </w:tc>
        <w:tc>
          <w:tcPr>
            <w:tcW w:w="45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337" w:type="pct"/>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281" w:type="pct"/>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423" w:type="pct"/>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31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小计</w:t>
            </w:r>
          </w:p>
        </w:tc>
        <w:tc>
          <w:tcPr>
            <w:tcW w:w="45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公务用车购置费</w:t>
            </w:r>
          </w:p>
        </w:tc>
        <w:tc>
          <w:tcPr>
            <w:tcW w:w="42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601" w:type="pct"/>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42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w:t>
            </w:r>
          </w:p>
        </w:tc>
        <w:tc>
          <w:tcPr>
            <w:tcW w:w="52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2</w:t>
            </w:r>
          </w:p>
        </w:tc>
        <w:tc>
          <w:tcPr>
            <w:tcW w:w="34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3</w:t>
            </w:r>
          </w:p>
        </w:tc>
        <w:tc>
          <w:tcPr>
            <w:tcW w:w="4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4</w:t>
            </w:r>
          </w:p>
        </w:tc>
        <w:tc>
          <w:tcPr>
            <w:tcW w:w="45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5</w:t>
            </w:r>
          </w:p>
        </w:tc>
        <w:tc>
          <w:tcPr>
            <w:tcW w:w="33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6</w:t>
            </w:r>
          </w:p>
        </w:tc>
        <w:tc>
          <w:tcPr>
            <w:tcW w:w="28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7</w:t>
            </w:r>
          </w:p>
        </w:tc>
        <w:tc>
          <w:tcPr>
            <w:tcW w:w="42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8</w:t>
            </w:r>
          </w:p>
        </w:tc>
        <w:tc>
          <w:tcPr>
            <w:tcW w:w="31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9</w:t>
            </w:r>
          </w:p>
        </w:tc>
        <w:tc>
          <w:tcPr>
            <w:tcW w:w="45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10</w:t>
            </w:r>
          </w:p>
        </w:tc>
        <w:tc>
          <w:tcPr>
            <w:tcW w:w="42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11</w:t>
            </w:r>
          </w:p>
        </w:tc>
        <w:tc>
          <w:tcPr>
            <w:tcW w:w="60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424" w:type="pct"/>
            <w:tcBorders>
              <w:top w:val="nil"/>
              <w:left w:val="single" w:color="000000" w:sz="4" w:space="0"/>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528"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34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40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458"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33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281"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42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311"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45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42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601"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jc w:val="center"/>
        </w:trPr>
        <w:tc>
          <w:tcPr>
            <w:tcW w:w="5000" w:type="pct"/>
            <w:gridSpan w:val="13"/>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（本部门无财政拨款“三公”经费</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，以空表列示）</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sectPr>
          <w:headerReference r:id="rId8"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第三部分</w:t>
      </w:r>
      <w:r>
        <w:rPr>
          <w:rFonts w:ascii="Times New Roman" w:eastAsia="仿宋_GB2312"/>
          <w:b w:val="0"/>
          <w:sz w:val="44"/>
          <w:szCs w:val="44"/>
        </w:rPr>
        <w:t>2024</w:t>
      </w:r>
      <w:r>
        <w:rPr>
          <w:rFonts w:ascii="Times New Roman" w:eastAsia="黑体"/>
          <w:b w:val="0"/>
          <w:sz w:val="44"/>
          <w:szCs w:val="44"/>
        </w:rPr>
        <w:t>年度</w:t>
      </w:r>
      <w:r>
        <w:rPr>
          <w:rFonts w:hint="eastAsia" w:ascii="Times New Roman" w:eastAsia="黑体"/>
          <w:b w:val="0"/>
          <w:sz w:val="44"/>
          <w:szCs w:val="44"/>
          <w:lang w:eastAsia="zh-CN"/>
        </w:rPr>
        <w:t>部门</w:t>
      </w:r>
      <w:r>
        <w:rPr>
          <w:rFonts w:ascii="Times New Roman" w:eastAsia="黑体"/>
          <w:b w:val="0"/>
          <w:sz w:val="44"/>
          <w:szCs w:val="44"/>
        </w:rPr>
        <w:t>决算情况说明</w:t>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一、收入支出决算总体情况说明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w:t>
      </w:r>
      <w:r>
        <w:rPr>
          <w:rFonts w:hint="eastAsia" w:ascii="Times New Roman" w:eastAsia="仿宋_GB2312"/>
          <w:b w:val="0"/>
          <w:sz w:val="32"/>
          <w:szCs w:val="32"/>
          <w:lang w:eastAsia="zh-CN"/>
        </w:rPr>
        <w:t>部门</w:t>
      </w:r>
      <w:r>
        <w:rPr>
          <w:rFonts w:ascii="Times New Roman" w:eastAsia="仿宋_GB2312"/>
          <w:b w:val="0"/>
          <w:sz w:val="32"/>
          <w:szCs w:val="32"/>
        </w:rPr>
        <w:t>2024年度收、支总计（含结转和结余）均为104.71万元。与2023年度决算相比，收支各增加14.62万元，增长16.2%，主要原因是</w:t>
      </w:r>
      <w:r>
        <w:rPr>
          <w:rFonts w:hint="eastAsia" w:ascii="Times New Roman" w:eastAsia="仿宋_GB2312"/>
          <w:b w:val="0"/>
          <w:sz w:val="32"/>
          <w:szCs w:val="32"/>
        </w:rPr>
        <w:t>一名退休人员死亡</w:t>
      </w:r>
      <w:r>
        <w:rPr>
          <w:rFonts w:hint="eastAsia" w:ascii="Times New Roman" w:eastAsia="仿宋_GB2312"/>
          <w:b w:val="0"/>
          <w:sz w:val="32"/>
          <w:szCs w:val="32"/>
          <w:lang w:eastAsia="zh-CN"/>
        </w:rPr>
        <w:t>，</w:t>
      </w:r>
      <w:r>
        <w:rPr>
          <w:rFonts w:hint="eastAsia" w:ascii="Times New Roman" w:eastAsia="仿宋_GB2312"/>
          <w:b w:val="0"/>
          <w:sz w:val="32"/>
          <w:szCs w:val="32"/>
        </w:rPr>
        <w:t>抚恤金</w:t>
      </w:r>
      <w:r>
        <w:rPr>
          <w:rFonts w:hint="eastAsia" w:ascii="Times New Roman" w:eastAsia="仿宋_GB2312"/>
          <w:b w:val="0"/>
          <w:sz w:val="32"/>
          <w:szCs w:val="32"/>
          <w:lang w:val="en-US" w:eastAsia="zh-CN"/>
        </w:rPr>
        <w:t>增加</w:t>
      </w:r>
      <w:r>
        <w:rPr>
          <w:rFonts w:ascii="Times New Roman" w:eastAsia="仿宋_GB2312"/>
          <w:b w:val="0"/>
          <w:sz w:val="32"/>
          <w:szCs w:val="32"/>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Arial" w:cs="Times New Roman"/>
          <w:highlight w:val="none"/>
        </w:rPr>
      </w:pPr>
      <w:r>
        <w:rPr>
          <w:rFonts w:hint="eastAsia" w:ascii="Times New Roman" w:hAnsi="Times New Roman" w:eastAsia="宋体"/>
        </w:rPr>
        <w:drawing>
          <wp:inline distT="0" distB="0" distL="114300" distR="114300">
            <wp:extent cx="5256530" cy="2988310"/>
            <wp:effectExtent l="5080" t="4445" r="8890" b="1714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hint="default" w:ascii="Times New Roman" w:hAnsi="Times New Roman" w:eastAsia="Arial" w:cs="Times New Roman"/>
          <w:i w:val="0"/>
          <w:iCs w:val="0"/>
          <w:caps w:val="0"/>
          <w:color w:val="000000"/>
          <w:spacing w:val="0"/>
          <w:sz w:val="18"/>
          <w:szCs w:val="18"/>
          <w:highlight w:val="none"/>
          <w:shd w:val="clear" w:fill="FFFFFF"/>
        </w:rPr>
        <w:t> </w:t>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二、收入决算情况说明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w:t>
      </w:r>
      <w:r>
        <w:rPr>
          <w:rFonts w:hint="eastAsia" w:ascii="Times New Roman" w:eastAsia="仿宋_GB2312"/>
          <w:b w:val="0"/>
          <w:sz w:val="32"/>
          <w:szCs w:val="32"/>
          <w:lang w:eastAsia="zh-CN"/>
        </w:rPr>
        <w:t>部门</w:t>
      </w:r>
      <w:r>
        <w:rPr>
          <w:rFonts w:ascii="Times New Roman" w:eastAsia="仿宋_GB2312"/>
          <w:b w:val="0"/>
          <w:sz w:val="32"/>
          <w:szCs w:val="32"/>
        </w:rPr>
        <w:t>2024年度本年收入合计104.71万元，其中：财政拨款收入104.71万元，占10</w:t>
      </w:r>
      <w:r>
        <w:rPr>
          <w:rFonts w:hint="eastAsia" w:ascii="Times New Roman" w:eastAsia="仿宋_GB2312"/>
          <w:b w:val="0"/>
          <w:sz w:val="32"/>
          <w:szCs w:val="32"/>
          <w:lang w:eastAsia="zh-CN"/>
        </w:rPr>
        <w:t>0</w:t>
      </w:r>
      <w:r>
        <w:rPr>
          <w:rFonts w:ascii="Times New Roman" w:eastAsia="仿宋_GB2312"/>
          <w:b w:val="0"/>
          <w:sz w:val="32"/>
          <w:szCs w:val="32"/>
        </w:rPr>
        <w:t>%；上级补助收入</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%；事业收入</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%；经营收入</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%；附属单位上缴收入</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%；其他收入</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p>
    <w:p>
      <w:pPr>
        <w:adjustRightInd w:val="0"/>
        <w:snapToGrid w:val="0"/>
        <w:spacing w:line="580" w:lineRule="exact"/>
        <w:jc w:val="both"/>
        <w:rPr>
          <w:rFonts w:hint="default" w:ascii="Times New Roman" w:hAnsi="Times New Roman" w:eastAsia="仿宋_GB2312" w:cs="Times New Roman"/>
          <w:kern w:val="2"/>
          <w:sz w:val="32"/>
          <w:szCs w:val="32"/>
          <w:highlight w:val="yellow"/>
          <w:lang w:val="zh-CN"/>
        </w:rPr>
      </w:pPr>
      <w:r>
        <w:rPr>
          <w:rFonts w:ascii="Times New Roman" w:hAnsi="Times New Roman" w:eastAsia="仿宋_GB2312"/>
          <w:kern w:val="2"/>
          <w:sz w:val="32"/>
          <w:szCs w:val="32"/>
          <w:highlight w:val="yellow"/>
          <w:lang w:val="zh-CN"/>
        </w:rPr>
        <w:drawing>
          <wp:anchor distT="0" distB="0" distL="114300" distR="114300" simplePos="0" relativeHeight="251661312" behindDoc="0" locked="0" layoutInCell="1" allowOverlap="1">
            <wp:simplePos x="0" y="0"/>
            <wp:positionH relativeFrom="column">
              <wp:posOffset>-16510</wp:posOffset>
            </wp:positionH>
            <wp:positionV relativeFrom="paragraph">
              <wp:posOffset>201930</wp:posOffset>
            </wp:positionV>
            <wp:extent cx="5256530" cy="2988310"/>
            <wp:effectExtent l="5080" t="4445" r="8890" b="17145"/>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三、支出决算情况说明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w:t>
      </w:r>
      <w:r>
        <w:rPr>
          <w:rFonts w:hint="eastAsia" w:ascii="Times New Roman" w:eastAsia="仿宋_GB2312"/>
          <w:b w:val="0"/>
          <w:sz w:val="32"/>
          <w:szCs w:val="32"/>
          <w:lang w:eastAsia="zh-CN"/>
        </w:rPr>
        <w:t>部门</w:t>
      </w:r>
      <w:r>
        <w:rPr>
          <w:rFonts w:ascii="Times New Roman" w:eastAsia="仿宋_GB2312"/>
          <w:b w:val="0"/>
          <w:sz w:val="32"/>
          <w:szCs w:val="32"/>
        </w:rPr>
        <w:t>2024年度本年支出合计104.71万元，其中：基本支出80.49万元，占76.9%；项目支出24.23万元，占23.1%；上缴上级支出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%；经营支出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%；对附属单位补助支出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p>
    <w:p>
      <w:pPr>
        <w:autoSpaceDE w:val="0"/>
        <w:autoSpaceDN w:val="0"/>
        <w:adjustRightInd w:val="0"/>
        <w:jc w:val="center"/>
        <w:rPr>
          <w:rFonts w:hint="default" w:ascii="Times New Roman" w:hAnsi="Times New Roman" w:eastAsia="仿宋_GB2312" w:cs="Times New Roman"/>
          <w:color w:val="auto"/>
          <w:kern w:val="0"/>
          <w:sz w:val="32"/>
          <w:szCs w:val="32"/>
          <w:highlight w:val="none"/>
          <w:lang w:val="en-US" w:eastAsia="zh-CN" w:bidi="ar-SA"/>
        </w:rPr>
      </w:pPr>
      <w:r>
        <w:rPr>
          <w:rFonts w:ascii="Times New Roman" w:hAnsi="Times New Roman" w:eastAsia="仿宋_GB2312" w:cs="Times New Roman"/>
          <w:sz w:val="32"/>
          <w:szCs w:val="32"/>
          <w:highlight w:val="none"/>
        </w:rPr>
        <w:drawing>
          <wp:inline distT="0" distB="0" distL="114300" distR="114300">
            <wp:extent cx="5256530" cy="2988310"/>
            <wp:effectExtent l="5080" t="4445" r="11430" b="952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四、财政拨款收入支出决算总体情况说明</w:t>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（一）财政拨款收支与</w:t>
      </w:r>
      <w:r>
        <w:rPr>
          <w:rFonts w:ascii="Times New Roman" w:eastAsia="仿宋_GB2312"/>
          <w:b/>
          <w:sz w:val="32"/>
          <w:szCs w:val="32"/>
        </w:rPr>
        <w:t>2023</w:t>
      </w:r>
      <w:r>
        <w:rPr>
          <w:rFonts w:ascii="Times New Roman" w:eastAsia="楷体_GB2312"/>
          <w:b/>
          <w:sz w:val="32"/>
          <w:szCs w:val="32"/>
        </w:rPr>
        <w:t>年度决算对比情况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w:t>
      </w:r>
      <w:r>
        <w:rPr>
          <w:rFonts w:hint="eastAsia" w:ascii="Times New Roman" w:eastAsia="仿宋_GB2312"/>
          <w:b w:val="0"/>
          <w:sz w:val="32"/>
          <w:szCs w:val="32"/>
          <w:lang w:eastAsia="zh-CN"/>
        </w:rPr>
        <w:t>部门</w:t>
      </w:r>
      <w:r>
        <w:rPr>
          <w:rFonts w:ascii="Times New Roman" w:eastAsia="仿宋_GB2312"/>
          <w:b w:val="0"/>
          <w:sz w:val="32"/>
          <w:szCs w:val="32"/>
        </w:rPr>
        <w:t>2024年度财政拨款收、支总计（含结转和结余）均为104.71万元。与2023年度相比，财政拨款收支各增加14.62万元，增长16.2%，主要原因是</w:t>
      </w:r>
      <w:r>
        <w:rPr>
          <w:rFonts w:hint="eastAsia" w:ascii="仿宋_GB2312" w:eastAsia="仿宋_GB2312"/>
          <w:sz w:val="32"/>
          <w:szCs w:val="32"/>
          <w:lang w:eastAsia="zh-CN"/>
        </w:rPr>
        <w:t>一名退休人员死亡抚恤金造成</w:t>
      </w:r>
      <w:r>
        <w:rPr>
          <w:rFonts w:ascii="Times New Roman" w:eastAsia="仿宋_GB2312"/>
          <w:b w:val="0"/>
          <w:sz w:val="32"/>
          <w:szCs w:val="32"/>
        </w:rPr>
        <w:t>。</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w:t>
      </w:r>
      <w:r>
        <w:rPr>
          <w:rFonts w:hint="eastAsia" w:ascii="Times New Roman" w:eastAsia="仿宋_GB2312"/>
          <w:b w:val="0"/>
          <w:sz w:val="32"/>
          <w:szCs w:val="32"/>
          <w:lang w:eastAsia="zh-CN"/>
        </w:rPr>
        <w:t>部门</w:t>
      </w:r>
      <w:r>
        <w:rPr>
          <w:rFonts w:ascii="Times New Roman" w:eastAsia="仿宋_GB2312"/>
          <w:b w:val="0"/>
          <w:sz w:val="32"/>
          <w:szCs w:val="32"/>
        </w:rPr>
        <w:t>2024年度财政拨款本年收入104.71万元,比上年增加14.62万元，增长16.2%，主要原因是</w:t>
      </w:r>
      <w:r>
        <w:rPr>
          <w:rFonts w:hint="eastAsia" w:ascii="仿宋_GB2312" w:eastAsia="仿宋_GB2312"/>
          <w:sz w:val="32"/>
          <w:szCs w:val="32"/>
          <w:lang w:eastAsia="zh-CN"/>
        </w:rPr>
        <w:t>一名退休人员死亡抚恤金造成</w:t>
      </w:r>
      <w:r>
        <w:rPr>
          <w:rFonts w:ascii="Times New Roman" w:eastAsia="仿宋_GB2312"/>
          <w:b w:val="0"/>
          <w:sz w:val="32"/>
          <w:szCs w:val="32"/>
        </w:rPr>
        <w:t>；本年支出104.71万元，比上年增加14.62万元，增长16.2%，主要原因是</w:t>
      </w:r>
      <w:r>
        <w:rPr>
          <w:rFonts w:hint="eastAsia" w:ascii="仿宋_GB2312" w:eastAsia="仿宋_GB2312"/>
          <w:sz w:val="32"/>
          <w:szCs w:val="32"/>
          <w:lang w:eastAsia="zh-CN"/>
        </w:rPr>
        <w:t>一名退休人员死亡抚恤金造成</w:t>
      </w:r>
      <w:r>
        <w:rPr>
          <w:rFonts w:ascii="Times New Roman" w:eastAsia="仿宋_GB2312"/>
          <w:b w:val="0"/>
          <w:sz w:val="32"/>
          <w:szCs w:val="32"/>
        </w:rPr>
        <w:t>。具体情况如下：</w:t>
      </w:r>
    </w:p>
    <w:p>
      <w:pPr>
        <w:widowControl/>
        <w:spacing w:before="0" w:beforeLines="0" w:beforeAutospacing="0" w:after="0" w:afterLines="0" w:afterAutospacing="0" w:line="360" w:lineRule="auto"/>
        <w:ind w:firstLine="640" w:firstLineChars="200"/>
        <w:jc w:val="left"/>
        <w:outlineLvl w:val="1"/>
        <w:rPr>
          <w:rFonts w:ascii="Times New Roman" w:eastAsia="仿宋_GB2312"/>
          <w:sz w:val="32"/>
          <w:szCs w:val="32"/>
        </w:rPr>
      </w:pPr>
      <w:r>
        <w:rPr>
          <w:rFonts w:ascii="Times New Roman" w:eastAsia="仿宋_GB2312"/>
          <w:b w:val="0"/>
          <w:sz w:val="32"/>
          <w:szCs w:val="32"/>
        </w:rPr>
        <w:t>1.一般公共预算财政拨款本年收入104.71万元,比上年增加14.62万元，增长16.2%，主要原因是</w:t>
      </w:r>
      <w:r>
        <w:rPr>
          <w:rFonts w:hint="eastAsia" w:ascii="仿宋_GB2312" w:eastAsia="仿宋_GB2312"/>
          <w:sz w:val="32"/>
          <w:szCs w:val="32"/>
          <w:lang w:eastAsia="zh-CN"/>
        </w:rPr>
        <w:t>一名退休人员死亡抚恤金造成</w:t>
      </w:r>
      <w:r>
        <w:rPr>
          <w:rFonts w:ascii="Times New Roman" w:eastAsia="仿宋_GB2312"/>
          <w:b w:val="0"/>
          <w:sz w:val="32"/>
          <w:szCs w:val="32"/>
        </w:rPr>
        <w:t>；本年支出104.71万元，比上年增加14.62万元，增长16.2%，主要原因是</w:t>
      </w:r>
      <w:r>
        <w:rPr>
          <w:rFonts w:hint="eastAsia" w:ascii="仿宋_GB2312" w:eastAsia="仿宋_GB2312"/>
          <w:sz w:val="32"/>
          <w:szCs w:val="32"/>
          <w:lang w:eastAsia="zh-CN"/>
        </w:rPr>
        <w:t>一名退休人员死亡抚恤金造成</w:t>
      </w:r>
      <w:r>
        <w:rPr>
          <w:rFonts w:ascii="Times New Roman" w:eastAsia="仿宋_GB2312"/>
          <w:b w:val="0"/>
          <w:sz w:val="32"/>
          <w:szCs w:val="32"/>
        </w:rPr>
        <w:t>。</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2.政府性基金预算财政拨款本年收入</w:t>
      </w:r>
      <w:r>
        <w:rPr>
          <w:rFonts w:hint="eastAsia" w:ascii="Times New Roman" w:eastAsia="仿宋_GB2312"/>
          <w:b w:val="0"/>
          <w:sz w:val="32"/>
          <w:szCs w:val="32"/>
          <w:lang w:eastAsia="zh-CN"/>
        </w:rPr>
        <w:t>0</w:t>
      </w:r>
      <w:r>
        <w:rPr>
          <w:rFonts w:ascii="Times New Roman" w:eastAsia="仿宋_GB2312"/>
          <w:b w:val="0"/>
          <w:sz w:val="32"/>
          <w:szCs w:val="32"/>
        </w:rPr>
        <w:t>万元，比上年增加</w:t>
      </w:r>
      <w:r>
        <w:rPr>
          <w:rFonts w:hint="eastAsia" w:ascii="Times New Roman" w:eastAsia="仿宋_GB2312"/>
          <w:b w:val="0"/>
          <w:sz w:val="32"/>
          <w:szCs w:val="32"/>
          <w:lang w:eastAsia="zh-CN"/>
        </w:rPr>
        <w:t>0</w:t>
      </w:r>
      <w:r>
        <w:rPr>
          <w:rFonts w:ascii="Times New Roman" w:eastAsia="仿宋_GB2312"/>
          <w:b w:val="0"/>
          <w:sz w:val="32"/>
          <w:szCs w:val="32"/>
        </w:rPr>
        <w:t>万元，增长</w:t>
      </w:r>
      <w:r>
        <w:rPr>
          <w:rFonts w:hint="eastAsia" w:ascii="Times New Roman" w:eastAsia="仿宋_GB2312"/>
          <w:b w:val="0"/>
          <w:sz w:val="32"/>
          <w:szCs w:val="32"/>
          <w:lang w:eastAsia="zh-CN"/>
        </w:rPr>
        <w:t>0</w:t>
      </w:r>
      <w:r>
        <w:rPr>
          <w:rFonts w:ascii="Times New Roman" w:eastAsia="仿宋_GB2312"/>
          <w:b w:val="0"/>
          <w:sz w:val="32"/>
          <w:szCs w:val="32"/>
        </w:rPr>
        <w:t>%，主要原因是</w:t>
      </w:r>
      <w:r>
        <w:rPr>
          <w:rFonts w:hint="eastAsia" w:ascii="Times New Roman" w:eastAsia="仿宋_GB2312"/>
          <w:b w:val="0"/>
          <w:sz w:val="32"/>
          <w:szCs w:val="32"/>
          <w:lang w:val="en-US" w:eastAsia="zh-CN"/>
        </w:rPr>
        <w:t>无</w:t>
      </w:r>
      <w:r>
        <w:rPr>
          <w:rFonts w:ascii="Times New Roman" w:eastAsia="仿宋_GB2312"/>
          <w:b w:val="0"/>
          <w:sz w:val="32"/>
          <w:szCs w:val="32"/>
        </w:rPr>
        <w:t>政府性基金预算财政拨款；本年支出</w:t>
      </w:r>
      <w:r>
        <w:rPr>
          <w:rFonts w:hint="eastAsia" w:ascii="Times New Roman" w:eastAsia="仿宋_GB2312"/>
          <w:b w:val="0"/>
          <w:sz w:val="32"/>
          <w:szCs w:val="32"/>
          <w:lang w:eastAsia="zh-CN"/>
        </w:rPr>
        <w:t>0</w:t>
      </w:r>
      <w:r>
        <w:rPr>
          <w:rFonts w:ascii="Times New Roman" w:eastAsia="仿宋_GB2312"/>
          <w:b w:val="0"/>
          <w:sz w:val="32"/>
          <w:szCs w:val="32"/>
        </w:rPr>
        <w:t>万元，比上年增加</w:t>
      </w:r>
      <w:r>
        <w:rPr>
          <w:rFonts w:hint="eastAsia" w:ascii="Times New Roman" w:eastAsia="仿宋_GB2312"/>
          <w:b w:val="0"/>
          <w:sz w:val="32"/>
          <w:szCs w:val="32"/>
          <w:lang w:eastAsia="zh-CN"/>
        </w:rPr>
        <w:t>0</w:t>
      </w:r>
      <w:r>
        <w:rPr>
          <w:rFonts w:ascii="Times New Roman" w:eastAsia="仿宋_GB2312"/>
          <w:b w:val="0"/>
          <w:sz w:val="32"/>
          <w:szCs w:val="32"/>
        </w:rPr>
        <w:t>万元，增长</w:t>
      </w:r>
      <w:r>
        <w:rPr>
          <w:rFonts w:hint="eastAsia" w:ascii="Times New Roman" w:eastAsia="仿宋_GB2312"/>
          <w:b w:val="0"/>
          <w:sz w:val="32"/>
          <w:szCs w:val="32"/>
          <w:lang w:eastAsia="zh-CN"/>
        </w:rPr>
        <w:t>0</w:t>
      </w:r>
      <w:r>
        <w:rPr>
          <w:rFonts w:ascii="Times New Roman" w:eastAsia="仿宋_GB2312"/>
          <w:b w:val="0"/>
          <w:sz w:val="32"/>
          <w:szCs w:val="32"/>
        </w:rPr>
        <w:t>%，主要原因是</w:t>
      </w:r>
      <w:r>
        <w:rPr>
          <w:rFonts w:hint="eastAsia" w:ascii="Times New Roman" w:eastAsia="仿宋_GB2312"/>
          <w:b w:val="0"/>
          <w:sz w:val="32"/>
          <w:szCs w:val="32"/>
          <w:lang w:val="en-US" w:eastAsia="zh-CN"/>
        </w:rPr>
        <w:t>无</w:t>
      </w:r>
      <w:r>
        <w:rPr>
          <w:rFonts w:ascii="Times New Roman" w:eastAsia="仿宋_GB2312"/>
          <w:b w:val="0"/>
          <w:sz w:val="32"/>
          <w:szCs w:val="32"/>
        </w:rPr>
        <w:t>政府性基金预算财政拨款。</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3.国有资本经营预算财政拨款本年收入</w:t>
      </w:r>
      <w:r>
        <w:rPr>
          <w:rFonts w:hint="eastAsia" w:ascii="Times New Roman" w:eastAsia="仿宋_GB2312"/>
          <w:b w:val="0"/>
          <w:sz w:val="32"/>
          <w:szCs w:val="32"/>
          <w:lang w:eastAsia="zh-CN"/>
        </w:rPr>
        <w:t>0</w:t>
      </w:r>
      <w:r>
        <w:rPr>
          <w:rFonts w:ascii="Times New Roman" w:eastAsia="仿宋_GB2312"/>
          <w:b w:val="0"/>
          <w:sz w:val="32"/>
          <w:szCs w:val="32"/>
        </w:rPr>
        <w:t>万元，比上年增加</w:t>
      </w:r>
      <w:r>
        <w:rPr>
          <w:rFonts w:hint="eastAsia" w:ascii="Times New Roman" w:eastAsia="仿宋_GB2312"/>
          <w:b w:val="0"/>
          <w:sz w:val="32"/>
          <w:szCs w:val="32"/>
          <w:lang w:eastAsia="zh-CN"/>
        </w:rPr>
        <w:t>0</w:t>
      </w:r>
      <w:r>
        <w:rPr>
          <w:rFonts w:ascii="Times New Roman" w:eastAsia="仿宋_GB2312"/>
          <w:b w:val="0"/>
          <w:sz w:val="32"/>
          <w:szCs w:val="32"/>
        </w:rPr>
        <w:t>万元，增长</w:t>
      </w:r>
      <w:r>
        <w:rPr>
          <w:rFonts w:hint="eastAsia" w:ascii="Times New Roman" w:eastAsia="仿宋_GB2312"/>
          <w:b w:val="0"/>
          <w:sz w:val="32"/>
          <w:szCs w:val="32"/>
          <w:lang w:eastAsia="zh-CN"/>
        </w:rPr>
        <w:t>0</w:t>
      </w:r>
      <w:r>
        <w:rPr>
          <w:rFonts w:ascii="Times New Roman" w:eastAsia="仿宋_GB2312"/>
          <w:b w:val="0"/>
          <w:sz w:val="32"/>
          <w:szCs w:val="32"/>
        </w:rPr>
        <w:t>%，主要原因是</w:t>
      </w:r>
      <w:r>
        <w:rPr>
          <w:rFonts w:hint="eastAsia" w:ascii="Times New Roman" w:eastAsia="仿宋_GB2312"/>
          <w:b w:val="0"/>
          <w:sz w:val="32"/>
          <w:szCs w:val="32"/>
          <w:lang w:val="en-US" w:eastAsia="zh-CN"/>
        </w:rPr>
        <w:t>无</w:t>
      </w:r>
      <w:r>
        <w:rPr>
          <w:rFonts w:ascii="Times New Roman" w:eastAsia="仿宋_GB2312"/>
          <w:b w:val="0"/>
          <w:sz w:val="32"/>
          <w:szCs w:val="32"/>
        </w:rPr>
        <w:t>国有资本经营预算财政拨款；本年支出</w:t>
      </w:r>
      <w:r>
        <w:rPr>
          <w:rFonts w:hint="eastAsia" w:ascii="Times New Roman" w:eastAsia="仿宋_GB2312"/>
          <w:b w:val="0"/>
          <w:sz w:val="32"/>
          <w:szCs w:val="32"/>
          <w:lang w:eastAsia="zh-CN"/>
        </w:rPr>
        <w:t>0</w:t>
      </w:r>
      <w:r>
        <w:rPr>
          <w:rFonts w:ascii="Times New Roman" w:eastAsia="仿宋_GB2312"/>
          <w:b w:val="0"/>
          <w:sz w:val="32"/>
          <w:szCs w:val="32"/>
        </w:rPr>
        <w:t>万元，比上年增加</w:t>
      </w:r>
      <w:r>
        <w:rPr>
          <w:rFonts w:hint="eastAsia" w:ascii="Times New Roman" w:eastAsia="仿宋_GB2312"/>
          <w:b w:val="0"/>
          <w:sz w:val="32"/>
          <w:szCs w:val="32"/>
          <w:lang w:eastAsia="zh-CN"/>
        </w:rPr>
        <w:t>0</w:t>
      </w:r>
      <w:r>
        <w:rPr>
          <w:rFonts w:ascii="Times New Roman" w:eastAsia="仿宋_GB2312"/>
          <w:b w:val="0"/>
          <w:sz w:val="32"/>
          <w:szCs w:val="32"/>
        </w:rPr>
        <w:t>万元，增长</w:t>
      </w:r>
      <w:r>
        <w:rPr>
          <w:rFonts w:hint="eastAsia" w:ascii="Times New Roman" w:eastAsia="仿宋_GB2312"/>
          <w:b w:val="0"/>
          <w:sz w:val="32"/>
          <w:szCs w:val="32"/>
          <w:lang w:eastAsia="zh-CN"/>
        </w:rPr>
        <w:t>0</w:t>
      </w:r>
      <w:r>
        <w:rPr>
          <w:rFonts w:ascii="Times New Roman" w:eastAsia="仿宋_GB2312"/>
          <w:b w:val="0"/>
          <w:sz w:val="32"/>
          <w:szCs w:val="32"/>
        </w:rPr>
        <w:t>%，主要原因是</w:t>
      </w:r>
      <w:r>
        <w:rPr>
          <w:rFonts w:hint="eastAsia" w:ascii="Times New Roman" w:eastAsia="仿宋_GB2312"/>
          <w:b w:val="0"/>
          <w:sz w:val="32"/>
          <w:szCs w:val="32"/>
          <w:lang w:val="en-US" w:eastAsia="zh-CN"/>
        </w:rPr>
        <w:t>无</w:t>
      </w:r>
      <w:r>
        <w:rPr>
          <w:rFonts w:ascii="Times New Roman" w:eastAsia="仿宋_GB2312"/>
          <w:b w:val="0"/>
          <w:sz w:val="32"/>
          <w:szCs w:val="32"/>
        </w:rPr>
        <w:t>国有资本经营预算财政拨款。</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highlight w:val="none"/>
          <w:lang w:val="en-US" w:eastAsia="zh-CN"/>
        </w:rPr>
      </w:pPr>
      <w:r>
        <w:rPr>
          <w:rFonts w:ascii="Times New Roman" w:hAnsi="Times New Roman" w:eastAsia="仿宋_GB2312"/>
          <w:sz w:val="32"/>
          <w:szCs w:val="32"/>
        </w:rPr>
        <w:drawing>
          <wp:inline distT="0" distB="0" distL="114300" distR="114300">
            <wp:extent cx="5256530" cy="2988310"/>
            <wp:effectExtent l="5080" t="4445" r="8890" b="1714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（二）财政拨款收支与年初预算数对比情况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w:t>
      </w:r>
      <w:r>
        <w:rPr>
          <w:rFonts w:hint="eastAsia" w:ascii="Times New Roman" w:eastAsia="仿宋_GB2312"/>
          <w:b w:val="0"/>
          <w:sz w:val="32"/>
          <w:szCs w:val="32"/>
          <w:lang w:eastAsia="zh-CN"/>
        </w:rPr>
        <w:t>部门</w:t>
      </w:r>
      <w:r>
        <w:rPr>
          <w:rFonts w:ascii="Times New Roman" w:eastAsia="仿宋_GB2312"/>
          <w:b w:val="0"/>
          <w:sz w:val="32"/>
          <w:szCs w:val="32"/>
        </w:rPr>
        <w:t>2024年度财政拨款本年收入104.71万元，完成年初预算的13</w:t>
      </w:r>
      <w:r>
        <w:rPr>
          <w:rFonts w:hint="eastAsia" w:ascii="Times New Roman" w:eastAsia="仿宋_GB2312"/>
          <w:b w:val="0"/>
          <w:sz w:val="32"/>
          <w:szCs w:val="32"/>
          <w:lang w:eastAsia="zh-CN"/>
        </w:rPr>
        <w:t>0</w:t>
      </w:r>
      <w:r>
        <w:rPr>
          <w:rFonts w:ascii="Times New Roman" w:eastAsia="仿宋_GB2312"/>
          <w:b w:val="0"/>
          <w:sz w:val="32"/>
          <w:szCs w:val="32"/>
        </w:rPr>
        <w:t>%，比年初预算增加24.19万元，决算数大于预算数主要原因是</w:t>
      </w:r>
      <w:r>
        <w:rPr>
          <w:rFonts w:hint="eastAsia" w:ascii="仿宋_GB2312" w:eastAsia="仿宋_GB2312"/>
          <w:sz w:val="32"/>
          <w:szCs w:val="32"/>
          <w:lang w:eastAsia="zh-CN"/>
        </w:rPr>
        <w:t>一名退休人员死亡抚恤金造成</w:t>
      </w:r>
      <w:r>
        <w:rPr>
          <w:rFonts w:ascii="Times New Roman" w:eastAsia="仿宋_GB2312"/>
          <w:b w:val="0"/>
          <w:sz w:val="32"/>
          <w:szCs w:val="32"/>
        </w:rPr>
        <w:t>；本年支出104.71万元，完成年初预算的13</w:t>
      </w:r>
      <w:r>
        <w:rPr>
          <w:rFonts w:hint="eastAsia" w:ascii="Times New Roman" w:eastAsia="仿宋_GB2312"/>
          <w:b w:val="0"/>
          <w:sz w:val="32"/>
          <w:szCs w:val="32"/>
          <w:lang w:eastAsia="zh-CN"/>
        </w:rPr>
        <w:t>0</w:t>
      </w:r>
      <w:r>
        <w:rPr>
          <w:rFonts w:ascii="Times New Roman" w:eastAsia="仿宋_GB2312"/>
          <w:b w:val="0"/>
          <w:sz w:val="32"/>
          <w:szCs w:val="32"/>
        </w:rPr>
        <w:t>%，比年初预算增加24.19万元，决算数大于预算数主要原因是</w:t>
      </w:r>
      <w:r>
        <w:rPr>
          <w:rFonts w:hint="eastAsia" w:ascii="仿宋_GB2312" w:eastAsia="仿宋_GB2312"/>
          <w:sz w:val="32"/>
          <w:szCs w:val="32"/>
          <w:lang w:eastAsia="zh-CN"/>
        </w:rPr>
        <w:t>一名退休人员死亡抚恤金造成</w:t>
      </w:r>
      <w:r>
        <w:rPr>
          <w:rFonts w:ascii="Times New Roman" w:eastAsia="仿宋_GB2312"/>
          <w:b w:val="0"/>
          <w:sz w:val="32"/>
          <w:szCs w:val="32"/>
        </w:rPr>
        <w:t>。具体情况如下：</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1.一般公共预算财政拨款本年收入完成年初预算的13</w:t>
      </w:r>
      <w:r>
        <w:rPr>
          <w:rFonts w:hint="eastAsia" w:ascii="Times New Roman" w:eastAsia="仿宋_GB2312"/>
          <w:b w:val="0"/>
          <w:sz w:val="32"/>
          <w:szCs w:val="32"/>
          <w:lang w:eastAsia="zh-CN"/>
        </w:rPr>
        <w:t>0</w:t>
      </w:r>
      <w:r>
        <w:rPr>
          <w:rFonts w:ascii="Times New Roman" w:eastAsia="仿宋_GB2312"/>
          <w:b w:val="0"/>
          <w:sz w:val="32"/>
          <w:szCs w:val="32"/>
        </w:rPr>
        <w:t>%，比年初预算增加24.19万元，主要原因是</w:t>
      </w:r>
      <w:r>
        <w:rPr>
          <w:rFonts w:hint="eastAsia" w:ascii="仿宋_GB2312" w:eastAsia="仿宋_GB2312"/>
          <w:sz w:val="32"/>
          <w:szCs w:val="32"/>
          <w:lang w:eastAsia="zh-CN"/>
        </w:rPr>
        <w:t>一名退休人员死亡抚恤金造成</w:t>
      </w:r>
      <w:r>
        <w:rPr>
          <w:rFonts w:ascii="Times New Roman" w:eastAsia="仿宋_GB2312"/>
          <w:b w:val="0"/>
          <w:sz w:val="32"/>
          <w:szCs w:val="32"/>
        </w:rPr>
        <w:t>；支出完成年初预算的13</w:t>
      </w:r>
      <w:r>
        <w:rPr>
          <w:rFonts w:hint="eastAsia" w:ascii="Times New Roman" w:eastAsia="仿宋_GB2312"/>
          <w:b w:val="0"/>
          <w:sz w:val="32"/>
          <w:szCs w:val="32"/>
          <w:lang w:eastAsia="zh-CN"/>
        </w:rPr>
        <w:t>0</w:t>
      </w:r>
      <w:r>
        <w:rPr>
          <w:rFonts w:ascii="Times New Roman" w:eastAsia="仿宋_GB2312"/>
          <w:b w:val="0"/>
          <w:sz w:val="32"/>
          <w:szCs w:val="32"/>
        </w:rPr>
        <w:t>%，比年初预算增加24.19万元，主要原因是</w:t>
      </w:r>
      <w:r>
        <w:rPr>
          <w:rFonts w:hint="eastAsia" w:ascii="仿宋_GB2312" w:eastAsia="仿宋_GB2312"/>
          <w:sz w:val="32"/>
          <w:szCs w:val="32"/>
          <w:lang w:eastAsia="zh-CN"/>
        </w:rPr>
        <w:t>一名退休人员死亡抚恤金造成</w:t>
      </w:r>
      <w:r>
        <w:rPr>
          <w:rFonts w:ascii="Times New Roman" w:eastAsia="仿宋_GB2312"/>
          <w:b w:val="0"/>
          <w:sz w:val="32"/>
          <w:szCs w:val="32"/>
        </w:rPr>
        <w:t>。</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2.政府性基金预算财政拨款本年收入完成年初预算的</w:t>
      </w:r>
      <w:r>
        <w:rPr>
          <w:rFonts w:hint="eastAsia" w:ascii="Times New Roman" w:eastAsia="仿宋_GB2312"/>
          <w:b w:val="0"/>
          <w:sz w:val="32"/>
          <w:szCs w:val="32"/>
          <w:lang w:eastAsia="zh-CN"/>
        </w:rPr>
        <w:t>0</w:t>
      </w:r>
      <w:r>
        <w:rPr>
          <w:rFonts w:ascii="Times New Roman" w:eastAsia="仿宋_GB2312"/>
          <w:b w:val="0"/>
          <w:sz w:val="32"/>
          <w:szCs w:val="32"/>
        </w:rPr>
        <w:t>%，比年初预算增加</w:t>
      </w:r>
      <w:r>
        <w:rPr>
          <w:rFonts w:hint="eastAsia" w:ascii="Times New Roman" w:eastAsia="仿宋_GB2312"/>
          <w:b w:val="0"/>
          <w:sz w:val="32"/>
          <w:szCs w:val="32"/>
          <w:lang w:eastAsia="zh-CN"/>
        </w:rPr>
        <w:t>0</w:t>
      </w:r>
      <w:r>
        <w:rPr>
          <w:rFonts w:ascii="Times New Roman" w:eastAsia="仿宋_GB2312"/>
          <w:b w:val="0"/>
          <w:sz w:val="32"/>
          <w:szCs w:val="32"/>
        </w:rPr>
        <w:t>万元，主要原因是</w:t>
      </w:r>
      <w:r>
        <w:rPr>
          <w:rFonts w:hint="eastAsia" w:ascii="Times New Roman" w:eastAsia="仿宋_GB2312"/>
          <w:b w:val="0"/>
          <w:sz w:val="32"/>
          <w:szCs w:val="32"/>
          <w:lang w:val="en-US" w:eastAsia="zh-CN"/>
        </w:rPr>
        <w:t>无</w:t>
      </w:r>
      <w:r>
        <w:rPr>
          <w:rFonts w:ascii="Times New Roman" w:eastAsia="仿宋_GB2312"/>
          <w:b w:val="0"/>
          <w:sz w:val="32"/>
          <w:szCs w:val="32"/>
        </w:rPr>
        <w:t>政府性基金预算财政拨款；支出完成年初预算的</w:t>
      </w:r>
      <w:r>
        <w:rPr>
          <w:rFonts w:hint="eastAsia" w:ascii="Times New Roman" w:eastAsia="仿宋_GB2312"/>
          <w:b w:val="0"/>
          <w:sz w:val="32"/>
          <w:szCs w:val="32"/>
          <w:lang w:eastAsia="zh-CN"/>
        </w:rPr>
        <w:t>0</w:t>
      </w:r>
      <w:r>
        <w:rPr>
          <w:rFonts w:ascii="Times New Roman" w:eastAsia="仿宋_GB2312"/>
          <w:b w:val="0"/>
          <w:sz w:val="32"/>
          <w:szCs w:val="32"/>
        </w:rPr>
        <w:t>%，比年初预算增加</w:t>
      </w:r>
      <w:r>
        <w:rPr>
          <w:rFonts w:hint="eastAsia" w:ascii="Times New Roman" w:eastAsia="仿宋_GB2312"/>
          <w:b w:val="0"/>
          <w:sz w:val="32"/>
          <w:szCs w:val="32"/>
          <w:lang w:eastAsia="zh-CN"/>
        </w:rPr>
        <w:t>0</w:t>
      </w:r>
      <w:r>
        <w:rPr>
          <w:rFonts w:ascii="Times New Roman" w:eastAsia="仿宋_GB2312"/>
          <w:b w:val="0"/>
          <w:sz w:val="32"/>
          <w:szCs w:val="32"/>
        </w:rPr>
        <w:t>万元，主要原因是</w:t>
      </w:r>
      <w:r>
        <w:rPr>
          <w:rFonts w:hint="eastAsia" w:ascii="Times New Roman" w:eastAsia="仿宋_GB2312"/>
          <w:b w:val="0"/>
          <w:sz w:val="32"/>
          <w:szCs w:val="32"/>
          <w:lang w:val="en-US" w:eastAsia="zh-CN"/>
        </w:rPr>
        <w:t>无</w:t>
      </w:r>
      <w:r>
        <w:rPr>
          <w:rFonts w:ascii="Times New Roman" w:eastAsia="仿宋_GB2312"/>
          <w:b w:val="0"/>
          <w:sz w:val="32"/>
          <w:szCs w:val="32"/>
        </w:rPr>
        <w:t>政府性基金预算财政拨款。</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3.国有资本经营预算财政拨款本年收入完成年初预算的</w:t>
      </w:r>
      <w:r>
        <w:rPr>
          <w:rFonts w:hint="eastAsia" w:ascii="Times New Roman" w:eastAsia="仿宋_GB2312"/>
          <w:b w:val="0"/>
          <w:sz w:val="32"/>
          <w:szCs w:val="32"/>
          <w:lang w:eastAsia="zh-CN"/>
        </w:rPr>
        <w:t>0</w:t>
      </w:r>
      <w:r>
        <w:rPr>
          <w:rFonts w:ascii="Times New Roman" w:eastAsia="仿宋_GB2312"/>
          <w:b w:val="0"/>
          <w:sz w:val="32"/>
          <w:szCs w:val="32"/>
        </w:rPr>
        <w:t>%，比年初预算增加</w:t>
      </w:r>
      <w:r>
        <w:rPr>
          <w:rFonts w:hint="eastAsia" w:ascii="Times New Roman" w:eastAsia="仿宋_GB2312"/>
          <w:b w:val="0"/>
          <w:sz w:val="32"/>
          <w:szCs w:val="32"/>
          <w:lang w:eastAsia="zh-CN"/>
        </w:rPr>
        <w:t>0</w:t>
      </w:r>
      <w:r>
        <w:rPr>
          <w:rFonts w:ascii="Times New Roman" w:eastAsia="仿宋_GB2312"/>
          <w:b w:val="0"/>
          <w:sz w:val="32"/>
          <w:szCs w:val="32"/>
        </w:rPr>
        <w:t>万元，主要原因是</w:t>
      </w:r>
      <w:r>
        <w:rPr>
          <w:rFonts w:hint="eastAsia" w:ascii="Times New Roman" w:eastAsia="仿宋_GB2312"/>
          <w:b w:val="0"/>
          <w:sz w:val="32"/>
          <w:szCs w:val="32"/>
          <w:lang w:val="en-US" w:eastAsia="zh-CN"/>
        </w:rPr>
        <w:t>无</w:t>
      </w:r>
      <w:r>
        <w:rPr>
          <w:rFonts w:ascii="Times New Roman" w:eastAsia="仿宋_GB2312"/>
          <w:b w:val="0"/>
          <w:sz w:val="32"/>
          <w:szCs w:val="32"/>
        </w:rPr>
        <w:t>国有资本经营预算财政拨款；支出完成年初预算的</w:t>
      </w:r>
      <w:r>
        <w:rPr>
          <w:rFonts w:hint="eastAsia" w:ascii="Times New Roman" w:eastAsia="仿宋_GB2312"/>
          <w:b w:val="0"/>
          <w:sz w:val="32"/>
          <w:szCs w:val="32"/>
          <w:lang w:eastAsia="zh-CN"/>
        </w:rPr>
        <w:t>0</w:t>
      </w:r>
      <w:r>
        <w:rPr>
          <w:rFonts w:ascii="Times New Roman" w:eastAsia="仿宋_GB2312"/>
          <w:b w:val="0"/>
          <w:sz w:val="32"/>
          <w:szCs w:val="32"/>
        </w:rPr>
        <w:t>%，比年初预算增加</w:t>
      </w:r>
      <w:r>
        <w:rPr>
          <w:rFonts w:hint="eastAsia" w:ascii="Times New Roman" w:eastAsia="仿宋_GB2312"/>
          <w:b w:val="0"/>
          <w:sz w:val="32"/>
          <w:szCs w:val="32"/>
          <w:lang w:eastAsia="zh-CN"/>
        </w:rPr>
        <w:t>0</w:t>
      </w:r>
      <w:r>
        <w:rPr>
          <w:rFonts w:ascii="Times New Roman" w:eastAsia="仿宋_GB2312"/>
          <w:b w:val="0"/>
          <w:sz w:val="32"/>
          <w:szCs w:val="32"/>
        </w:rPr>
        <w:t>万元，主要原因是</w:t>
      </w:r>
      <w:r>
        <w:rPr>
          <w:rFonts w:hint="eastAsia" w:ascii="Times New Roman" w:eastAsia="仿宋_GB2312"/>
          <w:b w:val="0"/>
          <w:sz w:val="32"/>
          <w:szCs w:val="32"/>
          <w:lang w:val="en-US" w:eastAsia="zh-CN"/>
        </w:rPr>
        <w:t>无</w:t>
      </w:r>
      <w:r>
        <w:rPr>
          <w:rFonts w:ascii="Times New Roman" w:eastAsia="仿宋_GB2312"/>
          <w:b w:val="0"/>
          <w:sz w:val="32"/>
          <w:szCs w:val="32"/>
        </w:rPr>
        <w:t>国有资本经营预算财政拨款。</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Arial" w:cs="Times New Roman"/>
          <w:highlight w:val="none"/>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color w:val="auto"/>
          <w:kern w:val="0"/>
          <w:sz w:val="32"/>
          <w:szCs w:val="32"/>
          <w:highlight w:val="none"/>
          <w:lang w:val="en-US" w:eastAsia="zh-CN" w:bidi="ar-SA"/>
        </w:rPr>
      </w:pPr>
      <w:r>
        <w:rPr>
          <w:rFonts w:ascii="Times New Roman" w:hAnsi="Times New Roman" w:eastAsia="仿宋_GB2312"/>
          <w:sz w:val="32"/>
          <w:szCs w:val="32"/>
          <w:highlight w:val="none"/>
        </w:rPr>
        <w:drawing>
          <wp:inline distT="0" distB="0" distL="114300" distR="114300">
            <wp:extent cx="5256530" cy="2988310"/>
            <wp:effectExtent l="5080" t="4445" r="8890" b="1714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（三）财政拨款支出决算结构情况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2024年度财政拨款支出104.71万元，主要用于以下方面：</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一般公共预算财政拨款支出：</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一般公共服务（类）支出46.87万元，占44.8%，主要用于</w:t>
      </w:r>
      <w:r>
        <w:rPr>
          <w:rFonts w:hint="eastAsia" w:ascii="Times New Roman" w:eastAsia="仿宋_GB2312"/>
          <w:b w:val="0"/>
          <w:sz w:val="32"/>
          <w:szCs w:val="32"/>
          <w:lang w:val="en-US" w:eastAsia="zh-CN"/>
        </w:rPr>
        <w:t>人员工资、公用经费、项目支出</w:t>
      </w:r>
      <w:r>
        <w:rPr>
          <w:rFonts w:ascii="Times New Roman" w:eastAsia="仿宋_GB2312"/>
          <w:b w:val="0"/>
          <w:sz w:val="32"/>
          <w:szCs w:val="32"/>
        </w:rPr>
        <w:t>等支出；外交（类）支出0万元，占</w:t>
      </w:r>
      <w:r>
        <w:rPr>
          <w:rFonts w:hint="eastAsia" w:ascii="Times New Roman" w:eastAsia="仿宋_GB2312"/>
          <w:b w:val="0"/>
          <w:sz w:val="32"/>
          <w:szCs w:val="32"/>
          <w:lang w:eastAsia="zh-CN"/>
        </w:rPr>
        <w:t>0</w:t>
      </w:r>
      <w:r>
        <w:rPr>
          <w:rFonts w:ascii="Times New Roman" w:eastAsia="仿宋_GB2312"/>
          <w:b w:val="0"/>
          <w:sz w:val="32"/>
          <w:szCs w:val="32"/>
        </w:rPr>
        <w:t>%；国防（类）支出0万元，占0%</w:t>
      </w:r>
      <w:r>
        <w:rPr>
          <w:rFonts w:hint="eastAsia" w:ascii="Times New Roman" w:eastAsia="仿宋_GB2312"/>
          <w:b w:val="0"/>
          <w:sz w:val="32"/>
          <w:szCs w:val="32"/>
          <w:lang w:eastAsia="zh-CN"/>
        </w:rPr>
        <w:t>；</w:t>
      </w:r>
      <w:r>
        <w:rPr>
          <w:rFonts w:ascii="Times New Roman" w:eastAsia="仿宋_GB2312"/>
          <w:b w:val="0"/>
          <w:sz w:val="32"/>
          <w:szCs w:val="32"/>
        </w:rPr>
        <w:t>公共安全类（类）支出0万元，占0%</w:t>
      </w:r>
      <w:r>
        <w:rPr>
          <w:rFonts w:hint="eastAsia" w:ascii="Times New Roman" w:eastAsia="仿宋_GB2312"/>
          <w:b w:val="0"/>
          <w:sz w:val="32"/>
          <w:szCs w:val="32"/>
          <w:lang w:eastAsia="zh-CN"/>
        </w:rPr>
        <w:t>；</w:t>
      </w:r>
      <w:r>
        <w:rPr>
          <w:rFonts w:ascii="Times New Roman" w:eastAsia="仿宋_GB2312"/>
          <w:b w:val="0"/>
          <w:sz w:val="32"/>
          <w:szCs w:val="32"/>
        </w:rPr>
        <w:t>教育（类）支出0万元，占0%</w:t>
      </w:r>
      <w:r>
        <w:rPr>
          <w:rFonts w:hint="eastAsia" w:ascii="Times New Roman" w:eastAsia="仿宋_GB2312"/>
          <w:b w:val="0"/>
          <w:sz w:val="32"/>
          <w:szCs w:val="32"/>
          <w:lang w:eastAsia="zh-CN"/>
        </w:rPr>
        <w:t>；</w:t>
      </w:r>
      <w:r>
        <w:rPr>
          <w:rFonts w:ascii="Times New Roman" w:eastAsia="仿宋_GB2312"/>
          <w:b w:val="0"/>
          <w:sz w:val="32"/>
          <w:szCs w:val="32"/>
        </w:rPr>
        <w:t>科学技术（类）支出0万元，占0%</w:t>
      </w:r>
      <w:r>
        <w:rPr>
          <w:rFonts w:hint="eastAsia" w:ascii="Times New Roman" w:eastAsia="仿宋_GB2312"/>
          <w:b w:val="0"/>
          <w:sz w:val="32"/>
          <w:szCs w:val="32"/>
          <w:lang w:eastAsia="zh-CN"/>
        </w:rPr>
        <w:t>；</w:t>
      </w:r>
      <w:r>
        <w:rPr>
          <w:rFonts w:ascii="Times New Roman" w:eastAsia="仿宋_GB2312"/>
          <w:b w:val="0"/>
          <w:sz w:val="32"/>
          <w:szCs w:val="32"/>
        </w:rPr>
        <w:t>文化旅游体育与传媒（类）支出0万元，占0%</w:t>
      </w:r>
      <w:r>
        <w:rPr>
          <w:rFonts w:hint="eastAsia" w:ascii="Times New Roman" w:eastAsia="仿宋_GB2312"/>
          <w:b w:val="0"/>
          <w:sz w:val="32"/>
          <w:szCs w:val="32"/>
          <w:lang w:eastAsia="zh-CN"/>
        </w:rPr>
        <w:t>；</w:t>
      </w:r>
      <w:r>
        <w:rPr>
          <w:rFonts w:ascii="Times New Roman" w:eastAsia="仿宋_GB2312"/>
          <w:b w:val="0"/>
          <w:sz w:val="32"/>
          <w:szCs w:val="32"/>
        </w:rPr>
        <w:t>社会保障和就业（类）支出50.70万元，占48.4%，主要用于</w:t>
      </w:r>
      <w:r>
        <w:rPr>
          <w:rFonts w:hint="eastAsia" w:ascii="Times New Roman" w:eastAsia="仿宋_GB2312"/>
          <w:b w:val="0"/>
          <w:sz w:val="32"/>
          <w:szCs w:val="32"/>
          <w:lang w:val="en-US" w:eastAsia="zh-CN"/>
        </w:rPr>
        <w:t>机关单位负担养老保险</w:t>
      </w:r>
      <w:r>
        <w:rPr>
          <w:rFonts w:ascii="Times New Roman" w:eastAsia="仿宋_GB2312"/>
          <w:b w:val="0"/>
          <w:sz w:val="32"/>
          <w:szCs w:val="32"/>
        </w:rPr>
        <w:t>等支出；卫生健康（类）支出2.59万元，占2.5%，主要用于</w:t>
      </w:r>
      <w:r>
        <w:rPr>
          <w:rFonts w:hint="eastAsia" w:ascii="Times New Roman" w:eastAsia="仿宋_GB2312"/>
          <w:b w:val="0"/>
          <w:sz w:val="32"/>
          <w:szCs w:val="32"/>
          <w:lang w:val="en-US" w:eastAsia="zh-CN"/>
        </w:rPr>
        <w:t>机关单位负担医疗保险</w:t>
      </w:r>
      <w:r>
        <w:rPr>
          <w:rFonts w:ascii="Times New Roman" w:eastAsia="仿宋_GB2312"/>
          <w:b w:val="0"/>
          <w:sz w:val="32"/>
          <w:szCs w:val="32"/>
        </w:rPr>
        <w:t>等支出；节能环保（类）支出0万元，占0%</w:t>
      </w:r>
      <w:r>
        <w:rPr>
          <w:rFonts w:hint="eastAsia" w:ascii="Times New Roman" w:eastAsia="仿宋_GB2312"/>
          <w:b w:val="0"/>
          <w:sz w:val="32"/>
          <w:szCs w:val="32"/>
          <w:lang w:eastAsia="zh-CN"/>
        </w:rPr>
        <w:t>；</w:t>
      </w:r>
      <w:r>
        <w:rPr>
          <w:rFonts w:ascii="Times New Roman" w:eastAsia="仿宋_GB2312"/>
          <w:b w:val="0"/>
          <w:sz w:val="32"/>
          <w:szCs w:val="32"/>
        </w:rPr>
        <w:t>城乡社区（类）支出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农林水（类）支出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交通运输（类）支出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资源勘探信息等（类）支出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商业服务业等（类）支出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金融（类）支出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援助其他地区（类）支出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自然资源海洋气象等（类）支出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住房保障（类）支出4.56万元，占4.4%，主要用于</w:t>
      </w:r>
      <w:r>
        <w:rPr>
          <w:rFonts w:hint="eastAsia" w:ascii="Times New Roman" w:eastAsia="仿宋_GB2312"/>
          <w:b w:val="0"/>
          <w:sz w:val="32"/>
          <w:szCs w:val="32"/>
          <w:lang w:val="en-US" w:eastAsia="zh-CN"/>
        </w:rPr>
        <w:t>机关单位负担住房公积金</w:t>
      </w:r>
      <w:r>
        <w:rPr>
          <w:rFonts w:ascii="Times New Roman" w:eastAsia="仿宋_GB2312"/>
          <w:b w:val="0"/>
          <w:sz w:val="32"/>
          <w:szCs w:val="32"/>
        </w:rPr>
        <w:t>等支出；粮油物资储备（类）支出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国有资本经营预算支出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害防治及应急管理（类）支出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其他（类）支出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债务还本（类）支出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债务付息（类）支出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抗疫特别国债安排的支出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%，主要用于等支出。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政府性基金预算财政拨款支出：</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一般公共服务（类）支出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外交（类）支出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国防（类）支出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公共安全类（类）支出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教育（类）支出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科学技术（类）支出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文化旅游体育与传媒（类）支出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社会保障和就业（类）支出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卫生健康（类）支出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节能环保（类）支出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城乡社区（类）支出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农林水（类）支出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交通运输（类）支出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资源勘探信息等（类）支出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商业服务业等（类）支出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金融（类）支出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援助其他地区（类）支出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自然资源海洋气象等（类）支出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住房保障（类）支出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粮油物资储备（类）支出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国有资本经营预算支出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害防治及应急管理（类）支出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其他（类）支出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债务还本（类）支出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债务付息（类）支出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抗疫特别国债安排的支出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%，主要用于等支出。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国有资本经营预算财政拨款支出：</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一般公共服务（类）支出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外交（类）支出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国防（类）支出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公共安全（类）支出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教育（类）支出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科学技术（类）支出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文化旅游体育与传媒（类）支出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社会保障和就业（类）支出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卫生健康（类）支出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节能环保（类）支出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城乡社区（类）支出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农林水（类）支出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交通运输（类）支出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资源勘探信息等（类）支出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商业服务业等（类）支出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金融（类）支出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援助其他地区（类）支出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自然资源海洋气象等（类）支出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住房保障（类）支出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粮油物资储备（类）支出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国有资本经营预算支出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害防治及应急管理（类）支出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其他（类）支出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债务还本（类）支出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债务付息（类）支出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抗疫特别国债安排的支出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%，主要用于等支出。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ind w:left="0" w:right="0"/>
        <w:jc w:val="left"/>
        <w:textAlignment w:val="auto"/>
        <w:rPr>
          <w:rFonts w:hint="default" w:ascii="Times New Roman" w:hAnsi="Times New Roman" w:eastAsia="仿宋_GB2312" w:cs="Times New Roman"/>
          <w:color w:val="auto"/>
          <w:kern w:val="2"/>
          <w:sz w:val="32"/>
          <w:szCs w:val="32"/>
          <w:lang w:val="zh-CN" w:eastAsia="zh-CN" w:bidi="ar-SA"/>
        </w:rPr>
      </w:pPr>
      <w:r>
        <w:rPr>
          <w:rFonts w:ascii="Times New Roman" w:hAnsi="Times New Roman" w:eastAsia="仿宋_GB2312"/>
          <w:kern w:val="2"/>
          <w:sz w:val="32"/>
          <w:szCs w:val="32"/>
          <w:lang w:val="zh-CN"/>
        </w:rPr>
        <w:drawing>
          <wp:inline distT="0" distB="0" distL="114300" distR="114300">
            <wp:extent cx="5859145" cy="2988310"/>
            <wp:effectExtent l="5080" t="4445" r="15875" b="1714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（四）一般公共预算基本支出决算情况说明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2024年度财政拨款基本支出80.49万元，其中：</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人员经费80.49万元，主要包括基本工资、津贴补贴、奖金、伙食补助费、绩效工资、机关事业</w:t>
      </w:r>
      <w:r>
        <w:rPr>
          <w:rFonts w:hint="eastAsia" w:ascii="Times New Roman" w:eastAsia="仿宋_GB2312"/>
          <w:b w:val="0"/>
          <w:sz w:val="32"/>
          <w:szCs w:val="32"/>
          <w:lang w:eastAsia="zh-CN"/>
        </w:rPr>
        <w:t>单位</w:t>
      </w:r>
      <w:r>
        <w:rPr>
          <w:rFonts w:ascii="Times New Roman" w:eastAsia="仿宋_GB2312"/>
          <w:b w:val="0"/>
          <w:sz w:val="32"/>
          <w:szCs w:val="32"/>
        </w:rPr>
        <w:t>基本养老保险缴费、职业年金缴费、职工基本医疗保险缴费、公务员医疗补助缴费、住房公积金、医疗费、其他社会保障缴费、其他工资福利支出、离休费、退休费、抚恤金、生活补助、医疗费补助、奖励金、其他对个人和家庭的补助支出。</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公用经费</w:t>
      </w:r>
      <w:r>
        <w:rPr>
          <w:rFonts w:hint="eastAsia" w:ascii="Times New Roman" w:eastAsia="仿宋_GB2312"/>
          <w:b w:val="0"/>
          <w:sz w:val="32"/>
          <w:szCs w:val="32"/>
          <w:lang w:eastAsia="zh-CN"/>
        </w:rPr>
        <w:t>0</w:t>
      </w:r>
      <w:r>
        <w:rPr>
          <w:rFonts w:ascii="Times New Roman" w:eastAsia="仿宋_GB2312"/>
          <w:b w:val="0"/>
          <w:sz w:val="32"/>
          <w:szCs w:val="32"/>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五、财政拨款“三公”经费支出决算情况说明</w:t>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（一）“三公”经费财政拨款支出决算总体情况说明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w:t>
      </w:r>
      <w:r>
        <w:rPr>
          <w:rFonts w:hint="eastAsia" w:ascii="Times New Roman" w:eastAsia="仿宋_GB2312"/>
          <w:b w:val="0"/>
          <w:sz w:val="32"/>
          <w:szCs w:val="32"/>
          <w:lang w:eastAsia="zh-CN"/>
        </w:rPr>
        <w:t>部门</w:t>
      </w:r>
      <w:r>
        <w:rPr>
          <w:rFonts w:ascii="Times New Roman" w:eastAsia="仿宋_GB2312"/>
          <w:b w:val="0"/>
          <w:sz w:val="32"/>
          <w:szCs w:val="32"/>
        </w:rPr>
        <w:t>2024年度“三公”经费财政拨款支出预算为</w:t>
      </w:r>
      <w:r>
        <w:rPr>
          <w:rFonts w:hint="eastAsia" w:ascii="Times New Roman" w:eastAsia="仿宋_GB2312"/>
          <w:b w:val="0"/>
          <w:sz w:val="32"/>
          <w:szCs w:val="32"/>
          <w:lang w:eastAsia="zh-CN"/>
        </w:rPr>
        <w:t>0</w:t>
      </w:r>
      <w:r>
        <w:rPr>
          <w:rFonts w:ascii="Times New Roman" w:eastAsia="仿宋_GB2312"/>
          <w:b w:val="0"/>
          <w:sz w:val="32"/>
          <w:szCs w:val="32"/>
        </w:rPr>
        <w:t>万元，支出决算为</w:t>
      </w:r>
      <w:r>
        <w:rPr>
          <w:rFonts w:hint="eastAsia" w:ascii="Times New Roman" w:eastAsia="仿宋_GB2312"/>
          <w:b w:val="0"/>
          <w:sz w:val="32"/>
          <w:szCs w:val="32"/>
          <w:lang w:eastAsia="zh-CN"/>
        </w:rPr>
        <w:t>0</w:t>
      </w:r>
      <w:r>
        <w:rPr>
          <w:rFonts w:ascii="Times New Roman" w:eastAsia="仿宋_GB2312"/>
          <w:b w:val="0"/>
          <w:sz w:val="32"/>
          <w:szCs w:val="32"/>
        </w:rPr>
        <w:t>万元，完成预算的</w:t>
      </w:r>
      <w:r>
        <w:rPr>
          <w:rFonts w:hint="eastAsia" w:ascii="Times New Roman" w:eastAsia="仿宋_GB2312"/>
          <w:b w:val="0"/>
          <w:sz w:val="32"/>
          <w:szCs w:val="32"/>
          <w:lang w:eastAsia="zh-CN"/>
        </w:rPr>
        <w:t>0</w:t>
      </w:r>
      <w:r>
        <w:rPr>
          <w:rFonts w:ascii="Times New Roman" w:eastAsia="仿宋_GB2312"/>
          <w:b w:val="0"/>
          <w:sz w:val="32"/>
          <w:szCs w:val="32"/>
        </w:rPr>
        <w:t>%，较预算增加</w:t>
      </w:r>
      <w:r>
        <w:rPr>
          <w:rFonts w:hint="eastAsia" w:ascii="Times New Roman" w:eastAsia="仿宋_GB2312"/>
          <w:b w:val="0"/>
          <w:sz w:val="32"/>
          <w:szCs w:val="32"/>
          <w:lang w:eastAsia="zh-CN"/>
        </w:rPr>
        <w:t>0</w:t>
      </w:r>
      <w:r>
        <w:rPr>
          <w:rFonts w:ascii="Times New Roman" w:eastAsia="仿宋_GB2312"/>
          <w:b w:val="0"/>
          <w:sz w:val="32"/>
          <w:szCs w:val="32"/>
        </w:rPr>
        <w:t>万元，增长</w:t>
      </w:r>
      <w:r>
        <w:rPr>
          <w:rFonts w:hint="eastAsia" w:ascii="Times New Roman" w:eastAsia="仿宋_GB2312"/>
          <w:b w:val="0"/>
          <w:sz w:val="32"/>
          <w:szCs w:val="32"/>
          <w:lang w:eastAsia="zh-CN"/>
        </w:rPr>
        <w:t>0</w:t>
      </w:r>
      <w:r>
        <w:rPr>
          <w:rFonts w:ascii="Times New Roman" w:eastAsia="仿宋_GB2312"/>
          <w:b w:val="0"/>
          <w:sz w:val="32"/>
          <w:szCs w:val="32"/>
        </w:rPr>
        <w:t>%，主要原因是</w:t>
      </w:r>
      <w:r>
        <w:rPr>
          <w:rFonts w:hint="eastAsia" w:ascii="Times New Roman" w:eastAsia="仿宋_GB2312"/>
          <w:b w:val="0"/>
          <w:sz w:val="32"/>
          <w:szCs w:val="32"/>
          <w:lang w:val="en-US" w:eastAsia="zh-CN"/>
        </w:rPr>
        <w:t>本部门无</w:t>
      </w:r>
      <w:r>
        <w:rPr>
          <w:rFonts w:ascii="Times New Roman" w:eastAsia="仿宋_GB2312"/>
          <w:b w:val="0"/>
          <w:sz w:val="32"/>
          <w:szCs w:val="32"/>
        </w:rPr>
        <w:t>“三公”经费财政拨款；较2023年度决算增加</w:t>
      </w:r>
      <w:r>
        <w:rPr>
          <w:rFonts w:hint="eastAsia" w:ascii="Times New Roman" w:eastAsia="仿宋_GB2312"/>
          <w:b w:val="0"/>
          <w:sz w:val="32"/>
          <w:szCs w:val="32"/>
          <w:lang w:eastAsia="zh-CN"/>
        </w:rPr>
        <w:t>0</w:t>
      </w:r>
      <w:r>
        <w:rPr>
          <w:rFonts w:ascii="Times New Roman" w:eastAsia="仿宋_GB2312"/>
          <w:b w:val="0"/>
          <w:sz w:val="32"/>
          <w:szCs w:val="32"/>
        </w:rPr>
        <w:t>万元，增长</w:t>
      </w:r>
      <w:r>
        <w:rPr>
          <w:rFonts w:hint="eastAsia" w:ascii="Times New Roman" w:eastAsia="仿宋_GB2312"/>
          <w:b w:val="0"/>
          <w:sz w:val="32"/>
          <w:szCs w:val="32"/>
          <w:lang w:eastAsia="zh-CN"/>
        </w:rPr>
        <w:t>0</w:t>
      </w:r>
      <w:r>
        <w:rPr>
          <w:rFonts w:ascii="Times New Roman" w:eastAsia="仿宋_GB2312"/>
          <w:b w:val="0"/>
          <w:sz w:val="32"/>
          <w:szCs w:val="32"/>
        </w:rPr>
        <w:t>%，主要原因是</w:t>
      </w:r>
      <w:r>
        <w:rPr>
          <w:rFonts w:hint="eastAsia" w:ascii="Times New Roman" w:eastAsia="仿宋_GB2312"/>
          <w:b w:val="0"/>
          <w:sz w:val="32"/>
          <w:szCs w:val="32"/>
          <w:lang w:val="en-US" w:eastAsia="zh-CN"/>
        </w:rPr>
        <w:t>本部门无</w:t>
      </w:r>
      <w:r>
        <w:rPr>
          <w:rFonts w:ascii="Times New Roman" w:eastAsia="仿宋_GB2312"/>
          <w:b w:val="0"/>
          <w:sz w:val="32"/>
          <w:szCs w:val="32"/>
        </w:rPr>
        <w:t>“三公”经费财政拨款。</w:t>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（二）“三公”经费财政拨款支出决算具体情况说明</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楷体_GB2312"/>
          <w:b/>
          <w:sz w:val="32"/>
          <w:szCs w:val="32"/>
        </w:rPr>
        <w:t>1.因公出国（境）费支出情况。</w:t>
      </w:r>
      <w:r>
        <w:rPr>
          <w:rFonts w:ascii="Times New Roman" w:eastAsia="仿宋_GB2312"/>
          <w:b w:val="0"/>
          <w:sz w:val="32"/>
          <w:szCs w:val="32"/>
        </w:rPr>
        <w:t>本</w:t>
      </w:r>
      <w:r>
        <w:rPr>
          <w:rFonts w:hint="eastAsia" w:ascii="Times New Roman" w:eastAsia="仿宋_GB2312"/>
          <w:b w:val="0"/>
          <w:sz w:val="32"/>
          <w:szCs w:val="32"/>
          <w:lang w:eastAsia="zh-CN"/>
        </w:rPr>
        <w:t>部门</w:t>
      </w:r>
      <w:r>
        <w:rPr>
          <w:rFonts w:ascii="Times New Roman" w:eastAsia="仿宋_GB2312"/>
          <w:b w:val="0"/>
          <w:sz w:val="32"/>
          <w:szCs w:val="32"/>
        </w:rPr>
        <w:t>2024年度因公出国（境）费支出预算为</w:t>
      </w:r>
      <w:r>
        <w:rPr>
          <w:rFonts w:hint="eastAsia" w:ascii="Times New Roman" w:eastAsia="仿宋_GB2312"/>
          <w:b w:val="0"/>
          <w:sz w:val="32"/>
          <w:szCs w:val="32"/>
          <w:lang w:eastAsia="zh-CN"/>
        </w:rPr>
        <w:t>0</w:t>
      </w:r>
      <w:r>
        <w:rPr>
          <w:rFonts w:ascii="Times New Roman" w:eastAsia="仿宋_GB2312"/>
          <w:b w:val="0"/>
          <w:sz w:val="32"/>
          <w:szCs w:val="32"/>
        </w:rPr>
        <w:t>万元,支出决算</w:t>
      </w:r>
      <w:r>
        <w:rPr>
          <w:rFonts w:hint="eastAsia" w:ascii="Times New Roman" w:eastAsia="仿宋_GB2312"/>
          <w:b w:val="0"/>
          <w:sz w:val="32"/>
          <w:szCs w:val="32"/>
          <w:lang w:eastAsia="zh-CN"/>
        </w:rPr>
        <w:t>0</w:t>
      </w:r>
      <w:r>
        <w:rPr>
          <w:rFonts w:ascii="Times New Roman" w:eastAsia="仿宋_GB2312"/>
          <w:b w:val="0"/>
          <w:sz w:val="32"/>
          <w:szCs w:val="32"/>
        </w:rPr>
        <w:t>万元。完成预算的</w:t>
      </w:r>
      <w:r>
        <w:rPr>
          <w:rFonts w:hint="eastAsia" w:ascii="Times New Roman" w:eastAsia="仿宋_GB2312"/>
          <w:b w:val="0"/>
          <w:sz w:val="32"/>
          <w:szCs w:val="32"/>
          <w:lang w:eastAsia="zh-CN"/>
        </w:rPr>
        <w:t>0</w:t>
      </w:r>
      <w:r>
        <w:rPr>
          <w:rFonts w:ascii="Times New Roman" w:eastAsia="仿宋_GB2312"/>
          <w:b w:val="0"/>
          <w:sz w:val="32"/>
          <w:szCs w:val="32"/>
        </w:rPr>
        <w:t>%。因公出国（境）费支出较预算增加</w:t>
      </w:r>
      <w:r>
        <w:rPr>
          <w:rFonts w:hint="eastAsia" w:ascii="Times New Roman" w:eastAsia="仿宋_GB2312"/>
          <w:b w:val="0"/>
          <w:sz w:val="32"/>
          <w:szCs w:val="32"/>
          <w:lang w:eastAsia="zh-CN"/>
        </w:rPr>
        <w:t>0</w:t>
      </w:r>
      <w:r>
        <w:rPr>
          <w:rFonts w:ascii="Times New Roman" w:eastAsia="仿宋_GB2312"/>
          <w:b w:val="0"/>
          <w:sz w:val="32"/>
          <w:szCs w:val="32"/>
        </w:rPr>
        <w:t>万元，增长</w:t>
      </w:r>
      <w:r>
        <w:rPr>
          <w:rFonts w:hint="eastAsia" w:ascii="Times New Roman" w:eastAsia="仿宋_GB2312"/>
          <w:b w:val="0"/>
          <w:sz w:val="32"/>
          <w:szCs w:val="32"/>
          <w:lang w:eastAsia="zh-CN"/>
        </w:rPr>
        <w:t>0</w:t>
      </w:r>
      <w:r>
        <w:rPr>
          <w:rFonts w:ascii="Times New Roman" w:eastAsia="仿宋_GB2312"/>
          <w:b w:val="0"/>
          <w:sz w:val="32"/>
          <w:szCs w:val="32"/>
        </w:rPr>
        <w:t>%,主要原因是</w:t>
      </w:r>
      <w:r>
        <w:rPr>
          <w:rFonts w:hint="eastAsia" w:ascii="Times New Roman" w:eastAsia="仿宋_GB2312"/>
          <w:b w:val="0"/>
          <w:sz w:val="32"/>
          <w:szCs w:val="32"/>
          <w:lang w:val="en-US" w:eastAsia="zh-CN"/>
        </w:rPr>
        <w:t>本部门无</w:t>
      </w:r>
      <w:r>
        <w:rPr>
          <w:rFonts w:ascii="Times New Roman" w:eastAsia="仿宋_GB2312"/>
          <w:b w:val="0"/>
          <w:sz w:val="32"/>
          <w:szCs w:val="32"/>
        </w:rPr>
        <w:t>因公出国（境）费；较上年增加</w:t>
      </w:r>
      <w:r>
        <w:rPr>
          <w:rFonts w:hint="eastAsia" w:ascii="Times New Roman" w:eastAsia="仿宋_GB2312"/>
          <w:b w:val="0"/>
          <w:sz w:val="32"/>
          <w:szCs w:val="32"/>
          <w:lang w:eastAsia="zh-CN"/>
        </w:rPr>
        <w:t>0</w:t>
      </w:r>
      <w:r>
        <w:rPr>
          <w:rFonts w:ascii="Times New Roman" w:eastAsia="仿宋_GB2312"/>
          <w:b w:val="0"/>
          <w:sz w:val="32"/>
          <w:szCs w:val="32"/>
        </w:rPr>
        <w:t>万元，增长</w:t>
      </w:r>
      <w:r>
        <w:rPr>
          <w:rFonts w:hint="eastAsia" w:ascii="Times New Roman" w:eastAsia="仿宋_GB2312"/>
          <w:b w:val="0"/>
          <w:sz w:val="32"/>
          <w:szCs w:val="32"/>
          <w:lang w:eastAsia="zh-CN"/>
        </w:rPr>
        <w:t>0</w:t>
      </w:r>
      <w:r>
        <w:rPr>
          <w:rFonts w:ascii="Times New Roman" w:eastAsia="仿宋_GB2312"/>
          <w:b w:val="0"/>
          <w:sz w:val="32"/>
          <w:szCs w:val="32"/>
        </w:rPr>
        <w:t>%,主要原因是</w:t>
      </w:r>
      <w:r>
        <w:rPr>
          <w:rFonts w:hint="eastAsia" w:ascii="Times New Roman" w:eastAsia="仿宋_GB2312"/>
          <w:b w:val="0"/>
          <w:sz w:val="32"/>
          <w:szCs w:val="32"/>
          <w:lang w:val="en-US" w:eastAsia="zh-CN"/>
        </w:rPr>
        <w:t>本部门无</w:t>
      </w:r>
      <w:r>
        <w:rPr>
          <w:rFonts w:ascii="Times New Roman" w:eastAsia="仿宋_GB2312"/>
          <w:b w:val="0"/>
          <w:sz w:val="32"/>
          <w:szCs w:val="32"/>
        </w:rPr>
        <w:t>因公出国（境）费。因公出国（境）团组0个、共0人、参加其他</w:t>
      </w:r>
      <w:r>
        <w:rPr>
          <w:rFonts w:hint="eastAsia" w:ascii="Times New Roman" w:eastAsia="仿宋_GB2312"/>
          <w:b w:val="0"/>
          <w:sz w:val="32"/>
          <w:szCs w:val="32"/>
          <w:lang w:eastAsia="zh-CN"/>
        </w:rPr>
        <w:t>部门</w:t>
      </w:r>
      <w:r>
        <w:rPr>
          <w:rFonts w:ascii="Times New Roman" w:eastAsia="仿宋_GB2312"/>
          <w:b w:val="0"/>
          <w:sz w:val="32"/>
          <w:szCs w:val="32"/>
        </w:rPr>
        <w:t>组织的因公出国（境）团组个、共人/无本</w:t>
      </w:r>
      <w:r>
        <w:rPr>
          <w:rFonts w:hint="eastAsia" w:ascii="Times New Roman" w:eastAsia="仿宋_GB2312"/>
          <w:b w:val="0"/>
          <w:sz w:val="32"/>
          <w:szCs w:val="32"/>
          <w:lang w:val="en-US" w:eastAsia="zh-CN"/>
        </w:rPr>
        <w:t>部门</w:t>
      </w:r>
      <w:r>
        <w:rPr>
          <w:rFonts w:ascii="Times New Roman" w:eastAsia="仿宋_GB2312"/>
          <w:b w:val="0"/>
          <w:sz w:val="32"/>
          <w:szCs w:val="32"/>
        </w:rPr>
        <w:t>组织的出国（境）团组。</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楷体_GB2312"/>
          <w:b/>
          <w:sz w:val="32"/>
          <w:szCs w:val="32"/>
        </w:rPr>
        <w:t>2.公务用车购置及运行维护费支出情况。</w:t>
      </w:r>
      <w:r>
        <w:rPr>
          <w:rFonts w:ascii="Times New Roman" w:eastAsia="仿宋_GB2312"/>
          <w:b w:val="0"/>
          <w:sz w:val="32"/>
          <w:szCs w:val="32"/>
        </w:rPr>
        <w:t>本</w:t>
      </w:r>
      <w:r>
        <w:rPr>
          <w:rFonts w:hint="eastAsia" w:ascii="Times New Roman" w:eastAsia="仿宋_GB2312"/>
          <w:b w:val="0"/>
          <w:sz w:val="32"/>
          <w:szCs w:val="32"/>
          <w:lang w:eastAsia="zh-CN"/>
        </w:rPr>
        <w:t>部门</w:t>
      </w:r>
      <w:r>
        <w:rPr>
          <w:rFonts w:ascii="Times New Roman" w:eastAsia="仿宋_GB2312"/>
          <w:b w:val="0"/>
          <w:sz w:val="32"/>
          <w:szCs w:val="32"/>
        </w:rPr>
        <w:t>2024年度公务用车购置及运行维护费预算为</w:t>
      </w:r>
      <w:r>
        <w:rPr>
          <w:rFonts w:hint="eastAsia" w:ascii="Times New Roman" w:eastAsia="仿宋_GB2312"/>
          <w:b w:val="0"/>
          <w:sz w:val="32"/>
          <w:szCs w:val="32"/>
          <w:lang w:eastAsia="zh-CN"/>
        </w:rPr>
        <w:t>0</w:t>
      </w:r>
      <w:r>
        <w:rPr>
          <w:rFonts w:ascii="Times New Roman" w:eastAsia="仿宋_GB2312"/>
          <w:b w:val="0"/>
          <w:sz w:val="32"/>
          <w:szCs w:val="32"/>
        </w:rPr>
        <w:t>万元，支出决算</w:t>
      </w:r>
      <w:r>
        <w:rPr>
          <w:rFonts w:hint="eastAsia" w:ascii="Times New Roman" w:eastAsia="仿宋_GB2312"/>
          <w:b w:val="0"/>
          <w:sz w:val="32"/>
          <w:szCs w:val="32"/>
          <w:lang w:eastAsia="zh-CN"/>
        </w:rPr>
        <w:t>0</w:t>
      </w:r>
      <w:r>
        <w:rPr>
          <w:rFonts w:ascii="Times New Roman" w:eastAsia="仿宋_GB2312"/>
          <w:b w:val="0"/>
          <w:sz w:val="32"/>
          <w:szCs w:val="32"/>
        </w:rPr>
        <w:t>万元，完成预算的</w:t>
      </w:r>
      <w:r>
        <w:rPr>
          <w:rFonts w:hint="eastAsia" w:ascii="Times New Roman" w:eastAsia="仿宋_GB2312"/>
          <w:b w:val="0"/>
          <w:sz w:val="32"/>
          <w:szCs w:val="32"/>
          <w:lang w:eastAsia="zh-CN"/>
        </w:rPr>
        <w:t>0</w:t>
      </w:r>
      <w:r>
        <w:rPr>
          <w:rFonts w:ascii="Times New Roman" w:eastAsia="仿宋_GB2312"/>
          <w:b w:val="0"/>
          <w:sz w:val="32"/>
          <w:szCs w:val="32"/>
        </w:rPr>
        <w:t>%,较预算增加</w:t>
      </w:r>
      <w:r>
        <w:rPr>
          <w:rFonts w:hint="eastAsia" w:ascii="Times New Roman" w:eastAsia="仿宋_GB2312"/>
          <w:b w:val="0"/>
          <w:sz w:val="32"/>
          <w:szCs w:val="32"/>
          <w:lang w:eastAsia="zh-CN"/>
        </w:rPr>
        <w:t>0</w:t>
      </w:r>
      <w:r>
        <w:rPr>
          <w:rFonts w:ascii="Times New Roman" w:eastAsia="仿宋_GB2312"/>
          <w:b w:val="0"/>
          <w:sz w:val="32"/>
          <w:szCs w:val="32"/>
        </w:rPr>
        <w:t>万元，增长</w:t>
      </w:r>
      <w:r>
        <w:rPr>
          <w:rFonts w:hint="eastAsia" w:ascii="Times New Roman" w:eastAsia="仿宋_GB2312"/>
          <w:b w:val="0"/>
          <w:sz w:val="32"/>
          <w:szCs w:val="32"/>
          <w:lang w:eastAsia="zh-CN"/>
        </w:rPr>
        <w:t>0</w:t>
      </w:r>
      <w:r>
        <w:rPr>
          <w:rFonts w:ascii="Times New Roman" w:eastAsia="仿宋_GB2312"/>
          <w:b w:val="0"/>
          <w:sz w:val="32"/>
          <w:szCs w:val="32"/>
        </w:rPr>
        <w:t>%,主要原因是</w:t>
      </w:r>
      <w:r>
        <w:rPr>
          <w:rFonts w:hint="eastAsia" w:ascii="Times New Roman" w:eastAsia="仿宋_GB2312"/>
          <w:b w:val="0"/>
          <w:sz w:val="32"/>
          <w:szCs w:val="32"/>
          <w:lang w:val="en-US" w:eastAsia="zh-CN"/>
        </w:rPr>
        <w:t>本部门无公务用车</w:t>
      </w:r>
      <w:r>
        <w:rPr>
          <w:rFonts w:ascii="Times New Roman" w:eastAsia="仿宋_GB2312"/>
          <w:b w:val="0"/>
          <w:sz w:val="32"/>
          <w:szCs w:val="32"/>
        </w:rPr>
        <w:t>；较上年增加</w:t>
      </w:r>
      <w:r>
        <w:rPr>
          <w:rFonts w:hint="eastAsia" w:ascii="Times New Roman" w:eastAsia="仿宋_GB2312"/>
          <w:b w:val="0"/>
          <w:sz w:val="32"/>
          <w:szCs w:val="32"/>
          <w:lang w:eastAsia="zh-CN"/>
        </w:rPr>
        <w:t>0</w:t>
      </w:r>
      <w:r>
        <w:rPr>
          <w:rFonts w:ascii="Times New Roman" w:eastAsia="仿宋_GB2312"/>
          <w:b w:val="0"/>
          <w:sz w:val="32"/>
          <w:szCs w:val="32"/>
        </w:rPr>
        <w:t>万元，增长</w:t>
      </w:r>
      <w:r>
        <w:rPr>
          <w:rFonts w:hint="eastAsia" w:ascii="Times New Roman" w:eastAsia="仿宋_GB2312"/>
          <w:b w:val="0"/>
          <w:sz w:val="32"/>
          <w:szCs w:val="32"/>
          <w:lang w:eastAsia="zh-CN"/>
        </w:rPr>
        <w:t>0</w:t>
      </w:r>
      <w:r>
        <w:rPr>
          <w:rFonts w:ascii="Times New Roman" w:eastAsia="仿宋_GB2312"/>
          <w:b w:val="0"/>
          <w:sz w:val="32"/>
          <w:szCs w:val="32"/>
        </w:rPr>
        <w:t>%,主要原因是</w:t>
      </w:r>
      <w:r>
        <w:rPr>
          <w:rFonts w:hint="eastAsia" w:ascii="Times New Roman" w:eastAsia="仿宋_GB2312"/>
          <w:b w:val="0"/>
          <w:sz w:val="32"/>
          <w:szCs w:val="32"/>
          <w:lang w:val="en-US" w:eastAsia="zh-CN"/>
        </w:rPr>
        <w:t>本部门无公务用车</w:t>
      </w:r>
      <w:r>
        <w:rPr>
          <w:rFonts w:ascii="Times New Roman" w:eastAsia="仿宋_GB2312"/>
          <w:b w:val="0"/>
          <w:sz w:val="32"/>
          <w:szCs w:val="32"/>
        </w:rPr>
        <w:t>。</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公务用车购置费支出</w:t>
      </w:r>
      <w:r>
        <w:rPr>
          <w:rFonts w:hint="eastAsia" w:ascii="Times New Roman" w:eastAsia="仿宋_GB2312"/>
          <w:b/>
          <w:sz w:val="32"/>
          <w:szCs w:val="32"/>
          <w:lang w:eastAsia="zh-CN"/>
        </w:rPr>
        <w:t>0</w:t>
      </w:r>
      <w:r>
        <w:rPr>
          <w:rFonts w:ascii="Times New Roman" w:eastAsia="仿宋_GB2312"/>
          <w:b/>
          <w:sz w:val="32"/>
          <w:szCs w:val="32"/>
        </w:rPr>
        <w:t>万元：</w:t>
      </w:r>
      <w:r>
        <w:rPr>
          <w:rFonts w:ascii="Times New Roman" w:eastAsia="仿宋_GB2312"/>
          <w:b w:val="0"/>
          <w:sz w:val="32"/>
          <w:szCs w:val="32"/>
        </w:rPr>
        <w:t>本</w:t>
      </w:r>
      <w:r>
        <w:rPr>
          <w:rFonts w:hint="eastAsia" w:ascii="Times New Roman" w:eastAsia="仿宋_GB2312"/>
          <w:b w:val="0"/>
          <w:sz w:val="32"/>
          <w:szCs w:val="32"/>
          <w:lang w:eastAsia="zh-CN"/>
        </w:rPr>
        <w:t>部门</w:t>
      </w:r>
      <w:r>
        <w:rPr>
          <w:rFonts w:ascii="Times New Roman" w:eastAsia="仿宋_GB2312"/>
          <w:b w:val="0"/>
          <w:sz w:val="32"/>
          <w:szCs w:val="32"/>
        </w:rPr>
        <w:t>2024年度公务用车购置量0辆，发生“公务用车购置”经费支出</w:t>
      </w:r>
      <w:r>
        <w:rPr>
          <w:rFonts w:hint="eastAsia" w:ascii="Times New Roman" w:eastAsia="仿宋_GB2312"/>
          <w:b w:val="0"/>
          <w:sz w:val="32"/>
          <w:szCs w:val="32"/>
          <w:lang w:eastAsia="zh-CN"/>
        </w:rPr>
        <w:t>0</w:t>
      </w:r>
      <w:r>
        <w:rPr>
          <w:rFonts w:ascii="Times New Roman" w:eastAsia="仿宋_GB2312"/>
          <w:b w:val="0"/>
          <w:sz w:val="32"/>
          <w:szCs w:val="32"/>
        </w:rPr>
        <w:t>万元。公务用车购置费支出较预算增加</w:t>
      </w:r>
      <w:r>
        <w:rPr>
          <w:rFonts w:hint="eastAsia" w:ascii="Times New Roman" w:eastAsia="仿宋_GB2312"/>
          <w:b w:val="0"/>
          <w:sz w:val="32"/>
          <w:szCs w:val="32"/>
          <w:lang w:eastAsia="zh-CN"/>
        </w:rPr>
        <w:t>0</w:t>
      </w:r>
      <w:r>
        <w:rPr>
          <w:rFonts w:ascii="Times New Roman" w:eastAsia="仿宋_GB2312"/>
          <w:b w:val="0"/>
          <w:sz w:val="32"/>
          <w:szCs w:val="32"/>
        </w:rPr>
        <w:t>万元，增长</w:t>
      </w:r>
      <w:r>
        <w:rPr>
          <w:rFonts w:hint="eastAsia" w:ascii="Times New Roman" w:eastAsia="仿宋_GB2312"/>
          <w:b w:val="0"/>
          <w:sz w:val="32"/>
          <w:szCs w:val="32"/>
          <w:lang w:eastAsia="zh-CN"/>
        </w:rPr>
        <w:t>0</w:t>
      </w:r>
      <w:r>
        <w:rPr>
          <w:rFonts w:ascii="Times New Roman" w:eastAsia="仿宋_GB2312"/>
          <w:b w:val="0"/>
          <w:sz w:val="32"/>
          <w:szCs w:val="32"/>
        </w:rPr>
        <w:t>%,主要原因是</w:t>
      </w:r>
      <w:r>
        <w:rPr>
          <w:rFonts w:hint="eastAsia" w:ascii="Times New Roman" w:eastAsia="仿宋_GB2312"/>
          <w:b w:val="0"/>
          <w:sz w:val="32"/>
          <w:szCs w:val="32"/>
          <w:lang w:val="en-US" w:eastAsia="zh-CN"/>
        </w:rPr>
        <w:t>本部门未购置公务用车</w:t>
      </w:r>
      <w:r>
        <w:rPr>
          <w:rFonts w:ascii="Times New Roman" w:eastAsia="仿宋_GB2312"/>
          <w:b w:val="0"/>
          <w:sz w:val="32"/>
          <w:szCs w:val="32"/>
        </w:rPr>
        <w:t>；较上年增加</w:t>
      </w:r>
      <w:r>
        <w:rPr>
          <w:rFonts w:hint="eastAsia" w:ascii="Times New Roman" w:eastAsia="仿宋_GB2312"/>
          <w:b w:val="0"/>
          <w:sz w:val="32"/>
          <w:szCs w:val="32"/>
          <w:lang w:eastAsia="zh-CN"/>
        </w:rPr>
        <w:t>0</w:t>
      </w:r>
      <w:r>
        <w:rPr>
          <w:rFonts w:ascii="Times New Roman" w:eastAsia="仿宋_GB2312"/>
          <w:b w:val="0"/>
          <w:sz w:val="32"/>
          <w:szCs w:val="32"/>
        </w:rPr>
        <w:t>万元，增长</w:t>
      </w:r>
      <w:r>
        <w:rPr>
          <w:rFonts w:hint="eastAsia" w:ascii="Times New Roman" w:eastAsia="仿宋_GB2312"/>
          <w:b w:val="0"/>
          <w:sz w:val="32"/>
          <w:szCs w:val="32"/>
          <w:lang w:eastAsia="zh-CN"/>
        </w:rPr>
        <w:t>0</w:t>
      </w:r>
      <w:r>
        <w:rPr>
          <w:rFonts w:ascii="Times New Roman" w:eastAsia="仿宋_GB2312"/>
          <w:b w:val="0"/>
          <w:sz w:val="32"/>
          <w:szCs w:val="32"/>
        </w:rPr>
        <w:t>%,主要原因是</w:t>
      </w:r>
      <w:r>
        <w:rPr>
          <w:rFonts w:hint="eastAsia" w:ascii="Times New Roman" w:eastAsia="仿宋_GB2312"/>
          <w:b w:val="0"/>
          <w:sz w:val="32"/>
          <w:szCs w:val="32"/>
          <w:lang w:val="en-US" w:eastAsia="zh-CN"/>
        </w:rPr>
        <w:t>本部门未购置公务用车</w:t>
      </w:r>
      <w:r>
        <w:rPr>
          <w:rFonts w:ascii="Times New Roman" w:eastAsia="仿宋_GB2312"/>
          <w:b w:val="0"/>
          <w:sz w:val="32"/>
          <w:szCs w:val="32"/>
        </w:rPr>
        <w:t>。</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公务用车运行维护费支出</w:t>
      </w:r>
      <w:r>
        <w:rPr>
          <w:rFonts w:hint="eastAsia" w:ascii="Times New Roman" w:eastAsia="仿宋_GB2312"/>
          <w:b/>
          <w:sz w:val="32"/>
          <w:szCs w:val="32"/>
          <w:lang w:eastAsia="zh-CN"/>
        </w:rPr>
        <w:t>0</w:t>
      </w:r>
      <w:r>
        <w:rPr>
          <w:rFonts w:ascii="Times New Roman" w:eastAsia="仿宋_GB2312"/>
          <w:b/>
          <w:sz w:val="32"/>
          <w:szCs w:val="32"/>
        </w:rPr>
        <w:t>万元：</w:t>
      </w:r>
      <w:r>
        <w:rPr>
          <w:rFonts w:ascii="Times New Roman" w:eastAsia="仿宋_GB2312"/>
          <w:b w:val="0"/>
          <w:sz w:val="32"/>
          <w:szCs w:val="32"/>
        </w:rPr>
        <w:t>本</w:t>
      </w:r>
      <w:r>
        <w:rPr>
          <w:rFonts w:hint="eastAsia" w:ascii="Times New Roman" w:eastAsia="仿宋_GB2312"/>
          <w:b w:val="0"/>
          <w:sz w:val="32"/>
          <w:szCs w:val="32"/>
          <w:lang w:eastAsia="zh-CN"/>
        </w:rPr>
        <w:t>部门</w:t>
      </w:r>
      <w:r>
        <w:rPr>
          <w:rFonts w:ascii="Times New Roman" w:eastAsia="仿宋_GB2312"/>
          <w:b w:val="0"/>
          <w:sz w:val="32"/>
          <w:szCs w:val="32"/>
        </w:rPr>
        <w:t>2024年度</w:t>
      </w:r>
      <w:r>
        <w:rPr>
          <w:rFonts w:hint="eastAsia" w:ascii="Times New Roman" w:eastAsia="仿宋_GB2312"/>
          <w:b w:val="0"/>
          <w:sz w:val="32"/>
          <w:szCs w:val="32"/>
          <w:lang w:eastAsia="zh-CN"/>
        </w:rPr>
        <w:t>部门</w:t>
      </w:r>
      <w:r>
        <w:rPr>
          <w:rFonts w:ascii="Times New Roman" w:eastAsia="仿宋_GB2312"/>
          <w:b w:val="0"/>
          <w:sz w:val="32"/>
          <w:szCs w:val="32"/>
        </w:rPr>
        <w:t>公务用车保有量0辆，发生运行维护费支出</w:t>
      </w:r>
      <w:r>
        <w:rPr>
          <w:rFonts w:hint="eastAsia" w:ascii="Times New Roman" w:eastAsia="仿宋_GB2312"/>
          <w:b w:val="0"/>
          <w:sz w:val="32"/>
          <w:szCs w:val="32"/>
          <w:lang w:eastAsia="zh-CN"/>
        </w:rPr>
        <w:t>0</w:t>
      </w:r>
      <w:r>
        <w:rPr>
          <w:rFonts w:ascii="Times New Roman" w:eastAsia="仿宋_GB2312"/>
          <w:b w:val="0"/>
          <w:sz w:val="32"/>
          <w:szCs w:val="32"/>
        </w:rPr>
        <w:t>万元。公车运行维护费支出较预算增加</w:t>
      </w:r>
      <w:r>
        <w:rPr>
          <w:rFonts w:hint="eastAsia" w:ascii="Times New Roman" w:eastAsia="仿宋_GB2312"/>
          <w:b w:val="0"/>
          <w:sz w:val="32"/>
          <w:szCs w:val="32"/>
          <w:lang w:eastAsia="zh-CN"/>
        </w:rPr>
        <w:t>0</w:t>
      </w:r>
      <w:r>
        <w:rPr>
          <w:rFonts w:ascii="Times New Roman" w:eastAsia="仿宋_GB2312"/>
          <w:b w:val="0"/>
          <w:sz w:val="32"/>
          <w:szCs w:val="32"/>
        </w:rPr>
        <w:t>万元，增长</w:t>
      </w:r>
      <w:r>
        <w:rPr>
          <w:rFonts w:hint="eastAsia" w:ascii="Times New Roman" w:eastAsia="仿宋_GB2312"/>
          <w:b w:val="0"/>
          <w:sz w:val="32"/>
          <w:szCs w:val="32"/>
          <w:lang w:eastAsia="zh-CN"/>
        </w:rPr>
        <w:t>0</w:t>
      </w:r>
      <w:r>
        <w:rPr>
          <w:rFonts w:ascii="Times New Roman" w:eastAsia="仿宋_GB2312"/>
          <w:b w:val="0"/>
          <w:sz w:val="32"/>
          <w:szCs w:val="32"/>
        </w:rPr>
        <w:t>%,主要原因是</w:t>
      </w:r>
      <w:r>
        <w:rPr>
          <w:rFonts w:hint="eastAsia" w:ascii="Times New Roman" w:eastAsia="仿宋_GB2312"/>
          <w:b w:val="0"/>
          <w:sz w:val="32"/>
          <w:szCs w:val="32"/>
          <w:lang w:val="en-US" w:eastAsia="zh-CN"/>
        </w:rPr>
        <w:t>本部门无公务用车</w:t>
      </w:r>
      <w:r>
        <w:rPr>
          <w:rFonts w:ascii="Times New Roman" w:eastAsia="仿宋_GB2312"/>
          <w:b w:val="0"/>
          <w:sz w:val="32"/>
          <w:szCs w:val="32"/>
        </w:rPr>
        <w:t>；较上年增加</w:t>
      </w:r>
      <w:r>
        <w:rPr>
          <w:rFonts w:hint="eastAsia" w:ascii="Times New Roman" w:eastAsia="仿宋_GB2312"/>
          <w:b w:val="0"/>
          <w:sz w:val="32"/>
          <w:szCs w:val="32"/>
          <w:lang w:eastAsia="zh-CN"/>
        </w:rPr>
        <w:t>0</w:t>
      </w:r>
      <w:r>
        <w:rPr>
          <w:rFonts w:ascii="Times New Roman" w:eastAsia="仿宋_GB2312"/>
          <w:b w:val="0"/>
          <w:sz w:val="32"/>
          <w:szCs w:val="32"/>
        </w:rPr>
        <w:t>万元，增长</w:t>
      </w:r>
      <w:r>
        <w:rPr>
          <w:rFonts w:hint="eastAsia" w:ascii="Times New Roman" w:eastAsia="仿宋_GB2312"/>
          <w:b w:val="0"/>
          <w:sz w:val="32"/>
          <w:szCs w:val="32"/>
          <w:lang w:eastAsia="zh-CN"/>
        </w:rPr>
        <w:t>0</w:t>
      </w:r>
      <w:r>
        <w:rPr>
          <w:rFonts w:ascii="Times New Roman" w:eastAsia="仿宋_GB2312"/>
          <w:b w:val="0"/>
          <w:sz w:val="32"/>
          <w:szCs w:val="32"/>
        </w:rPr>
        <w:t>%，主要原因是</w:t>
      </w:r>
      <w:r>
        <w:rPr>
          <w:rFonts w:hint="eastAsia" w:ascii="Times New Roman" w:eastAsia="仿宋_GB2312"/>
          <w:b w:val="0"/>
          <w:sz w:val="32"/>
          <w:szCs w:val="32"/>
          <w:lang w:val="en-US" w:eastAsia="zh-CN"/>
        </w:rPr>
        <w:t>本部门无公务用车</w:t>
      </w:r>
      <w:r>
        <w:rPr>
          <w:rFonts w:ascii="Times New Roman" w:eastAsia="仿宋_GB2312"/>
          <w:b w:val="0"/>
          <w:sz w:val="32"/>
          <w:szCs w:val="32"/>
        </w:rPr>
        <w:t>。</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楷体_GB2312"/>
          <w:b/>
          <w:sz w:val="32"/>
          <w:szCs w:val="32"/>
        </w:rPr>
        <w:t>3.公务接待费支出情况。</w:t>
      </w:r>
      <w:r>
        <w:rPr>
          <w:rFonts w:ascii="Times New Roman" w:eastAsia="仿宋_GB2312"/>
          <w:b w:val="0"/>
          <w:sz w:val="32"/>
          <w:szCs w:val="32"/>
        </w:rPr>
        <w:t>本</w:t>
      </w:r>
      <w:r>
        <w:rPr>
          <w:rFonts w:hint="eastAsia" w:ascii="Times New Roman" w:eastAsia="仿宋_GB2312"/>
          <w:b w:val="0"/>
          <w:sz w:val="32"/>
          <w:szCs w:val="32"/>
          <w:lang w:eastAsia="zh-CN"/>
        </w:rPr>
        <w:t>部门</w:t>
      </w:r>
      <w:r>
        <w:rPr>
          <w:rFonts w:ascii="Times New Roman" w:eastAsia="仿宋_GB2312"/>
          <w:b w:val="0"/>
          <w:sz w:val="32"/>
          <w:szCs w:val="32"/>
        </w:rPr>
        <w:t>2024年度公务接待费支出预算为</w:t>
      </w:r>
      <w:r>
        <w:rPr>
          <w:rFonts w:hint="eastAsia" w:ascii="Times New Roman" w:eastAsia="仿宋_GB2312"/>
          <w:b w:val="0"/>
          <w:sz w:val="32"/>
          <w:szCs w:val="32"/>
          <w:lang w:eastAsia="zh-CN"/>
        </w:rPr>
        <w:t>0</w:t>
      </w:r>
      <w:r>
        <w:rPr>
          <w:rFonts w:ascii="Times New Roman" w:eastAsia="仿宋_GB2312"/>
          <w:b w:val="0"/>
          <w:sz w:val="32"/>
          <w:szCs w:val="32"/>
        </w:rPr>
        <w:t>万元，支出决算</w:t>
      </w:r>
      <w:r>
        <w:rPr>
          <w:rFonts w:hint="eastAsia" w:ascii="Times New Roman" w:eastAsia="仿宋_GB2312"/>
          <w:b w:val="0"/>
          <w:sz w:val="32"/>
          <w:szCs w:val="32"/>
          <w:lang w:eastAsia="zh-CN"/>
        </w:rPr>
        <w:t>0</w:t>
      </w:r>
      <w:r>
        <w:rPr>
          <w:rFonts w:ascii="Times New Roman" w:eastAsia="仿宋_GB2312"/>
          <w:b w:val="0"/>
          <w:sz w:val="32"/>
          <w:szCs w:val="32"/>
        </w:rPr>
        <w:t>万元，完成预算的</w:t>
      </w:r>
      <w:r>
        <w:rPr>
          <w:rFonts w:hint="eastAsia" w:ascii="Times New Roman" w:eastAsia="仿宋_GB2312"/>
          <w:b w:val="0"/>
          <w:sz w:val="32"/>
          <w:szCs w:val="32"/>
          <w:lang w:eastAsia="zh-CN"/>
        </w:rPr>
        <w:t>0</w:t>
      </w:r>
      <w:r>
        <w:rPr>
          <w:rFonts w:ascii="Times New Roman" w:eastAsia="仿宋_GB2312"/>
          <w:b w:val="0"/>
          <w:sz w:val="32"/>
          <w:szCs w:val="32"/>
        </w:rPr>
        <w:t>%。公务接待费支出较预算增加</w:t>
      </w:r>
      <w:r>
        <w:rPr>
          <w:rFonts w:hint="eastAsia" w:ascii="Times New Roman" w:eastAsia="仿宋_GB2312"/>
          <w:b w:val="0"/>
          <w:sz w:val="32"/>
          <w:szCs w:val="32"/>
          <w:lang w:eastAsia="zh-CN"/>
        </w:rPr>
        <w:t>0</w:t>
      </w:r>
      <w:r>
        <w:rPr>
          <w:rFonts w:ascii="Times New Roman" w:eastAsia="仿宋_GB2312"/>
          <w:b w:val="0"/>
          <w:sz w:val="32"/>
          <w:szCs w:val="32"/>
        </w:rPr>
        <w:t>万元，增长</w:t>
      </w:r>
      <w:r>
        <w:rPr>
          <w:rFonts w:hint="eastAsia" w:ascii="Times New Roman" w:eastAsia="仿宋_GB2312"/>
          <w:b w:val="0"/>
          <w:sz w:val="32"/>
          <w:szCs w:val="32"/>
          <w:lang w:eastAsia="zh-CN"/>
        </w:rPr>
        <w:t>0</w:t>
      </w:r>
      <w:r>
        <w:rPr>
          <w:rFonts w:ascii="Times New Roman" w:eastAsia="仿宋_GB2312"/>
          <w:b w:val="0"/>
          <w:sz w:val="32"/>
          <w:szCs w:val="32"/>
        </w:rPr>
        <w:t>%,主要原因是</w:t>
      </w:r>
      <w:r>
        <w:rPr>
          <w:rFonts w:hint="eastAsia" w:ascii="Times New Roman" w:eastAsia="仿宋_GB2312"/>
          <w:b w:val="0"/>
          <w:sz w:val="32"/>
          <w:szCs w:val="32"/>
          <w:lang w:val="en-US" w:eastAsia="zh-CN"/>
        </w:rPr>
        <w:t>本部门无公务接待费</w:t>
      </w:r>
      <w:r>
        <w:rPr>
          <w:rFonts w:ascii="Times New Roman" w:eastAsia="仿宋_GB2312"/>
          <w:b w:val="0"/>
          <w:sz w:val="32"/>
          <w:szCs w:val="32"/>
        </w:rPr>
        <w:t>；较上年度增加</w:t>
      </w:r>
      <w:r>
        <w:rPr>
          <w:rFonts w:hint="eastAsia" w:ascii="Times New Roman" w:eastAsia="仿宋_GB2312"/>
          <w:b w:val="0"/>
          <w:sz w:val="32"/>
          <w:szCs w:val="32"/>
          <w:lang w:eastAsia="zh-CN"/>
        </w:rPr>
        <w:t>0</w:t>
      </w:r>
      <w:r>
        <w:rPr>
          <w:rFonts w:ascii="Times New Roman" w:eastAsia="仿宋_GB2312"/>
          <w:b w:val="0"/>
          <w:sz w:val="32"/>
          <w:szCs w:val="32"/>
        </w:rPr>
        <w:t>万元，增长</w:t>
      </w:r>
      <w:r>
        <w:rPr>
          <w:rFonts w:hint="eastAsia" w:ascii="Times New Roman" w:eastAsia="仿宋_GB2312"/>
          <w:b w:val="0"/>
          <w:sz w:val="32"/>
          <w:szCs w:val="32"/>
          <w:lang w:eastAsia="zh-CN"/>
        </w:rPr>
        <w:t>0</w:t>
      </w:r>
      <w:r>
        <w:rPr>
          <w:rFonts w:ascii="Times New Roman" w:eastAsia="仿宋_GB2312"/>
          <w:b w:val="0"/>
          <w:sz w:val="32"/>
          <w:szCs w:val="32"/>
        </w:rPr>
        <w:t>%,主要原因是</w:t>
      </w:r>
      <w:r>
        <w:rPr>
          <w:rFonts w:hint="eastAsia" w:ascii="Times New Roman" w:eastAsia="仿宋_GB2312"/>
          <w:b w:val="0"/>
          <w:sz w:val="32"/>
          <w:szCs w:val="32"/>
          <w:lang w:val="en-US" w:eastAsia="zh-CN"/>
        </w:rPr>
        <w:t>本部门无公务接待费</w:t>
      </w:r>
      <w:r>
        <w:rPr>
          <w:rFonts w:ascii="Times New Roman" w:eastAsia="仿宋_GB2312"/>
          <w:b w:val="0"/>
          <w:sz w:val="32"/>
          <w:szCs w:val="32"/>
        </w:rPr>
        <w:t>。本年度共发生公务接待0批次、0人次。</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六、机关运行经费支出说明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w:t>
      </w:r>
      <w:r>
        <w:rPr>
          <w:rFonts w:hint="eastAsia" w:ascii="Times New Roman" w:eastAsia="仿宋_GB2312"/>
          <w:b w:val="0"/>
          <w:sz w:val="32"/>
          <w:szCs w:val="32"/>
          <w:lang w:eastAsia="zh-CN"/>
        </w:rPr>
        <w:t>部门</w:t>
      </w:r>
      <w:r>
        <w:rPr>
          <w:rFonts w:ascii="Times New Roman" w:eastAsia="仿宋_GB2312"/>
          <w:b w:val="0"/>
          <w:sz w:val="32"/>
          <w:szCs w:val="32"/>
        </w:rPr>
        <w:t>2024年度机关运行经费支出</w:t>
      </w:r>
      <w:r>
        <w:rPr>
          <w:rFonts w:hint="eastAsia" w:ascii="Times New Roman" w:eastAsia="仿宋_GB2312"/>
          <w:b w:val="0"/>
          <w:sz w:val="32"/>
          <w:szCs w:val="32"/>
          <w:lang w:eastAsia="zh-CN"/>
        </w:rPr>
        <w:t>0</w:t>
      </w:r>
      <w:r>
        <w:rPr>
          <w:rFonts w:ascii="Times New Roman" w:eastAsia="仿宋_GB2312"/>
          <w:b w:val="0"/>
          <w:sz w:val="32"/>
          <w:szCs w:val="32"/>
        </w:rPr>
        <w:t>万元，较2023年度减少5.32万元，降低10</w:t>
      </w:r>
      <w:r>
        <w:rPr>
          <w:rFonts w:hint="eastAsia" w:ascii="Times New Roman" w:eastAsia="仿宋_GB2312"/>
          <w:b w:val="0"/>
          <w:sz w:val="32"/>
          <w:szCs w:val="32"/>
          <w:lang w:eastAsia="zh-CN"/>
        </w:rPr>
        <w:t>0</w:t>
      </w:r>
      <w:r>
        <w:rPr>
          <w:rFonts w:ascii="Times New Roman" w:eastAsia="仿宋_GB2312"/>
          <w:b w:val="0"/>
          <w:sz w:val="32"/>
          <w:szCs w:val="32"/>
        </w:rPr>
        <w:t>%。主要原因是</w:t>
      </w:r>
      <w:r>
        <w:rPr>
          <w:rFonts w:hint="eastAsia" w:ascii="Times New Roman" w:eastAsia="仿宋_GB2312"/>
          <w:b w:val="0"/>
          <w:sz w:val="32"/>
          <w:szCs w:val="32"/>
          <w:lang w:val="en-US" w:eastAsia="zh-CN"/>
        </w:rPr>
        <w:t>压缩日常办公支出</w:t>
      </w:r>
      <w:r>
        <w:rPr>
          <w:rFonts w:ascii="Times New Roman" w:eastAsia="仿宋_GB2312"/>
          <w:b w:val="0"/>
          <w:sz w:val="32"/>
          <w:szCs w:val="32"/>
        </w:rPr>
        <w:t>。</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七、政府采购支出说明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w:t>
      </w:r>
      <w:r>
        <w:rPr>
          <w:rFonts w:hint="eastAsia" w:ascii="Times New Roman" w:eastAsia="仿宋_GB2312"/>
          <w:b w:val="0"/>
          <w:sz w:val="32"/>
          <w:szCs w:val="32"/>
          <w:lang w:eastAsia="zh-CN"/>
        </w:rPr>
        <w:t>部门</w:t>
      </w:r>
      <w:r>
        <w:rPr>
          <w:rFonts w:ascii="Times New Roman" w:eastAsia="仿宋_GB2312"/>
          <w:b w:val="0"/>
          <w:sz w:val="32"/>
          <w:szCs w:val="32"/>
        </w:rPr>
        <w:t>2024年度政府采购支出总额</w:t>
      </w:r>
      <w:r>
        <w:rPr>
          <w:rFonts w:hint="eastAsia" w:ascii="Times New Roman" w:eastAsia="仿宋_GB2312"/>
          <w:b w:val="0"/>
          <w:sz w:val="32"/>
          <w:szCs w:val="32"/>
          <w:lang w:eastAsia="zh-CN"/>
        </w:rPr>
        <w:t>0</w:t>
      </w:r>
      <w:r>
        <w:rPr>
          <w:rFonts w:ascii="Times New Roman" w:eastAsia="仿宋_GB2312"/>
          <w:b w:val="0"/>
          <w:sz w:val="32"/>
          <w:szCs w:val="32"/>
        </w:rPr>
        <w:t>万元，从采购类型来看，政府采购货物支出</w:t>
      </w:r>
      <w:r>
        <w:rPr>
          <w:rFonts w:hint="eastAsia" w:ascii="Times New Roman" w:eastAsia="仿宋_GB2312"/>
          <w:b w:val="0"/>
          <w:sz w:val="32"/>
          <w:szCs w:val="32"/>
          <w:lang w:eastAsia="zh-CN"/>
        </w:rPr>
        <w:t>0</w:t>
      </w:r>
      <w:r>
        <w:rPr>
          <w:rFonts w:ascii="Times New Roman" w:eastAsia="仿宋_GB2312"/>
          <w:b w:val="0"/>
          <w:sz w:val="32"/>
          <w:szCs w:val="32"/>
        </w:rPr>
        <w:t>万元、政府采购工程支出</w:t>
      </w:r>
      <w:r>
        <w:rPr>
          <w:rFonts w:hint="eastAsia" w:ascii="Times New Roman" w:eastAsia="仿宋_GB2312"/>
          <w:b w:val="0"/>
          <w:sz w:val="32"/>
          <w:szCs w:val="32"/>
          <w:lang w:eastAsia="zh-CN"/>
        </w:rPr>
        <w:t>0</w:t>
      </w:r>
      <w:r>
        <w:rPr>
          <w:rFonts w:ascii="Times New Roman" w:eastAsia="仿宋_GB2312"/>
          <w:b w:val="0"/>
          <w:sz w:val="32"/>
          <w:szCs w:val="32"/>
        </w:rPr>
        <w:t>万元、政府采购服务支出</w:t>
      </w:r>
      <w:r>
        <w:rPr>
          <w:rFonts w:hint="eastAsia" w:ascii="Times New Roman" w:eastAsia="仿宋_GB2312"/>
          <w:b w:val="0"/>
          <w:sz w:val="32"/>
          <w:szCs w:val="32"/>
          <w:lang w:eastAsia="zh-CN"/>
        </w:rPr>
        <w:t>0</w:t>
      </w:r>
      <w:r>
        <w:rPr>
          <w:rFonts w:ascii="Times New Roman" w:eastAsia="仿宋_GB2312"/>
          <w:b w:val="0"/>
          <w:sz w:val="32"/>
          <w:szCs w:val="32"/>
        </w:rPr>
        <w:t>万元。授予中小企业合同金额</w:t>
      </w:r>
      <w:r>
        <w:rPr>
          <w:rFonts w:hint="eastAsia" w:ascii="Times New Roman" w:eastAsia="仿宋_GB2312"/>
          <w:b w:val="0"/>
          <w:sz w:val="32"/>
          <w:szCs w:val="32"/>
          <w:lang w:eastAsia="zh-CN"/>
        </w:rPr>
        <w:t>0</w:t>
      </w:r>
      <w:r>
        <w:rPr>
          <w:rFonts w:ascii="Times New Roman" w:eastAsia="仿宋_GB2312"/>
          <w:b w:val="0"/>
          <w:sz w:val="32"/>
          <w:szCs w:val="32"/>
        </w:rPr>
        <w:t>万元，占政府采购支出总额的</w:t>
      </w:r>
      <w:r>
        <w:rPr>
          <w:rFonts w:hint="eastAsia" w:ascii="Times New Roman" w:eastAsia="仿宋_GB2312"/>
          <w:b w:val="0"/>
          <w:sz w:val="32"/>
          <w:szCs w:val="32"/>
          <w:lang w:eastAsia="zh-CN"/>
        </w:rPr>
        <w:t>0</w:t>
      </w:r>
      <w:r>
        <w:rPr>
          <w:rFonts w:ascii="Times New Roman" w:eastAsia="仿宋_GB2312"/>
          <w:b w:val="0"/>
          <w:sz w:val="32"/>
          <w:szCs w:val="32"/>
        </w:rPr>
        <w:t>%，其中授予小微企业合同金额</w:t>
      </w:r>
      <w:r>
        <w:rPr>
          <w:rFonts w:hint="eastAsia" w:ascii="Times New Roman" w:eastAsia="仿宋_GB2312"/>
          <w:b w:val="0"/>
          <w:sz w:val="32"/>
          <w:szCs w:val="32"/>
          <w:lang w:eastAsia="zh-CN"/>
        </w:rPr>
        <w:t>0</w:t>
      </w:r>
      <w:r>
        <w:rPr>
          <w:rFonts w:ascii="Times New Roman" w:eastAsia="仿宋_GB2312"/>
          <w:b w:val="0"/>
          <w:sz w:val="32"/>
          <w:szCs w:val="32"/>
        </w:rPr>
        <w:t>万元，占政府采购支出总额的</w:t>
      </w:r>
      <w:r>
        <w:rPr>
          <w:rFonts w:hint="eastAsia" w:ascii="Times New Roman" w:eastAsia="仿宋_GB2312"/>
          <w:b w:val="0"/>
          <w:sz w:val="32"/>
          <w:szCs w:val="32"/>
          <w:lang w:eastAsia="zh-CN"/>
        </w:rPr>
        <w:t>0</w:t>
      </w:r>
      <w:r>
        <w:rPr>
          <w:rFonts w:ascii="Times New Roman" w:eastAsia="仿宋_GB2312"/>
          <w:b w:val="0"/>
          <w:sz w:val="32"/>
          <w:szCs w:val="32"/>
        </w:rPr>
        <w:t>%。</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八、国有资产占用情况说明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截至2024年12月31日，本</w:t>
      </w:r>
      <w:r>
        <w:rPr>
          <w:rFonts w:hint="eastAsia" w:ascii="Times New Roman" w:eastAsia="仿宋_GB2312"/>
          <w:b w:val="0"/>
          <w:sz w:val="32"/>
          <w:szCs w:val="32"/>
          <w:lang w:eastAsia="zh-CN"/>
        </w:rPr>
        <w:t>部门</w:t>
      </w:r>
      <w:r>
        <w:rPr>
          <w:rFonts w:ascii="Times New Roman" w:eastAsia="仿宋_GB2312"/>
          <w:b w:val="0"/>
          <w:sz w:val="32"/>
          <w:szCs w:val="32"/>
        </w:rPr>
        <w:t>共有车辆0辆，比上年增加0辆，主要是</w:t>
      </w:r>
      <w:r>
        <w:rPr>
          <w:rFonts w:hint="eastAsia" w:ascii="Times New Roman" w:eastAsia="仿宋_GB2312"/>
          <w:b w:val="0"/>
          <w:sz w:val="32"/>
          <w:szCs w:val="32"/>
          <w:lang w:val="en-US" w:eastAsia="zh-CN"/>
        </w:rPr>
        <w:t>本部门无公务用车</w:t>
      </w:r>
      <w:r>
        <w:rPr>
          <w:rFonts w:ascii="Times New Roman" w:eastAsia="仿宋_GB2312"/>
          <w:b w:val="0"/>
          <w:sz w:val="32"/>
          <w:szCs w:val="32"/>
        </w:rPr>
        <w:t>。其中，副部（省）级及以上领导用车0辆，主要负责人用车0辆，机要通信用车0辆，应急保障用车0辆，执法执勤用车0辆，特种专业技术用车0辆，离退休干部用车0辆，其他用车0辆。单位价值100万元（含）以上设备（不含车辆）0台（套）。</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九、关于2024年度绩效评价情况的说明</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（一）绩效评价工作开展情况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根据预算绩效管理要求，本</w:t>
      </w:r>
      <w:r>
        <w:rPr>
          <w:rFonts w:hint="eastAsia" w:ascii="Times New Roman" w:eastAsia="仿宋_GB2312"/>
          <w:b w:val="0"/>
          <w:sz w:val="32"/>
          <w:szCs w:val="32"/>
          <w:lang w:eastAsia="zh-CN"/>
        </w:rPr>
        <w:t>部门</w:t>
      </w:r>
      <w:r>
        <w:rPr>
          <w:rFonts w:ascii="Times New Roman" w:eastAsia="仿宋_GB2312"/>
          <w:b w:val="0"/>
          <w:sz w:val="32"/>
          <w:szCs w:val="32"/>
        </w:rPr>
        <w:t>组织对2024年度本级预算项目支出全面开展绩效自评，共涉及资金</w:t>
      </w:r>
      <w:r>
        <w:rPr>
          <w:rFonts w:hint="eastAsia" w:ascii="仿宋_GB2312" w:eastAsia="仿宋_GB2312"/>
          <w:sz w:val="32"/>
          <w:szCs w:val="32"/>
          <w:lang w:val="en-US" w:eastAsia="zh-CN"/>
        </w:rPr>
        <w:t>24.23</w:t>
      </w:r>
      <w:r>
        <w:rPr>
          <w:rFonts w:ascii="Times New Roman" w:eastAsia="仿宋_GB2312"/>
          <w:b w:val="0"/>
          <w:sz w:val="32"/>
          <w:szCs w:val="32"/>
        </w:rPr>
        <w:t>万元（决算金额）。其中，一般公共预算项目</w:t>
      </w:r>
      <w:r>
        <w:rPr>
          <w:rFonts w:hint="eastAsia" w:ascii="Times New Roman" w:eastAsia="仿宋_GB2312"/>
          <w:b w:val="0"/>
          <w:sz w:val="32"/>
          <w:szCs w:val="32"/>
          <w:lang w:val="en-US" w:eastAsia="zh-CN"/>
        </w:rPr>
        <w:t>2</w:t>
      </w:r>
      <w:r>
        <w:rPr>
          <w:rFonts w:ascii="Times New Roman" w:eastAsia="仿宋_GB2312"/>
          <w:b w:val="0"/>
          <w:sz w:val="32"/>
          <w:szCs w:val="32"/>
        </w:rPr>
        <w:t>个，涉及资金</w:t>
      </w:r>
      <w:r>
        <w:rPr>
          <w:rFonts w:hint="eastAsia" w:ascii="仿宋_GB2312" w:eastAsia="仿宋_GB2312"/>
          <w:sz w:val="32"/>
          <w:szCs w:val="32"/>
          <w:lang w:val="en-US" w:eastAsia="zh-CN"/>
        </w:rPr>
        <w:t>24.23</w:t>
      </w:r>
      <w:r>
        <w:rPr>
          <w:rFonts w:ascii="Times New Roman" w:eastAsia="仿宋_GB2312"/>
          <w:b w:val="0"/>
          <w:sz w:val="32"/>
          <w:szCs w:val="32"/>
        </w:rPr>
        <w:t>万元，占一般公共预算项目支出总额的</w:t>
      </w:r>
      <w:r>
        <w:rPr>
          <w:rFonts w:hint="eastAsia" w:ascii="Times New Roman" w:eastAsia="仿宋_GB2312"/>
          <w:b w:val="0"/>
          <w:sz w:val="32"/>
          <w:szCs w:val="32"/>
          <w:lang w:val="en-US" w:eastAsia="zh-CN"/>
        </w:rPr>
        <w:t>100</w:t>
      </w:r>
      <w:r>
        <w:rPr>
          <w:rFonts w:ascii="Times New Roman" w:eastAsia="仿宋_GB2312"/>
          <w:b w:val="0"/>
          <w:sz w:val="32"/>
          <w:szCs w:val="32"/>
        </w:rPr>
        <w:t>%；政府性基金预算项目</w:t>
      </w:r>
      <w:r>
        <w:rPr>
          <w:rFonts w:hint="eastAsia" w:ascii="Times New Roman" w:eastAsia="仿宋_GB2312"/>
          <w:b w:val="0"/>
          <w:sz w:val="32"/>
          <w:szCs w:val="32"/>
          <w:lang w:val="en-US" w:eastAsia="zh-CN"/>
        </w:rPr>
        <w:t>0</w:t>
      </w:r>
      <w:r>
        <w:rPr>
          <w:rFonts w:ascii="Times New Roman" w:eastAsia="仿宋_GB2312"/>
          <w:b w:val="0"/>
          <w:sz w:val="32"/>
          <w:szCs w:val="32"/>
        </w:rPr>
        <w:t>个，涉及资金</w:t>
      </w:r>
      <w:r>
        <w:rPr>
          <w:rFonts w:hint="eastAsia" w:ascii="Times New Roman" w:eastAsia="仿宋_GB2312"/>
          <w:b w:val="0"/>
          <w:sz w:val="32"/>
          <w:szCs w:val="32"/>
          <w:lang w:val="en-US" w:eastAsia="zh-CN"/>
        </w:rPr>
        <w:t>0</w:t>
      </w:r>
      <w:r>
        <w:rPr>
          <w:rFonts w:ascii="Times New Roman" w:eastAsia="仿宋_GB2312"/>
          <w:b w:val="0"/>
          <w:sz w:val="32"/>
          <w:szCs w:val="32"/>
        </w:rPr>
        <w:t>万元，占政府性基金预算项目支出总额的</w:t>
      </w:r>
      <w:r>
        <w:rPr>
          <w:rFonts w:hint="eastAsia" w:ascii="Times New Roman" w:eastAsia="仿宋_GB2312"/>
          <w:b w:val="0"/>
          <w:sz w:val="32"/>
          <w:szCs w:val="32"/>
          <w:lang w:val="en-US" w:eastAsia="zh-CN"/>
        </w:rPr>
        <w:t>0</w:t>
      </w:r>
      <w:r>
        <w:rPr>
          <w:rFonts w:ascii="Times New Roman" w:eastAsia="仿宋_GB2312"/>
          <w:b w:val="0"/>
          <w:sz w:val="32"/>
          <w:szCs w:val="32"/>
        </w:rPr>
        <w:t>%；国有资本经营预算项目</w:t>
      </w:r>
      <w:r>
        <w:rPr>
          <w:rFonts w:hint="eastAsia" w:ascii="Times New Roman" w:eastAsia="仿宋_GB2312"/>
          <w:b w:val="0"/>
          <w:sz w:val="32"/>
          <w:szCs w:val="32"/>
          <w:lang w:val="en-US" w:eastAsia="zh-CN"/>
        </w:rPr>
        <w:t>0</w:t>
      </w:r>
      <w:r>
        <w:rPr>
          <w:rFonts w:ascii="Times New Roman" w:eastAsia="仿宋_GB2312"/>
          <w:b w:val="0"/>
          <w:sz w:val="32"/>
          <w:szCs w:val="32"/>
        </w:rPr>
        <w:t>个，涉及资金</w:t>
      </w:r>
      <w:r>
        <w:rPr>
          <w:rFonts w:hint="eastAsia" w:ascii="Times New Roman" w:eastAsia="仿宋_GB2312"/>
          <w:b w:val="0"/>
          <w:sz w:val="32"/>
          <w:szCs w:val="32"/>
          <w:lang w:val="en-US" w:eastAsia="zh-CN"/>
        </w:rPr>
        <w:t>0</w:t>
      </w:r>
      <w:r>
        <w:rPr>
          <w:rFonts w:ascii="Times New Roman" w:eastAsia="仿宋_GB2312"/>
          <w:b w:val="0"/>
          <w:sz w:val="32"/>
          <w:szCs w:val="32"/>
        </w:rPr>
        <w:t>万元，占国有资本经营预算项目支出总额的</w:t>
      </w:r>
      <w:r>
        <w:rPr>
          <w:rFonts w:hint="eastAsia" w:ascii="Times New Roman" w:eastAsia="仿宋_GB2312"/>
          <w:b w:val="0"/>
          <w:sz w:val="32"/>
          <w:szCs w:val="32"/>
          <w:lang w:val="en-US" w:eastAsia="zh-CN"/>
        </w:rPr>
        <w:t>0</w:t>
      </w:r>
      <w:r>
        <w:rPr>
          <w:rFonts w:ascii="Times New Roman" w:eastAsia="仿宋_GB2312"/>
          <w:b w:val="0"/>
          <w:sz w:val="32"/>
          <w:szCs w:val="32"/>
        </w:rPr>
        <w:t>%。</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组织对</w:t>
      </w:r>
      <w:r>
        <w:rPr>
          <w:rFonts w:hint="eastAsia" w:ascii="Times New Roman" w:eastAsia="仿宋_GB2312"/>
          <w:b w:val="0"/>
          <w:sz w:val="32"/>
          <w:szCs w:val="32"/>
          <w:lang w:val="en-US" w:eastAsia="zh-CN"/>
        </w:rPr>
        <w:t>商荣祺一次性抚恤金</w:t>
      </w:r>
      <w:r>
        <w:rPr>
          <w:rFonts w:ascii="Times New Roman" w:eastAsia="仿宋_GB2312"/>
          <w:b w:val="0"/>
          <w:sz w:val="32"/>
          <w:szCs w:val="32"/>
        </w:rPr>
        <w:t>等</w:t>
      </w:r>
      <w:r>
        <w:rPr>
          <w:rFonts w:hint="eastAsia" w:ascii="Times New Roman" w:eastAsia="仿宋_GB2312"/>
          <w:b w:val="0"/>
          <w:sz w:val="32"/>
          <w:szCs w:val="32"/>
          <w:lang w:val="en-US" w:eastAsia="zh-CN"/>
        </w:rPr>
        <w:t>2</w:t>
      </w:r>
      <w:r>
        <w:rPr>
          <w:rFonts w:ascii="Times New Roman" w:eastAsia="仿宋_GB2312"/>
          <w:b w:val="0"/>
          <w:sz w:val="32"/>
          <w:szCs w:val="32"/>
        </w:rPr>
        <w:t>个项目开展了</w:t>
      </w:r>
      <w:r>
        <w:rPr>
          <w:rFonts w:hint="eastAsia" w:ascii="Times New Roman" w:eastAsia="仿宋_GB2312"/>
          <w:b w:val="0"/>
          <w:sz w:val="32"/>
          <w:szCs w:val="32"/>
          <w:lang w:eastAsia="zh-CN"/>
        </w:rPr>
        <w:t>部门</w:t>
      </w:r>
      <w:r>
        <w:rPr>
          <w:rFonts w:ascii="Times New Roman" w:eastAsia="仿宋_GB2312"/>
          <w:b w:val="0"/>
          <w:sz w:val="32"/>
          <w:szCs w:val="32"/>
        </w:rPr>
        <w:t>重点评价，涉及一般公共预算支出</w:t>
      </w:r>
      <w:r>
        <w:rPr>
          <w:rFonts w:hint="eastAsia" w:ascii="仿宋_GB2312" w:eastAsia="仿宋_GB2312"/>
          <w:sz w:val="32"/>
          <w:szCs w:val="32"/>
          <w:lang w:val="en-US" w:eastAsia="zh-CN"/>
        </w:rPr>
        <w:t>24.23</w:t>
      </w:r>
      <w:r>
        <w:rPr>
          <w:rFonts w:ascii="Times New Roman" w:eastAsia="仿宋_GB2312"/>
          <w:b w:val="0"/>
          <w:sz w:val="32"/>
          <w:szCs w:val="32"/>
        </w:rPr>
        <w:t>万元，政府性基金预算支出</w:t>
      </w:r>
      <w:r>
        <w:rPr>
          <w:rFonts w:hint="eastAsia" w:ascii="Times New Roman" w:eastAsia="仿宋_GB2312"/>
          <w:b w:val="0"/>
          <w:sz w:val="32"/>
          <w:szCs w:val="32"/>
          <w:lang w:val="en-US" w:eastAsia="zh-CN"/>
        </w:rPr>
        <w:t>0</w:t>
      </w:r>
      <w:r>
        <w:rPr>
          <w:rFonts w:ascii="Times New Roman" w:eastAsia="仿宋_GB2312"/>
          <w:b w:val="0"/>
          <w:sz w:val="32"/>
          <w:szCs w:val="32"/>
        </w:rPr>
        <w:t>万元，国有资本经营预算支出</w:t>
      </w:r>
      <w:r>
        <w:rPr>
          <w:rFonts w:hint="eastAsia" w:ascii="Times New Roman" w:eastAsia="仿宋_GB2312"/>
          <w:b w:val="0"/>
          <w:sz w:val="32"/>
          <w:szCs w:val="32"/>
          <w:lang w:val="en-US" w:eastAsia="zh-CN"/>
        </w:rPr>
        <w:t>0</w:t>
      </w:r>
      <w:r>
        <w:rPr>
          <w:rFonts w:ascii="Times New Roman" w:eastAsia="仿宋_GB2312"/>
          <w:b w:val="0"/>
          <w:sz w:val="32"/>
          <w:szCs w:val="32"/>
        </w:rPr>
        <w:t>万元，从评价情况来看，</w:t>
      </w:r>
      <w:r>
        <w:rPr>
          <w:rFonts w:hint="eastAsia" w:ascii="Times New Roman" w:eastAsia="仿宋_GB2312"/>
          <w:b w:val="0"/>
          <w:sz w:val="32"/>
          <w:szCs w:val="32"/>
          <w:lang w:val="en-US" w:eastAsia="zh-CN"/>
        </w:rPr>
        <w:t>项目设立规范，绩效目标合理，绩效指标明确，2个项目绩效目标全部实现指标预算设置</w:t>
      </w:r>
      <w:r>
        <w:rPr>
          <w:rFonts w:ascii="Times New Roman" w:eastAsia="仿宋_GB2312"/>
          <w:b w:val="0"/>
          <w:sz w:val="32"/>
          <w:szCs w:val="32"/>
        </w:rPr>
        <w:t>。</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（二）</w:t>
      </w:r>
      <w:r>
        <w:rPr>
          <w:rFonts w:hint="eastAsia" w:ascii="Times New Roman" w:eastAsia="仿宋_GB2312"/>
          <w:b/>
          <w:sz w:val="32"/>
          <w:szCs w:val="32"/>
          <w:lang w:eastAsia="zh-CN"/>
        </w:rPr>
        <w:t>部门</w:t>
      </w:r>
      <w:r>
        <w:rPr>
          <w:rFonts w:ascii="Times New Roman" w:eastAsia="仿宋_GB2312"/>
          <w:b/>
          <w:sz w:val="32"/>
          <w:szCs w:val="32"/>
        </w:rPr>
        <w:t>决算中项目绩效自评结果</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w:t>
      </w:r>
      <w:r>
        <w:rPr>
          <w:rFonts w:hint="eastAsia" w:ascii="Times New Roman" w:eastAsia="仿宋_GB2312"/>
          <w:b w:val="0"/>
          <w:sz w:val="32"/>
          <w:szCs w:val="32"/>
          <w:lang w:eastAsia="zh-CN"/>
        </w:rPr>
        <w:t>部门</w:t>
      </w:r>
      <w:r>
        <w:rPr>
          <w:rFonts w:ascii="Times New Roman" w:eastAsia="仿宋_GB2312"/>
          <w:b w:val="0"/>
          <w:sz w:val="32"/>
          <w:szCs w:val="32"/>
        </w:rPr>
        <w:t>在今年</w:t>
      </w:r>
      <w:r>
        <w:rPr>
          <w:rFonts w:hint="eastAsia" w:ascii="Times New Roman" w:eastAsia="仿宋_GB2312"/>
          <w:b w:val="0"/>
          <w:sz w:val="32"/>
          <w:szCs w:val="32"/>
          <w:lang w:eastAsia="zh-CN"/>
        </w:rPr>
        <w:t>部门</w:t>
      </w:r>
      <w:r>
        <w:rPr>
          <w:rFonts w:ascii="Times New Roman" w:eastAsia="仿宋_GB2312"/>
          <w:b w:val="0"/>
          <w:sz w:val="32"/>
          <w:szCs w:val="32"/>
        </w:rPr>
        <w:t>决算公开中反映</w:t>
      </w:r>
      <w:r>
        <w:rPr>
          <w:rFonts w:hint="eastAsia" w:ascii="Times New Roman" w:eastAsia="仿宋_GB2312"/>
          <w:b w:val="0"/>
          <w:sz w:val="32"/>
          <w:szCs w:val="32"/>
          <w:lang w:val="en-US" w:eastAsia="zh-CN"/>
        </w:rPr>
        <w:t>商荣祺一次性抚恤金</w:t>
      </w:r>
      <w:r>
        <w:rPr>
          <w:rFonts w:ascii="Times New Roman" w:eastAsia="仿宋_GB2312"/>
          <w:b w:val="0"/>
          <w:sz w:val="32"/>
          <w:szCs w:val="32"/>
        </w:rPr>
        <w:t>等</w:t>
      </w:r>
      <w:r>
        <w:rPr>
          <w:rFonts w:hint="eastAsia" w:ascii="Times New Roman" w:eastAsia="仿宋_GB2312"/>
          <w:b w:val="0"/>
          <w:sz w:val="32"/>
          <w:szCs w:val="32"/>
          <w:lang w:val="en-US" w:eastAsia="zh-CN"/>
        </w:rPr>
        <w:t>2</w:t>
      </w:r>
      <w:r>
        <w:rPr>
          <w:rFonts w:ascii="Times New Roman" w:eastAsia="仿宋_GB2312"/>
          <w:b w:val="0"/>
          <w:sz w:val="32"/>
          <w:szCs w:val="32"/>
        </w:rPr>
        <w:t>个项目绩效自评结果。</w:t>
      </w:r>
    </w:p>
    <w:p>
      <w:pPr>
        <w:widowControl/>
        <w:spacing w:before="0" w:beforeLines="0" w:beforeAutospacing="0" w:after="0" w:afterLines="0" w:afterAutospacing="0" w:line="360" w:lineRule="auto"/>
        <w:ind w:firstLine="640" w:firstLineChars="200"/>
        <w:jc w:val="left"/>
        <w:rPr>
          <w:rFonts w:hint="default" w:ascii="Times New Roman" w:eastAsia="仿宋_GB2312"/>
          <w:sz w:val="32"/>
          <w:szCs w:val="32"/>
          <w:lang w:val="en-US" w:eastAsia="zh-CN"/>
        </w:rPr>
      </w:pPr>
      <w:r>
        <w:rPr>
          <w:rFonts w:ascii="Times New Roman" w:eastAsia="仿宋_GB2312"/>
          <w:b w:val="0"/>
          <w:sz w:val="32"/>
          <w:szCs w:val="32"/>
        </w:rPr>
        <w:t>项目绩效自评情况：根据年初设定的绩效目标，项目绩效自评得分为</w:t>
      </w:r>
      <w:r>
        <w:rPr>
          <w:rFonts w:hint="eastAsia" w:ascii="Times New Roman" w:eastAsia="仿宋_GB2312"/>
          <w:b w:val="0"/>
          <w:sz w:val="32"/>
          <w:szCs w:val="32"/>
          <w:lang w:val="en-US" w:eastAsia="zh-CN"/>
        </w:rPr>
        <w:t>100</w:t>
      </w:r>
      <w:r>
        <w:rPr>
          <w:rFonts w:ascii="Times New Roman" w:eastAsia="仿宋_GB2312"/>
          <w:b w:val="0"/>
          <w:sz w:val="32"/>
          <w:szCs w:val="32"/>
        </w:rPr>
        <w:t>分（绩效自评表附后）。全年预算数为</w:t>
      </w:r>
      <w:r>
        <w:rPr>
          <w:rFonts w:hint="eastAsia" w:ascii="Times New Roman" w:eastAsia="仿宋_GB2312"/>
          <w:b w:val="0"/>
          <w:sz w:val="32"/>
          <w:szCs w:val="32"/>
          <w:lang w:val="en-US" w:eastAsia="zh-CN"/>
        </w:rPr>
        <w:t>23.94</w:t>
      </w:r>
      <w:r>
        <w:rPr>
          <w:rFonts w:ascii="Times New Roman" w:eastAsia="仿宋_GB2312"/>
          <w:b w:val="0"/>
          <w:sz w:val="32"/>
          <w:szCs w:val="32"/>
        </w:rPr>
        <w:t>万元，执行数为</w:t>
      </w:r>
      <w:r>
        <w:rPr>
          <w:rFonts w:hint="eastAsia" w:ascii="Times New Roman" w:eastAsia="仿宋_GB2312"/>
          <w:b w:val="0"/>
          <w:sz w:val="32"/>
          <w:szCs w:val="32"/>
          <w:lang w:val="en-US" w:eastAsia="zh-CN"/>
        </w:rPr>
        <w:t>23.94</w:t>
      </w:r>
      <w:r>
        <w:rPr>
          <w:rFonts w:ascii="Times New Roman" w:eastAsia="仿宋_GB2312"/>
          <w:b w:val="0"/>
          <w:sz w:val="32"/>
          <w:szCs w:val="32"/>
        </w:rPr>
        <w:t>万元，完成预算的</w:t>
      </w:r>
      <w:r>
        <w:rPr>
          <w:rFonts w:hint="eastAsia" w:ascii="Times New Roman" w:eastAsia="仿宋_GB2312"/>
          <w:b w:val="0"/>
          <w:sz w:val="32"/>
          <w:szCs w:val="32"/>
          <w:lang w:val="en-US" w:eastAsia="zh-CN"/>
        </w:rPr>
        <w:t>100</w:t>
      </w:r>
      <w:r>
        <w:rPr>
          <w:rFonts w:ascii="Times New Roman" w:eastAsia="仿宋_GB2312"/>
          <w:b w:val="0"/>
          <w:sz w:val="32"/>
          <w:szCs w:val="32"/>
        </w:rPr>
        <w:t>%。项目绩效目标完成情况：</w:t>
      </w:r>
      <w:r>
        <w:rPr>
          <w:rFonts w:hint="eastAsia" w:ascii="Times New Roman" w:eastAsia="仿宋_GB2312"/>
          <w:b w:val="0"/>
          <w:sz w:val="32"/>
          <w:szCs w:val="32"/>
          <w:lang w:val="en-US" w:eastAsia="zh-CN"/>
        </w:rPr>
        <w:t>通过项目实施，完成了设定的各项绩效目标，完成了商荣祺一次性抚恤金发放</w:t>
      </w:r>
      <w:r>
        <w:rPr>
          <w:rFonts w:ascii="Times New Roman" w:eastAsia="仿宋_GB2312"/>
          <w:b w:val="0"/>
          <w:sz w:val="32"/>
          <w:szCs w:val="32"/>
        </w:rPr>
        <w:t>。</w:t>
      </w:r>
      <w:r>
        <w:rPr>
          <w:rFonts w:hint="eastAsia" w:ascii="Times New Roman" w:eastAsia="仿宋_GB2312"/>
          <w:b w:val="0"/>
          <w:sz w:val="32"/>
          <w:szCs w:val="32"/>
          <w:lang w:val="en-US" w:eastAsia="zh-CN"/>
        </w:rPr>
        <w:t>未发现问题。</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（三）</w:t>
      </w:r>
      <w:r>
        <w:rPr>
          <w:rFonts w:hint="eastAsia" w:ascii="Times New Roman" w:eastAsia="仿宋_GB2312"/>
          <w:b/>
          <w:sz w:val="32"/>
          <w:szCs w:val="32"/>
          <w:lang w:eastAsia="zh-CN"/>
        </w:rPr>
        <w:t>部门</w:t>
      </w:r>
      <w:r>
        <w:rPr>
          <w:rFonts w:ascii="Times New Roman" w:eastAsia="仿宋_GB2312"/>
          <w:b/>
          <w:sz w:val="32"/>
          <w:szCs w:val="32"/>
        </w:rPr>
        <w:t>评价项目绩效评价结果（如有）</w:t>
      </w:r>
    </w:p>
    <w:p>
      <w:pPr>
        <w:widowControl/>
        <w:spacing w:before="0" w:beforeLines="0" w:beforeAutospacing="0" w:after="0" w:afterLines="0" w:afterAutospacing="0" w:line="360" w:lineRule="auto"/>
        <w:ind w:firstLine="640" w:firstLineChars="200"/>
        <w:jc w:val="left"/>
        <w:rPr>
          <w:rFonts w:hint="default" w:ascii="Times New Roman" w:eastAsia="仿宋_GB2312"/>
          <w:sz w:val="32"/>
          <w:szCs w:val="32"/>
          <w:lang w:val="en-US" w:eastAsia="zh-CN"/>
        </w:rPr>
      </w:pPr>
      <w:r>
        <w:rPr>
          <w:rFonts w:hint="eastAsia" w:ascii="Times New Roman" w:eastAsia="仿宋_GB2312"/>
          <w:sz w:val="32"/>
          <w:szCs w:val="32"/>
          <w:lang w:val="en-US" w:eastAsia="zh-CN"/>
        </w:rPr>
        <w:t>全部评价等级为优，占比100%。</w:t>
      </w:r>
    </w:p>
    <w:p>
      <w:pPr>
        <w:widowControl/>
        <w:spacing w:before="0" w:beforeLines="0" w:beforeAutospacing="0" w:after="0" w:afterLines="0" w:afterAutospacing="0" w:line="360" w:lineRule="auto"/>
        <w:ind w:firstLine="640" w:firstLineChars="200"/>
        <w:jc w:val="left"/>
        <w:rPr>
          <w:rFonts w:ascii="Times New Roman" w:eastAsia="黑体"/>
          <w:sz w:val="32"/>
          <w:szCs w:val="32"/>
        </w:rPr>
      </w:pPr>
      <w:r>
        <w:rPr>
          <w:rFonts w:ascii="Times New Roman" w:eastAsia="黑体"/>
          <w:b w:val="0"/>
          <w:sz w:val="32"/>
          <w:szCs w:val="32"/>
        </w:rPr>
        <w:t>十、其他需要说明的情况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1.本</w:t>
      </w:r>
      <w:r>
        <w:rPr>
          <w:rFonts w:hint="eastAsia" w:ascii="Times New Roman" w:eastAsia="仿宋_GB2312"/>
          <w:b w:val="0"/>
          <w:sz w:val="32"/>
          <w:szCs w:val="32"/>
          <w:lang w:eastAsia="zh-CN"/>
        </w:rPr>
        <w:t>部门</w:t>
      </w:r>
      <w:r>
        <w:rPr>
          <w:rFonts w:ascii="Times New Roman" w:eastAsia="仿宋_GB2312"/>
          <w:b w:val="0"/>
          <w:sz w:val="32"/>
          <w:szCs w:val="32"/>
        </w:rPr>
        <w:t>2024年度政府性基金预算财政拨款收入支出决算表（公开07表）、国有资本经营预算财政拨款支出决算表（公开08表）、财政拨款“三公”经费支出决算表（公开09表）无相应收支，故空表列示。</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2.由于决算公开表格中金额数值应当保留两位小数，公开数据为四舍五入计算结果，个别数据合计项与分项之和存在小数点后差额，特此说明。</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第四部分名词解释</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一、财政拨款收入：</w:t>
      </w:r>
      <w:r>
        <w:rPr>
          <w:rFonts w:ascii="Times New Roman" w:eastAsia="仿宋_GB2312"/>
          <w:b w:val="0"/>
          <w:sz w:val="32"/>
          <w:szCs w:val="32"/>
        </w:rPr>
        <w:t>指</w:t>
      </w:r>
      <w:r>
        <w:rPr>
          <w:rFonts w:hint="eastAsia" w:ascii="Times New Roman" w:eastAsia="仿宋_GB2312"/>
          <w:b w:val="0"/>
          <w:sz w:val="32"/>
          <w:szCs w:val="32"/>
          <w:lang w:eastAsia="zh-CN"/>
        </w:rPr>
        <w:t>部门</w:t>
      </w:r>
      <w:r>
        <w:rPr>
          <w:rFonts w:ascii="Times New Roman" w:eastAsia="仿宋_GB2312"/>
          <w:b w:val="0"/>
          <w:sz w:val="32"/>
          <w:szCs w:val="32"/>
        </w:rPr>
        <w:t>从同级财政部门取得的财政预算资金。</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二、事业收入：</w:t>
      </w:r>
      <w:r>
        <w:rPr>
          <w:rFonts w:ascii="Times New Roman" w:eastAsia="仿宋_GB2312"/>
          <w:b w:val="0"/>
          <w:sz w:val="32"/>
          <w:szCs w:val="32"/>
        </w:rPr>
        <w:t>指事业单位开展专业业务活动及辅助活动取得的收入。</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三、经营收入：</w:t>
      </w:r>
      <w:r>
        <w:rPr>
          <w:rFonts w:ascii="Times New Roman" w:eastAsia="仿宋_GB2312"/>
          <w:b w:val="0"/>
          <w:sz w:val="32"/>
          <w:szCs w:val="32"/>
        </w:rPr>
        <w:t>指事业单位在专业业务活动及其辅助活动之外开展非独立核算经营活动取得的收入。</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四、其他收入：</w:t>
      </w:r>
      <w:r>
        <w:rPr>
          <w:rFonts w:ascii="Times New Roman" w:eastAsia="仿宋_GB2312"/>
          <w:b w:val="0"/>
          <w:sz w:val="32"/>
          <w:szCs w:val="32"/>
        </w:rPr>
        <w:t>指</w:t>
      </w:r>
      <w:r>
        <w:rPr>
          <w:rFonts w:hint="eastAsia" w:ascii="Times New Roman" w:eastAsia="仿宋_GB2312"/>
          <w:b w:val="0"/>
          <w:sz w:val="32"/>
          <w:szCs w:val="32"/>
          <w:lang w:eastAsia="zh-CN"/>
        </w:rPr>
        <w:t>部门</w:t>
      </w:r>
      <w:r>
        <w:rPr>
          <w:rFonts w:ascii="Times New Roman" w:eastAsia="仿宋_GB2312"/>
          <w:b w:val="0"/>
          <w:sz w:val="32"/>
          <w:szCs w:val="32"/>
        </w:rPr>
        <w:t>取得的除上述收入以外的各项收入。主要是事业单位固定资产出租收入、存款利息收入等。</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五、使用非财政拨款结余（含专用结余）：</w:t>
      </w:r>
      <w:r>
        <w:rPr>
          <w:rFonts w:ascii="Times New Roman" w:eastAsia="仿宋_GB2312"/>
          <w:b w:val="0"/>
          <w:sz w:val="32"/>
          <w:szCs w:val="32"/>
        </w:rPr>
        <w:t>指事业单位按照预算管理要求使用非财政拨款结余弥补收支差额的金额，以及使用专用结余安排支出的金额。</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六、年初结转和结余：</w:t>
      </w:r>
      <w:r>
        <w:rPr>
          <w:rFonts w:ascii="Times New Roman" w:eastAsia="仿宋_GB2312"/>
          <w:b w:val="0"/>
          <w:sz w:val="32"/>
          <w:szCs w:val="32"/>
        </w:rPr>
        <w:t>指</w:t>
      </w:r>
      <w:r>
        <w:rPr>
          <w:rFonts w:hint="eastAsia" w:ascii="Times New Roman" w:eastAsia="仿宋_GB2312"/>
          <w:b w:val="0"/>
          <w:sz w:val="32"/>
          <w:szCs w:val="32"/>
          <w:lang w:eastAsia="zh-CN"/>
        </w:rPr>
        <w:t>部门</w:t>
      </w:r>
      <w:r>
        <w:rPr>
          <w:rFonts w:ascii="Times New Roman" w:eastAsia="仿宋_GB2312"/>
          <w:b w:val="0"/>
          <w:sz w:val="32"/>
          <w:szCs w:val="32"/>
        </w:rPr>
        <w:t>以前年度尚未完成、结转到本年仍按原规定用途继续使用的资金，或项目已完成等产生的结余资金。</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七、结余分配：</w:t>
      </w:r>
      <w:r>
        <w:rPr>
          <w:rFonts w:ascii="Times New Roman" w:eastAsia="仿宋_GB2312"/>
          <w:b w:val="0"/>
          <w:sz w:val="32"/>
          <w:szCs w:val="32"/>
        </w:rPr>
        <w:t>指事业单位按照会计制度规定缴纳的所得税、提取的专用结余以及转入非财政拨款结余的金额等。</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八、年末结转和结余：</w:t>
      </w:r>
      <w:r>
        <w:rPr>
          <w:rFonts w:ascii="Times New Roman" w:eastAsia="仿宋_GB2312"/>
          <w:b w:val="0"/>
          <w:sz w:val="32"/>
          <w:szCs w:val="32"/>
        </w:rPr>
        <w:t>指</w:t>
      </w:r>
      <w:r>
        <w:rPr>
          <w:rFonts w:hint="eastAsia" w:ascii="Times New Roman" w:eastAsia="仿宋_GB2312"/>
          <w:b w:val="0"/>
          <w:sz w:val="32"/>
          <w:szCs w:val="32"/>
          <w:lang w:eastAsia="zh-CN"/>
        </w:rPr>
        <w:t>部门</w:t>
      </w:r>
      <w:r>
        <w:rPr>
          <w:rFonts w:ascii="Times New Roman" w:eastAsia="仿宋_GB2312"/>
          <w:b w:val="0"/>
          <w:sz w:val="32"/>
          <w:szCs w:val="32"/>
        </w:rPr>
        <w:t>按有关规定结转到下年或以后年度继续使用的资金，或项目已完成等产生的结余资金。</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九、基本支出：</w:t>
      </w:r>
      <w:r>
        <w:rPr>
          <w:rFonts w:ascii="Times New Roman" w:eastAsia="仿宋_GB2312"/>
          <w:b w:val="0"/>
          <w:sz w:val="32"/>
          <w:szCs w:val="32"/>
        </w:rPr>
        <w:t>指为保障机构正常运转、完成日常工作任务而发生的人员支出和公用支出。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十、项目支出：</w:t>
      </w:r>
      <w:r>
        <w:rPr>
          <w:rFonts w:ascii="Times New Roman" w:eastAsia="仿宋_GB2312"/>
          <w:b w:val="0"/>
          <w:sz w:val="32"/>
          <w:szCs w:val="32"/>
        </w:rPr>
        <w:t>指在基本支出之外为完成特定行政任务和事业发展目标所发生的支出。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十一、经营支出：</w:t>
      </w:r>
      <w:r>
        <w:rPr>
          <w:rFonts w:ascii="Times New Roman" w:eastAsia="仿宋_GB2312"/>
          <w:b w:val="0"/>
          <w:sz w:val="32"/>
          <w:szCs w:val="32"/>
        </w:rPr>
        <w:t>指事业单位在专业业务活动及其辅助活动之外开展非独立核算经营活动发生的支出。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十二、基本建设支出：</w:t>
      </w:r>
      <w:r>
        <w:rPr>
          <w:rFonts w:ascii="Times New Roman" w:eastAsia="仿宋_GB2312"/>
          <w:b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十三、其他资本性支出：</w:t>
      </w:r>
      <w:r>
        <w:rPr>
          <w:rFonts w:ascii="Times New Roman" w:eastAsia="仿宋_GB2312"/>
          <w:b w:val="0"/>
          <w:sz w:val="32"/>
          <w:szCs w:val="32"/>
        </w:rPr>
        <w:t>填列由各级非发展与改革部门集中安排的用于购置固定资产、战备性和应急性储备、土地和无形资产，以及购建基础设施、大型修缮和财政支持企业更新改造所发生的支出。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十四、“三公”经费：</w:t>
      </w:r>
      <w:r>
        <w:rPr>
          <w:rFonts w:ascii="Times New Roman" w:eastAsia="仿宋_GB2312"/>
          <w:b w:val="0"/>
          <w:sz w:val="32"/>
          <w:szCs w:val="32"/>
        </w:rPr>
        <w:t>指</w:t>
      </w:r>
      <w:r>
        <w:rPr>
          <w:rFonts w:hint="eastAsia" w:ascii="Times New Roman" w:eastAsia="仿宋_GB2312"/>
          <w:b w:val="0"/>
          <w:sz w:val="32"/>
          <w:szCs w:val="32"/>
          <w:lang w:eastAsia="zh-CN"/>
        </w:rPr>
        <w:t>部门</w:t>
      </w:r>
      <w:r>
        <w:rPr>
          <w:rFonts w:ascii="Times New Roman" w:eastAsia="仿宋_GB2312"/>
          <w:b w:val="0"/>
          <w:sz w:val="32"/>
          <w:szCs w:val="32"/>
        </w:rPr>
        <w:t>用财政拨款安排的因公出国（境）费、公务用车购置及运行费和公务接待费。其中，因公出国（境）费反映</w:t>
      </w:r>
      <w:r>
        <w:rPr>
          <w:rFonts w:hint="eastAsia" w:ascii="Times New Roman" w:eastAsia="仿宋_GB2312"/>
          <w:b w:val="0"/>
          <w:sz w:val="32"/>
          <w:szCs w:val="32"/>
          <w:lang w:eastAsia="zh-CN"/>
        </w:rPr>
        <w:t>部门</w:t>
      </w:r>
      <w:r>
        <w:rPr>
          <w:rFonts w:ascii="Times New Roman" w:eastAsia="仿宋_GB2312"/>
          <w:b w:val="0"/>
          <w:sz w:val="32"/>
          <w:szCs w:val="32"/>
        </w:rPr>
        <w:t>公务出国（境）的国际旅费、国外城市间交通费、住宿费、伙食费、培训费、公杂费等支出；公务用车购置及运行费反映</w:t>
      </w:r>
      <w:r>
        <w:rPr>
          <w:rFonts w:hint="eastAsia" w:ascii="Times New Roman" w:eastAsia="仿宋_GB2312"/>
          <w:b w:val="0"/>
          <w:sz w:val="32"/>
          <w:szCs w:val="32"/>
          <w:lang w:eastAsia="zh-CN"/>
        </w:rPr>
        <w:t>部门</w:t>
      </w:r>
      <w:r>
        <w:rPr>
          <w:rFonts w:ascii="Times New Roman" w:eastAsia="仿宋_GB2312"/>
          <w:b w:val="0"/>
          <w:sz w:val="32"/>
          <w:szCs w:val="32"/>
        </w:rPr>
        <w:t>公务用车购置支出（含车辆购置税、牌照费）及按规定保留的公务用车燃料费、维修费、过桥过路费、保险费、安全奖励费用等支出；公务接待费反映</w:t>
      </w:r>
      <w:r>
        <w:rPr>
          <w:rFonts w:hint="eastAsia" w:ascii="Times New Roman" w:eastAsia="仿宋_GB2312"/>
          <w:b w:val="0"/>
          <w:sz w:val="32"/>
          <w:szCs w:val="32"/>
          <w:lang w:eastAsia="zh-CN"/>
        </w:rPr>
        <w:t>部门</w:t>
      </w:r>
      <w:r>
        <w:rPr>
          <w:rFonts w:ascii="Times New Roman" w:eastAsia="仿宋_GB2312"/>
          <w:b w:val="0"/>
          <w:sz w:val="32"/>
          <w:szCs w:val="32"/>
        </w:rPr>
        <w:t>按规定开支的各类公务接待（含外宾接待）支出。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十五、其他交通费用：</w:t>
      </w:r>
      <w:r>
        <w:rPr>
          <w:rFonts w:ascii="Times New Roman" w:eastAsia="仿宋_GB2312"/>
          <w:b w:val="0"/>
          <w:sz w:val="32"/>
          <w:szCs w:val="32"/>
        </w:rPr>
        <w:t>填列</w:t>
      </w:r>
      <w:r>
        <w:rPr>
          <w:rFonts w:hint="eastAsia" w:ascii="Times New Roman" w:eastAsia="仿宋_GB2312"/>
          <w:b w:val="0"/>
          <w:sz w:val="32"/>
          <w:szCs w:val="32"/>
          <w:lang w:eastAsia="zh-CN"/>
        </w:rPr>
        <w:t>部门</w:t>
      </w:r>
      <w:r>
        <w:rPr>
          <w:rFonts w:ascii="Times New Roman" w:eastAsia="仿宋_GB2312"/>
          <w:b w:val="0"/>
          <w:sz w:val="32"/>
          <w:szCs w:val="32"/>
        </w:rPr>
        <w:t>除公务用车运行维护费以外的其他交通费用。如公务交通补贴、租车费用、出租车费用，飞机、船舶等燃料费、维修费、保险费等。</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十六、公务用车购置：</w:t>
      </w:r>
      <w:r>
        <w:rPr>
          <w:rFonts w:ascii="Times New Roman" w:eastAsia="仿宋_GB2312"/>
          <w:b w:val="0"/>
          <w:sz w:val="32"/>
          <w:szCs w:val="32"/>
        </w:rPr>
        <w:t>填列</w:t>
      </w:r>
      <w:r>
        <w:rPr>
          <w:rFonts w:hint="eastAsia" w:ascii="Times New Roman" w:eastAsia="仿宋_GB2312"/>
          <w:b w:val="0"/>
          <w:sz w:val="32"/>
          <w:szCs w:val="32"/>
          <w:lang w:eastAsia="zh-CN"/>
        </w:rPr>
        <w:t>部门</w:t>
      </w:r>
      <w:r>
        <w:rPr>
          <w:rFonts w:ascii="Times New Roman" w:eastAsia="仿宋_GB2312"/>
          <w:b w:val="0"/>
          <w:sz w:val="32"/>
          <w:szCs w:val="32"/>
        </w:rPr>
        <w:t>公务用车车辆购置支出（含车辆购置税、牌照费）。</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十七、其他交通工具购置：</w:t>
      </w:r>
      <w:r>
        <w:rPr>
          <w:rFonts w:ascii="Times New Roman" w:eastAsia="仿宋_GB2312"/>
          <w:b w:val="0"/>
          <w:sz w:val="32"/>
          <w:szCs w:val="32"/>
        </w:rPr>
        <w:t>填列</w:t>
      </w:r>
      <w:r>
        <w:rPr>
          <w:rFonts w:hint="eastAsia" w:ascii="Times New Roman" w:eastAsia="仿宋_GB2312"/>
          <w:b w:val="0"/>
          <w:sz w:val="32"/>
          <w:szCs w:val="32"/>
          <w:lang w:eastAsia="zh-CN"/>
        </w:rPr>
        <w:t>部门</w:t>
      </w:r>
      <w:r>
        <w:rPr>
          <w:rFonts w:ascii="Times New Roman" w:eastAsia="仿宋_GB2312"/>
          <w:b w:val="0"/>
          <w:sz w:val="32"/>
          <w:szCs w:val="32"/>
        </w:rPr>
        <w:t>除公务用车外的其他各类交通工具（如船舶、飞机等）购置支出（含车辆购置税、牌照费）。</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十八、机关运行经费：</w:t>
      </w:r>
      <w:r>
        <w:rPr>
          <w:rFonts w:ascii="Times New Roman" w:eastAsia="仿宋_GB2312"/>
          <w:b w:val="0"/>
          <w:sz w:val="32"/>
          <w:szCs w:val="32"/>
        </w:rPr>
        <w:t>指为保障行政</w:t>
      </w:r>
      <w:r>
        <w:rPr>
          <w:rFonts w:hint="eastAsia" w:ascii="Times New Roman" w:eastAsia="仿宋_GB2312"/>
          <w:b w:val="0"/>
          <w:sz w:val="32"/>
          <w:szCs w:val="32"/>
          <w:lang w:val="en-US" w:eastAsia="zh-CN"/>
        </w:rPr>
        <w:t>单位</w:t>
      </w:r>
      <w:r>
        <w:rPr>
          <w:rFonts w:ascii="Times New Roman" w:eastAsia="仿宋_GB2312"/>
          <w:b w:val="0"/>
          <w:sz w:val="32"/>
          <w:szCs w:val="32"/>
        </w:rPr>
        <w:t>（包括参照公务员法管理的事业</w:t>
      </w:r>
      <w:r>
        <w:rPr>
          <w:rFonts w:hint="eastAsia" w:ascii="Times New Roman" w:eastAsia="仿宋_GB2312"/>
          <w:b w:val="0"/>
          <w:sz w:val="32"/>
          <w:szCs w:val="32"/>
          <w:lang w:val="en-US" w:eastAsia="zh-CN"/>
        </w:rPr>
        <w:t>*9</w:t>
      </w:r>
      <w:r>
        <w:rPr>
          <w:rFonts w:ascii="Times New Roman" w:eastAsia="仿宋_GB2312"/>
          <w:b w:val="0"/>
          <w:sz w:val="32"/>
          <w:szCs w:val="32"/>
        </w:rPr>
        <w:t>）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D784C0C2-175F-4ADB-993F-6CDAE0255CDF}"/>
  </w:font>
  <w:font w:name="黑体">
    <w:panose1 w:val="02010600030101010101"/>
    <w:charset w:val="86"/>
    <w:family w:val="auto"/>
    <w:pitch w:val="default"/>
    <w:sig w:usb0="800002BF" w:usb1="38CF7CFA" w:usb2="00000016" w:usb3="00000000" w:csb0="00040001" w:csb1="00000000"/>
    <w:embedRegular r:id="rId2" w:fontKey="{01881F5B-9D85-40EF-839F-80F6AE90B05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3" w:fontKey="{C73D3A55-326C-4F76-BB94-9B536BDC62C4}"/>
  </w:font>
  <w:font w:name="仿宋">
    <w:panose1 w:val="02010609060101010101"/>
    <w:charset w:val="86"/>
    <w:family w:val="modern"/>
    <w:pitch w:val="default"/>
    <w:sig w:usb0="800002BF" w:usb1="38CF7CFA" w:usb2="00000016" w:usb3="00000000" w:csb0="00040001" w:csb1="00000000"/>
    <w:embedRegular r:id="rId4" w:fontKey="{B6E8353F-E66C-4FF1-A1EF-1E65E26E695E}"/>
  </w:font>
  <w:font w:name="Calibri Light">
    <w:altName w:val="Calibri"/>
    <w:panose1 w:val="020F0302020204030204"/>
    <w:charset w:val="00"/>
    <w:family w:val="auto"/>
    <w:pitch w:val="default"/>
    <w:sig w:usb0="00000000" w:usb1="00000000"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embedRegular r:id="rId5" w:fontKey="{121BBF73-0368-40AB-A5D5-1E8A219C2A4D}"/>
  </w:font>
  <w:font w:name="方正小标宋_GBK">
    <w:panose1 w:val="02000000000000000000"/>
    <w:charset w:val="86"/>
    <w:family w:val="script"/>
    <w:pitch w:val="default"/>
    <w:sig w:usb0="A00002BF" w:usb1="38CF7CFA" w:usb2="00082016" w:usb3="00000000" w:csb0="00040001" w:csb1="00000000"/>
    <w:embedRegular r:id="rId6" w:fontKey="{EA010B77-DA01-452B-B8D1-866A23492334}"/>
  </w:font>
  <w:font w:name="仿宋_GB2312">
    <w:panose1 w:val="02010609030101010101"/>
    <w:charset w:val="86"/>
    <w:family w:val="auto"/>
    <w:pitch w:val="default"/>
    <w:sig w:usb0="00000001" w:usb1="080E0000" w:usb2="00000000" w:usb3="00000000" w:csb0="00040000" w:csb1="00000000"/>
    <w:embedRegular r:id="rId7" w:fontKey="{1802B305-5FCD-4DC5-894E-4670A1825CD8}"/>
  </w:font>
  <w:font w:name="ArialUnicodeMS">
    <w:altName w:val="Malgun Gothic"/>
    <w:panose1 w:val="00000000000000000000"/>
    <w:charset w:val="81"/>
    <w:family w:val="auto"/>
    <w:pitch w:val="default"/>
    <w:sig w:usb0="00000000" w:usb1="00000000" w:usb2="00000010" w:usb3="00000000" w:csb0="00080001" w:csb1="00000000"/>
    <w:embedRegular r:id="rId8" w:fontKey="{0B380C77-B2E0-4678-9796-2129584A25BD}"/>
  </w:font>
  <w:font w:name="方正仿宋_GB2312">
    <w:panose1 w:val="02000000000000000000"/>
    <w:charset w:val="86"/>
    <w:family w:val="auto"/>
    <w:pitch w:val="default"/>
    <w:sig w:usb0="A00002BF" w:usb1="184F6CFA" w:usb2="00000012" w:usb3="00000000" w:csb0="00040001" w:csb1="00000000"/>
    <w:embedRegular r:id="rId9" w:fontKey="{038DF49D-ED56-4710-A391-D5EE0D8799F7}"/>
  </w:font>
  <w:font w:name="Malgun Gothic">
    <w:panose1 w:val="020B0503020000020004"/>
    <w:charset w:val="81"/>
    <w:family w:val="auto"/>
    <w:pitch w:val="default"/>
    <w:sig w:usb0="900002AF" w:usb1="01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zcsImhkaWQiOiIzZDE0MTg0NDZhNWZiZTY0ZTEyOTJmNzgxMWVjODMzYiIsInVzZXJDb3VudCI6OH0="/>
  </w:docVars>
  <w:rsids>
    <w:rsidRoot w:val="00000000"/>
    <w:rsid w:val="00086151"/>
    <w:rsid w:val="00236F8C"/>
    <w:rsid w:val="00822154"/>
    <w:rsid w:val="00C65689"/>
    <w:rsid w:val="00CC2C8E"/>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D65F7"/>
    <w:rsid w:val="050E10CE"/>
    <w:rsid w:val="054F2DFB"/>
    <w:rsid w:val="05991C82"/>
    <w:rsid w:val="05CD1EC8"/>
    <w:rsid w:val="061416A9"/>
    <w:rsid w:val="061D60A6"/>
    <w:rsid w:val="06236884"/>
    <w:rsid w:val="06B07006"/>
    <w:rsid w:val="06CF6CDB"/>
    <w:rsid w:val="06FC7C2A"/>
    <w:rsid w:val="07533AFE"/>
    <w:rsid w:val="07AC18F2"/>
    <w:rsid w:val="07B3657A"/>
    <w:rsid w:val="07C857D0"/>
    <w:rsid w:val="083F3A0A"/>
    <w:rsid w:val="08AB5AAF"/>
    <w:rsid w:val="09012C64"/>
    <w:rsid w:val="093B2E99"/>
    <w:rsid w:val="095D7943"/>
    <w:rsid w:val="09C006C6"/>
    <w:rsid w:val="09C371D5"/>
    <w:rsid w:val="0A10621F"/>
    <w:rsid w:val="0A464C4F"/>
    <w:rsid w:val="0A6729A3"/>
    <w:rsid w:val="0A694877"/>
    <w:rsid w:val="0AA954BE"/>
    <w:rsid w:val="0AE70639"/>
    <w:rsid w:val="0B4F5E6D"/>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360E62"/>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46708"/>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B63434"/>
    <w:rsid w:val="26D50E55"/>
    <w:rsid w:val="271A539C"/>
    <w:rsid w:val="273823FA"/>
    <w:rsid w:val="274972D4"/>
    <w:rsid w:val="27AA3D97"/>
    <w:rsid w:val="280A3758"/>
    <w:rsid w:val="28292E99"/>
    <w:rsid w:val="289057C5"/>
    <w:rsid w:val="28A67C7A"/>
    <w:rsid w:val="28EA3248"/>
    <w:rsid w:val="28F879DA"/>
    <w:rsid w:val="294B7731"/>
    <w:rsid w:val="29514455"/>
    <w:rsid w:val="29D21FF2"/>
    <w:rsid w:val="2A611B0F"/>
    <w:rsid w:val="2A6C7911"/>
    <w:rsid w:val="2AC1762B"/>
    <w:rsid w:val="2ADB5CCE"/>
    <w:rsid w:val="2AE845D0"/>
    <w:rsid w:val="2B4975FB"/>
    <w:rsid w:val="2B695031"/>
    <w:rsid w:val="2B735A8F"/>
    <w:rsid w:val="2BA7478D"/>
    <w:rsid w:val="2BB038DB"/>
    <w:rsid w:val="2BB761E0"/>
    <w:rsid w:val="2BB812F9"/>
    <w:rsid w:val="2BE35C27"/>
    <w:rsid w:val="2BFA504B"/>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330424"/>
    <w:rsid w:val="36FE3ABA"/>
    <w:rsid w:val="37072BDE"/>
    <w:rsid w:val="37455334"/>
    <w:rsid w:val="37527C32"/>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8626D0"/>
    <w:rsid w:val="3D953A6B"/>
    <w:rsid w:val="3DBB5979"/>
    <w:rsid w:val="3DD56F21"/>
    <w:rsid w:val="3DEF6699"/>
    <w:rsid w:val="3E1057AF"/>
    <w:rsid w:val="3E6C0DFA"/>
    <w:rsid w:val="3E740322"/>
    <w:rsid w:val="3E7F4380"/>
    <w:rsid w:val="3E8D171B"/>
    <w:rsid w:val="3EA5630D"/>
    <w:rsid w:val="3EBA731B"/>
    <w:rsid w:val="3EE33949"/>
    <w:rsid w:val="3EFB5800"/>
    <w:rsid w:val="3F3B4E59"/>
    <w:rsid w:val="3F6E677C"/>
    <w:rsid w:val="3F712F46"/>
    <w:rsid w:val="3FBC0EF7"/>
    <w:rsid w:val="3FCD2AB9"/>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592743"/>
    <w:rsid w:val="46663E71"/>
    <w:rsid w:val="466A37AC"/>
    <w:rsid w:val="468A1A00"/>
    <w:rsid w:val="46CB071B"/>
    <w:rsid w:val="46DE140B"/>
    <w:rsid w:val="46E77334"/>
    <w:rsid w:val="46F22E29"/>
    <w:rsid w:val="46F7142F"/>
    <w:rsid w:val="47107AE3"/>
    <w:rsid w:val="473C62ED"/>
    <w:rsid w:val="47617242"/>
    <w:rsid w:val="47835CCA"/>
    <w:rsid w:val="478C16C9"/>
    <w:rsid w:val="47BD246B"/>
    <w:rsid w:val="47CB2B0C"/>
    <w:rsid w:val="47E773CE"/>
    <w:rsid w:val="47EE2C9A"/>
    <w:rsid w:val="47F00499"/>
    <w:rsid w:val="48015FF5"/>
    <w:rsid w:val="483820D2"/>
    <w:rsid w:val="48692CD0"/>
    <w:rsid w:val="48AE3D01"/>
    <w:rsid w:val="48B96318"/>
    <w:rsid w:val="49067B2F"/>
    <w:rsid w:val="49677E31"/>
    <w:rsid w:val="496C2225"/>
    <w:rsid w:val="49891279"/>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6232437"/>
    <w:rsid w:val="56541A75"/>
    <w:rsid w:val="568832FC"/>
    <w:rsid w:val="568C4181"/>
    <w:rsid w:val="570725A9"/>
    <w:rsid w:val="5714693E"/>
    <w:rsid w:val="571D0C9C"/>
    <w:rsid w:val="573A16CE"/>
    <w:rsid w:val="579C7F80"/>
    <w:rsid w:val="57B30D7C"/>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FA5EB0"/>
    <w:rsid w:val="5E000E4D"/>
    <w:rsid w:val="5E0B583E"/>
    <w:rsid w:val="5E201A7B"/>
    <w:rsid w:val="5E9D546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4C4DC2"/>
    <w:rsid w:val="65610A02"/>
    <w:rsid w:val="65A11EA3"/>
    <w:rsid w:val="65AC3D66"/>
    <w:rsid w:val="65BB5334"/>
    <w:rsid w:val="663E1DBA"/>
    <w:rsid w:val="665D0213"/>
    <w:rsid w:val="668506C7"/>
    <w:rsid w:val="669E59F1"/>
    <w:rsid w:val="66A2024B"/>
    <w:rsid w:val="66CB5E2D"/>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C6E67"/>
    <w:rsid w:val="697E12B2"/>
    <w:rsid w:val="69C8706D"/>
    <w:rsid w:val="6A0E3FB4"/>
    <w:rsid w:val="6A292754"/>
    <w:rsid w:val="6A5E3B28"/>
    <w:rsid w:val="6A6B1EBE"/>
    <w:rsid w:val="6A8F43F7"/>
    <w:rsid w:val="6AD625F3"/>
    <w:rsid w:val="6B7218BE"/>
    <w:rsid w:val="6B750BA9"/>
    <w:rsid w:val="6BB93285"/>
    <w:rsid w:val="6C0C698C"/>
    <w:rsid w:val="6C222401"/>
    <w:rsid w:val="6C56267F"/>
    <w:rsid w:val="6C826EF9"/>
    <w:rsid w:val="6CAE4C93"/>
    <w:rsid w:val="6CB14F16"/>
    <w:rsid w:val="6CEC2069"/>
    <w:rsid w:val="6D0B1869"/>
    <w:rsid w:val="6D65402D"/>
    <w:rsid w:val="6D683822"/>
    <w:rsid w:val="6D8D136C"/>
    <w:rsid w:val="6DBF2759"/>
    <w:rsid w:val="6DC96F36"/>
    <w:rsid w:val="6DCC5E58"/>
    <w:rsid w:val="6DFA3EBF"/>
    <w:rsid w:val="6E3E63D2"/>
    <w:rsid w:val="6E5F7BE6"/>
    <w:rsid w:val="6E6918C6"/>
    <w:rsid w:val="6EEB4AC4"/>
    <w:rsid w:val="6F212DD6"/>
    <w:rsid w:val="6F3B5912"/>
    <w:rsid w:val="6FA14A81"/>
    <w:rsid w:val="6FA3261F"/>
    <w:rsid w:val="6FB44BAA"/>
    <w:rsid w:val="6FBD51E8"/>
    <w:rsid w:val="700D6539"/>
    <w:rsid w:val="70141305"/>
    <w:rsid w:val="704203E3"/>
    <w:rsid w:val="7058046B"/>
    <w:rsid w:val="707F2079"/>
    <w:rsid w:val="70922734"/>
    <w:rsid w:val="70CD16CB"/>
    <w:rsid w:val="70CE6DC7"/>
    <w:rsid w:val="710B3646"/>
    <w:rsid w:val="711759F2"/>
    <w:rsid w:val="713C4ED8"/>
    <w:rsid w:val="71407642"/>
    <w:rsid w:val="71530B2E"/>
    <w:rsid w:val="71641210"/>
    <w:rsid w:val="71D95B7C"/>
    <w:rsid w:val="71EA6A50"/>
    <w:rsid w:val="71FE31A8"/>
    <w:rsid w:val="720C30AE"/>
    <w:rsid w:val="721A7983"/>
    <w:rsid w:val="721F6113"/>
    <w:rsid w:val="7233782C"/>
    <w:rsid w:val="726A729D"/>
    <w:rsid w:val="72B82BE4"/>
    <w:rsid w:val="73177841"/>
    <w:rsid w:val="733774FE"/>
    <w:rsid w:val="73617E1B"/>
    <w:rsid w:val="736D7653"/>
    <w:rsid w:val="738035CB"/>
    <w:rsid w:val="73852C46"/>
    <w:rsid w:val="7396335C"/>
    <w:rsid w:val="73F46595"/>
    <w:rsid w:val="73F47FAE"/>
    <w:rsid w:val="74283FA2"/>
    <w:rsid w:val="742C135B"/>
    <w:rsid w:val="74463733"/>
    <w:rsid w:val="748A2F40"/>
    <w:rsid w:val="74D84FF7"/>
    <w:rsid w:val="74F85778"/>
    <w:rsid w:val="75272439"/>
    <w:rsid w:val="758F1E9B"/>
    <w:rsid w:val="75CE266B"/>
    <w:rsid w:val="76120141"/>
    <w:rsid w:val="768216BE"/>
    <w:rsid w:val="76C23B43"/>
    <w:rsid w:val="76FD6F97"/>
    <w:rsid w:val="770218E8"/>
    <w:rsid w:val="779469CE"/>
    <w:rsid w:val="77C875A5"/>
    <w:rsid w:val="78A27DF6"/>
    <w:rsid w:val="79285B3A"/>
    <w:rsid w:val="7940035E"/>
    <w:rsid w:val="79490B03"/>
    <w:rsid w:val="79625CA9"/>
    <w:rsid w:val="79A91196"/>
    <w:rsid w:val="7A0B32D3"/>
    <w:rsid w:val="7AC13CD3"/>
    <w:rsid w:val="7AE10264"/>
    <w:rsid w:val="7AE4248E"/>
    <w:rsid w:val="7B4A207F"/>
    <w:rsid w:val="7B936F45"/>
    <w:rsid w:val="7BA47419"/>
    <w:rsid w:val="7BB10D45"/>
    <w:rsid w:val="7BB44151"/>
    <w:rsid w:val="7C656A39"/>
    <w:rsid w:val="7CB93996"/>
    <w:rsid w:val="7CBE0F99"/>
    <w:rsid w:val="7CD97B5E"/>
    <w:rsid w:val="7D4E45F1"/>
    <w:rsid w:val="7DFB6D82"/>
    <w:rsid w:val="7E1D71D1"/>
    <w:rsid w:val="7E246254"/>
    <w:rsid w:val="7E553215"/>
    <w:rsid w:val="7E6D090F"/>
    <w:rsid w:val="7ECC66B2"/>
    <w:rsid w:val="7F2914C3"/>
    <w:rsid w:val="7F5F2ED6"/>
    <w:rsid w:val="7FA837EF"/>
    <w:rsid w:val="7FC36955"/>
    <w:rsid w:val="7FE903A0"/>
    <w:rsid w:val="7FF07065"/>
    <w:rsid w:val="7FF97946"/>
    <w:rsid w:val="7FFE7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image" Target="media/image1.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1 </a:t>
            </a:r>
            <a:r>
              <a:rPr lang="zh-CN" altLang="en-US"/>
              <a:t>： </a:t>
            </a:r>
            <a:r>
              <a:rPr lang="en-US" altLang="zh-CN"/>
              <a:t>2023-2024</a:t>
            </a:r>
            <a:r>
              <a:rPr lang="zh-CN" altLang="en-US"/>
              <a:t>年收支总计对比图（万元）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90.1</c:v>
                </c:pt>
                <c:pt idx="1">
                  <c:v>104.71</c:v>
                </c:pt>
              </c:numCache>
            </c:numRef>
          </c:val>
        </c:ser>
        <c:dLbls>
          <c:showLegendKey val="0"/>
          <c:showVal val="1"/>
          <c:showCatName val="0"/>
          <c:showSerName val="0"/>
          <c:showPercent val="0"/>
          <c:showBubbleSize val="0"/>
        </c:dLbls>
        <c:gapWidth val="246"/>
        <c:overlap val="-28"/>
        <c:axId val="817088452"/>
        <c:axId val="587069473"/>
      </c:barChart>
      <c:catAx>
        <c:axId val="8170884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069473"/>
        <c:crosses val="autoZero"/>
        <c:auto val="1"/>
        <c:lblAlgn val="ctr"/>
        <c:lblOffset val="100"/>
        <c:noMultiLvlLbl val="0"/>
      </c:catAx>
      <c:valAx>
        <c:axId val="58706947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70884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2 </a:t>
            </a:r>
            <a:r>
              <a:rPr lang="zh-CN" altLang="en-US"/>
              <a:t>：收入决算构成情况图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dLbl>
              <c:idx val="0"/>
              <c:layout>
                <c:manualLayout>
                  <c:x val="0.320125539403024"/>
                  <c:y val="0.72690713982147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08045516407558"/>
                  <c:y val="0.63914683382912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405411836540074"/>
                  <c:y val="0.171855078623054"/>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37059073523162"/>
                    </c:manualLayout>
                  </c15:layout>
                </c:ext>
              </c:extLst>
            </c:dLbl>
            <c:dLbl>
              <c:idx val="3"/>
              <c:layout>
                <c:manualLayout>
                  <c:x val="-0.286905148238858"/>
                  <c:y val="0.270250743731381"/>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709732256694"/>
                    </c:manualLayout>
                  </c15:layout>
                </c:ext>
              </c:extLst>
            </c:dLbl>
            <c:dLbl>
              <c:idx val="4"/>
              <c:layout>
                <c:manualLayout>
                  <c:x val="-0.298985360795255"/>
                  <c:y val="0.4491606459838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211403720706"/>
                      <c:h val="0.154908627284318"/>
                    </c:manualLayout>
                  </c15:layout>
                </c:ext>
              </c:extLst>
            </c:dLbl>
            <c:dLbl>
              <c:idx val="5"/>
              <c:layout>
                <c:manualLayout>
                  <c:x val="-0.288475575878384"/>
                  <c:y val="0.124165958351015"/>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922226944326"/>
                    </c:manualLayout>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1"/>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财政拨款收入</c:v>
                </c:pt>
                <c:pt idx="1">
                  <c:v>上级补助收入</c:v>
                </c:pt>
                <c:pt idx="2">
                  <c:v>事业收入</c:v>
                </c:pt>
                <c:pt idx="3">
                  <c:v>经营收入</c:v>
                </c:pt>
                <c:pt idx="4">
                  <c:v>附属单位上缴收入</c:v>
                </c:pt>
                <c:pt idx="5">
                  <c:v>其他收入</c:v>
                </c:pt>
              </c:strCache>
            </c:strRef>
          </c:cat>
          <c:val>
            <c:numRef>
              <c:f>Sheet1!$B$2:$B$7</c:f>
              <c:numCache>
                <c:formatCode>General</c:formatCode>
                <c:ptCount val="6"/>
                <c:pt idx="0">
                  <c:v>1047147.46</c:v>
                </c:pt>
                <c:pt idx="1">
                  <c:v>0</c:v>
                </c:pt>
                <c:pt idx="2">
                  <c:v>0</c:v>
                </c:pt>
                <c:pt idx="3">
                  <c:v>0</c:v>
                </c:pt>
                <c:pt idx="4">
                  <c:v>0</c:v>
                </c:pt>
                <c:pt idx="5">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chemeClr val="tx1">
                    <a:lumMod val="75000"/>
                    <a:lumOff val="25000"/>
                  </a:schemeClr>
                </a:solidFill>
                <a:latin typeface="+mn-lt"/>
                <a:ea typeface="+mn-ea"/>
                <a:cs typeface="+mn-cs"/>
              </a:defRPr>
            </a:pPr>
            <a:r>
              <a:rPr lang="zh-CN" altLang="en-US" b="1"/>
              <a:t>图 </a:t>
            </a:r>
            <a:r>
              <a:rPr lang="en-US" altLang="zh-CN" b="1"/>
              <a:t>3 </a:t>
            </a:r>
            <a:r>
              <a:rPr lang="zh-CN" altLang="en-US" b="1"/>
              <a:t>：支出决算构成情况图</a:t>
            </a:r>
            <a:endParaRPr lang="zh-CN" altLang="en-US" b="1"/>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0"/>
              <c:layout>
                <c:manualLayout>
                  <c:x val="0.346218893452525"/>
                  <c:y val="0.7154696132596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57095916888137"/>
                  <c:y val="0.097938376540627"/>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292703551582508"/>
                  <c:y val="0.26689332766680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315235684561946"/>
                  <c:y val="0.468316617084613"/>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273558967655045"/>
                  <c:y val="0.71821036974079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1"/>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804856.86</c:v>
                </c:pt>
                <c:pt idx="1">
                  <c:v>242290.6</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4 </a:t>
            </a:r>
            <a:r>
              <a:rPr lang="zh-CN" altLang="en-US"/>
              <a:t>：</a:t>
            </a:r>
            <a:r>
              <a:rPr lang="en-US" altLang="zh-CN"/>
              <a:t>2023-2024</a:t>
            </a:r>
            <a:r>
              <a:rPr lang="zh-CN" altLang="en-US"/>
              <a:t>年财政拨款收支对比图（万元）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90.1</c:v>
                </c:pt>
                <c:pt idx="1">
                  <c:v>90.1</c:v>
                </c:pt>
                <c:pt idx="2">
                  <c:v>90.1</c:v>
                </c:pt>
                <c:pt idx="3">
                  <c:v>90.1</c:v>
                </c:pt>
                <c:pt idx="4">
                  <c:v>0</c:v>
                </c:pt>
                <c:pt idx="5">
                  <c:v>0</c:v>
                </c:pt>
                <c:pt idx="6">
                  <c:v>0</c:v>
                </c:pt>
                <c:pt idx="7">
                  <c:v>0</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104.71</c:v>
                </c:pt>
                <c:pt idx="1">
                  <c:v>104.71</c:v>
                </c:pt>
                <c:pt idx="2">
                  <c:v>104.71</c:v>
                </c:pt>
                <c:pt idx="3">
                  <c:v>104.71</c:v>
                </c:pt>
                <c:pt idx="4">
                  <c:v>0</c:v>
                </c:pt>
                <c:pt idx="5">
                  <c:v>0</c:v>
                </c:pt>
                <c:pt idx="6">
                  <c:v>0</c:v>
                </c:pt>
                <c:pt idx="7">
                  <c:v>0</c:v>
                </c:pt>
              </c:numCache>
            </c:numRef>
          </c:val>
        </c:ser>
        <c:dLbls>
          <c:showLegendKey val="0"/>
          <c:showVal val="1"/>
          <c:showCatName val="0"/>
          <c:showSerName val="0"/>
          <c:showPercent val="0"/>
          <c:showBubbleSize val="0"/>
        </c:dLbls>
        <c:gapWidth val="246"/>
        <c:overlap val="-28"/>
        <c:axId val="40225855"/>
        <c:axId val="660958640"/>
      </c:barChart>
      <c:catAx>
        <c:axId val="40225855"/>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0958640"/>
        <c:crosses val="autoZero"/>
        <c:auto val="1"/>
        <c:lblAlgn val="ctr"/>
        <c:lblOffset val="100"/>
        <c:noMultiLvlLbl val="0"/>
      </c:catAx>
      <c:valAx>
        <c:axId val="66095864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22585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5 :</a:t>
            </a:r>
            <a:r>
              <a:rPr lang="zh-CN" altLang="en-US"/>
              <a:t>财政拨款收支预算对比图（万元）</a:t>
            </a:r>
            <a:endParaRPr lang="zh-CN" altLang="en-US"/>
          </a:p>
        </c:rich>
      </c:tx>
      <c:layout/>
      <c:overlay val="0"/>
      <c:spPr>
        <a:noFill/>
        <a:ln>
          <a:noFill/>
        </a:ln>
        <a:effectLst/>
      </c:spPr>
    </c:title>
    <c:autoTitleDeleted val="0"/>
    <c:plotArea>
      <c:layout>
        <c:manualLayout>
          <c:layoutTarget val="inner"/>
          <c:xMode val="edge"/>
          <c:yMode val="edge"/>
          <c:x val="0.17641942498188"/>
          <c:y val="0.160433489162771"/>
          <c:w val="0.795796086011114"/>
          <c:h val="0.474330641733957"/>
        </c:manualLayout>
      </c:layout>
      <c:barChart>
        <c:barDir val="col"/>
        <c:grouping val="clustered"/>
        <c:varyColors val="0"/>
        <c:ser>
          <c:idx val="0"/>
          <c:order val="0"/>
          <c:tx>
            <c:strRef>
              <c:f>Sheet1!$B$1</c:f>
              <c:strCache>
                <c:ptCount val="1"/>
                <c:pt idx="0">
                  <c:v>年初预算数</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80.52</c:v>
                </c:pt>
                <c:pt idx="1">
                  <c:v>80.52</c:v>
                </c:pt>
                <c:pt idx="2">
                  <c:v>80.52</c:v>
                </c:pt>
                <c:pt idx="3">
                  <c:v>80.52</c:v>
                </c:pt>
                <c:pt idx="4">
                  <c:v>0</c:v>
                </c:pt>
                <c:pt idx="5">
                  <c:v>0</c:v>
                </c:pt>
                <c:pt idx="6">
                  <c:v>0</c:v>
                </c:pt>
                <c:pt idx="7">
                  <c:v>0</c:v>
                </c:pt>
              </c:numCache>
            </c:numRef>
          </c:val>
        </c:ser>
        <c:ser>
          <c:idx val="1"/>
          <c:order val="1"/>
          <c:tx>
            <c:strRef>
              <c:f>Sheet1!$C$1</c:f>
              <c:strCache>
                <c:ptCount val="1"/>
                <c:pt idx="0">
                  <c:v>决算数</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104.71</c:v>
                </c:pt>
                <c:pt idx="1">
                  <c:v>104.71</c:v>
                </c:pt>
                <c:pt idx="2">
                  <c:v>104.71</c:v>
                </c:pt>
                <c:pt idx="3">
                  <c:v>104.71</c:v>
                </c:pt>
                <c:pt idx="4">
                  <c:v>0</c:v>
                </c:pt>
                <c:pt idx="5">
                  <c:v>0</c:v>
                </c:pt>
                <c:pt idx="6">
                  <c:v>0</c:v>
                </c:pt>
                <c:pt idx="7">
                  <c:v>0</c:v>
                </c:pt>
              </c:numCache>
            </c:numRef>
          </c:val>
        </c:ser>
        <c:dLbls>
          <c:showLegendKey val="0"/>
          <c:showVal val="1"/>
          <c:showCatName val="0"/>
          <c:showSerName val="0"/>
          <c:showPercent val="0"/>
          <c:showBubbleSize val="0"/>
        </c:dLbls>
        <c:gapWidth val="150"/>
        <c:axId val="136214206"/>
        <c:axId val="897256872"/>
      </c:barChart>
      <c:catAx>
        <c:axId val="13621420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7256872"/>
        <c:crosses val="autoZero"/>
        <c:auto val="1"/>
        <c:lblAlgn val="ctr"/>
        <c:lblOffset val="100"/>
        <c:noMultiLvlLbl val="0"/>
      </c:catAx>
      <c:valAx>
        <c:axId val="89725687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621420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r>
              <a:rPr lang="zh-CN" altLang="en-US"/>
              <a:t>图</a:t>
            </a:r>
            <a:r>
              <a:rPr lang="en-US" altLang="zh-CN"/>
              <a:t>6  : </a:t>
            </a:r>
            <a:r>
              <a:rPr lang="zh-CN" altLang="en-US"/>
              <a:t>财政拨款支出决算构成情况图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Pt>
            <c:idx val="9"/>
            <c:bubble3D val="0"/>
            <c:spPr>
              <a:solidFill>
                <a:schemeClr val="accent4">
                  <a:lumMod val="60000"/>
                </a:schemeClr>
              </a:solidFill>
              <a:ln>
                <a:solidFill>
                  <a:schemeClr val="bg1"/>
                </a:solidFill>
              </a:ln>
              <a:effectLst/>
            </c:spPr>
          </c:dPt>
          <c:dPt>
            <c:idx val="10"/>
            <c:bubble3D val="0"/>
            <c:spPr>
              <a:solidFill>
                <a:schemeClr val="accent5">
                  <a:lumMod val="60000"/>
                </a:schemeClr>
              </a:solidFill>
              <a:ln>
                <a:solidFill>
                  <a:schemeClr val="bg1"/>
                </a:solidFill>
              </a:ln>
              <a:effectLst/>
            </c:spPr>
          </c:dPt>
          <c:dPt>
            <c:idx val="11"/>
            <c:bubble3D val="0"/>
            <c:spPr>
              <a:solidFill>
                <a:schemeClr val="accent6">
                  <a:lumMod val="60000"/>
                </a:schemeClr>
              </a:solidFill>
              <a:ln>
                <a:solidFill>
                  <a:schemeClr val="bg1"/>
                </a:solidFill>
              </a:ln>
              <a:effectLst/>
            </c:spPr>
          </c:dPt>
          <c:dPt>
            <c:idx val="12"/>
            <c:bubble3D val="0"/>
            <c:spPr>
              <a:solidFill>
                <a:schemeClr val="accent1">
                  <a:lumMod val="80000"/>
                  <a:lumOff val="20000"/>
                </a:schemeClr>
              </a:solidFill>
              <a:ln>
                <a:solidFill>
                  <a:schemeClr val="bg1"/>
                </a:solidFill>
              </a:ln>
              <a:effectLst/>
            </c:spPr>
          </c:dPt>
          <c:dPt>
            <c:idx val="13"/>
            <c:bubble3D val="0"/>
            <c:spPr>
              <a:solidFill>
                <a:schemeClr val="accent2">
                  <a:lumMod val="80000"/>
                  <a:lumOff val="20000"/>
                </a:schemeClr>
              </a:solidFill>
              <a:ln>
                <a:solidFill>
                  <a:schemeClr val="bg1"/>
                </a:solidFill>
              </a:ln>
              <a:effectLst/>
            </c:spPr>
          </c:dPt>
          <c:dPt>
            <c:idx val="14"/>
            <c:bubble3D val="0"/>
            <c:spPr>
              <a:solidFill>
                <a:schemeClr val="accent3">
                  <a:lumMod val="80000"/>
                  <a:lumOff val="20000"/>
                </a:schemeClr>
              </a:solidFill>
              <a:ln>
                <a:solidFill>
                  <a:schemeClr val="bg1"/>
                </a:solidFill>
              </a:ln>
              <a:effectLst/>
            </c:spPr>
          </c:dPt>
          <c:dPt>
            <c:idx val="15"/>
            <c:bubble3D val="0"/>
            <c:spPr>
              <a:solidFill>
                <a:schemeClr val="accent4">
                  <a:lumMod val="80000"/>
                  <a:lumOff val="20000"/>
                </a:schemeClr>
              </a:solidFill>
              <a:ln>
                <a:solidFill>
                  <a:schemeClr val="bg1"/>
                </a:solidFill>
              </a:ln>
              <a:effectLst/>
            </c:spPr>
          </c:dPt>
          <c:dPt>
            <c:idx val="16"/>
            <c:bubble3D val="0"/>
            <c:spPr>
              <a:solidFill>
                <a:schemeClr val="accent5">
                  <a:lumMod val="80000"/>
                  <a:lumOff val="20000"/>
                </a:schemeClr>
              </a:solidFill>
              <a:ln>
                <a:solidFill>
                  <a:schemeClr val="bg1"/>
                </a:solidFill>
              </a:ln>
              <a:effectLst/>
            </c:spPr>
          </c:dPt>
          <c:dPt>
            <c:idx val="17"/>
            <c:bubble3D val="0"/>
            <c:spPr>
              <a:solidFill>
                <a:schemeClr val="accent6">
                  <a:lumMod val="80000"/>
                  <a:lumOff val="20000"/>
                </a:schemeClr>
              </a:solidFill>
              <a:ln>
                <a:solidFill>
                  <a:schemeClr val="bg1"/>
                </a:solidFill>
              </a:ln>
              <a:effectLst/>
            </c:spPr>
          </c:dPt>
          <c:dPt>
            <c:idx val="18"/>
            <c:bubble3D val="0"/>
            <c:spPr>
              <a:solidFill>
                <a:schemeClr val="accent1">
                  <a:lumMod val="80000"/>
                </a:schemeClr>
              </a:solidFill>
              <a:ln>
                <a:solidFill>
                  <a:schemeClr val="bg1"/>
                </a:solidFill>
              </a:ln>
              <a:effectLst/>
            </c:spPr>
          </c:dPt>
          <c:dPt>
            <c:idx val="19"/>
            <c:bubble3D val="0"/>
            <c:spPr>
              <a:solidFill>
                <a:schemeClr val="accent2">
                  <a:lumMod val="80000"/>
                </a:schemeClr>
              </a:solidFill>
              <a:ln>
                <a:solidFill>
                  <a:schemeClr val="bg1"/>
                </a:solidFill>
              </a:ln>
              <a:effectLst/>
            </c:spPr>
          </c:dPt>
          <c:dPt>
            <c:idx val="20"/>
            <c:bubble3D val="0"/>
            <c:spPr>
              <a:solidFill>
                <a:schemeClr val="accent3">
                  <a:lumMod val="80000"/>
                </a:schemeClr>
              </a:solidFill>
              <a:ln>
                <a:solidFill>
                  <a:schemeClr val="bg1"/>
                </a:solidFill>
              </a:ln>
              <a:effectLst/>
            </c:spPr>
          </c:dPt>
          <c:dPt>
            <c:idx val="21"/>
            <c:bubble3D val="0"/>
            <c:spPr>
              <a:solidFill>
                <a:schemeClr val="accent4">
                  <a:lumMod val="80000"/>
                </a:schemeClr>
              </a:solidFill>
              <a:ln>
                <a:solidFill>
                  <a:schemeClr val="bg1"/>
                </a:solidFill>
              </a:ln>
              <a:effectLst/>
            </c:spPr>
          </c:dPt>
          <c:dPt>
            <c:idx val="22"/>
            <c:bubble3D val="0"/>
            <c:spPr>
              <a:solidFill>
                <a:schemeClr val="accent5">
                  <a:lumMod val="80000"/>
                </a:schemeClr>
              </a:solidFill>
              <a:ln>
                <a:solidFill>
                  <a:schemeClr val="bg1"/>
                </a:solidFill>
              </a:ln>
              <a:effectLst/>
            </c:spPr>
          </c:dPt>
          <c:dPt>
            <c:idx val="23"/>
            <c:bubble3D val="0"/>
            <c:spPr>
              <a:solidFill>
                <a:schemeClr val="accent6">
                  <a:lumMod val="80000"/>
                </a:schemeClr>
              </a:solidFill>
              <a:ln>
                <a:solidFill>
                  <a:schemeClr val="bg1"/>
                </a:solidFill>
              </a:ln>
              <a:effectLst/>
            </c:spPr>
          </c:dPt>
          <c:dPt>
            <c:idx val="24"/>
            <c:bubble3D val="0"/>
            <c:spPr>
              <a:solidFill>
                <a:schemeClr val="accent1">
                  <a:lumMod val="60000"/>
                  <a:lumOff val="40000"/>
                </a:schemeClr>
              </a:solidFill>
              <a:ln>
                <a:solidFill>
                  <a:schemeClr val="bg1"/>
                </a:solidFill>
              </a:ln>
              <a:effectLst/>
            </c:spPr>
          </c:dPt>
          <c:dPt>
            <c:idx val="25"/>
            <c:bubble3D val="0"/>
            <c:spPr>
              <a:solidFill>
                <a:schemeClr val="accent2">
                  <a:lumMod val="60000"/>
                  <a:lumOff val="40000"/>
                </a:schemeClr>
              </a:solidFill>
              <a:ln>
                <a:solidFill>
                  <a:schemeClr val="bg1"/>
                </a:solidFill>
              </a:ln>
              <a:effectLst/>
            </c:spPr>
          </c:dPt>
          <c:dLbls>
            <c:delete val="1"/>
          </c:dLbls>
          <c:cat>
            <c:strRef>
              <c:f>Sheet1!$A$2:$A$27</c:f>
              <c:strCache>
                <c:ptCount val="26"/>
                <c:pt idx="0">
                  <c:v>一般公共服务支出</c:v>
                </c:pt>
                <c:pt idx="1">
                  <c:v>外交支出</c:v>
                </c:pt>
                <c:pt idx="2">
                  <c:v>国防支出</c:v>
                </c:pt>
                <c:pt idx="3">
                  <c:v>公共安全支出</c:v>
                </c:pt>
                <c:pt idx="4">
                  <c:v>教育支出</c:v>
                </c:pt>
                <c:pt idx="5">
                  <c:v>科学技术支出</c:v>
                </c:pt>
                <c:pt idx="6">
                  <c:v>文化旅游体育与传媒支出</c:v>
                </c:pt>
                <c:pt idx="7">
                  <c:v>社会保障和就业支出</c:v>
                </c:pt>
                <c:pt idx="8">
                  <c:v>卫生健康支出</c:v>
                </c:pt>
                <c:pt idx="9">
                  <c:v>节能环保支出</c:v>
                </c:pt>
                <c:pt idx="10">
                  <c:v>城乡社区支出</c:v>
                </c:pt>
                <c:pt idx="11">
                  <c:v>农林水支出</c:v>
                </c:pt>
                <c:pt idx="12">
                  <c:v>交通运输支出</c:v>
                </c:pt>
                <c:pt idx="13">
                  <c:v>资源勘探工业信息等支出</c:v>
                </c:pt>
                <c:pt idx="14">
                  <c:v>商业服务业等支出</c:v>
                </c:pt>
                <c:pt idx="15">
                  <c:v>金融支出</c:v>
                </c:pt>
                <c:pt idx="16">
                  <c:v>援助其他地区支出</c:v>
                </c:pt>
                <c:pt idx="17">
                  <c:v>自然资源海洋气象等支出</c:v>
                </c:pt>
                <c:pt idx="18">
                  <c:v>住房保障支出</c:v>
                </c:pt>
                <c:pt idx="19">
                  <c:v>粮油物资储备支出</c:v>
                </c:pt>
                <c:pt idx="20">
                  <c:v>国有资本经营预算支出</c:v>
                </c:pt>
                <c:pt idx="21">
                  <c:v>灾害防治及应急管理支出</c:v>
                </c:pt>
                <c:pt idx="22">
                  <c:v>其他支出</c:v>
                </c:pt>
                <c:pt idx="23">
                  <c:v>债务还本支出</c:v>
                </c:pt>
                <c:pt idx="24">
                  <c:v>债务付息支出</c:v>
                </c:pt>
                <c:pt idx="25">
                  <c:v>抗疫特别国债安排的支出</c:v>
                </c:pt>
              </c:strCache>
            </c:strRef>
          </c:cat>
          <c:val>
            <c:numRef>
              <c:f>Sheet1!$B$2:$B$27</c:f>
              <c:numCache>
                <c:formatCode>General</c:formatCode>
                <c:ptCount val="26"/>
                <c:pt idx="0">
                  <c:v>46.87</c:v>
                </c:pt>
                <c:pt idx="1">
                  <c:v>0</c:v>
                </c:pt>
                <c:pt idx="2">
                  <c:v>0</c:v>
                </c:pt>
                <c:pt idx="3">
                  <c:v>0</c:v>
                </c:pt>
                <c:pt idx="4">
                  <c:v>0</c:v>
                </c:pt>
                <c:pt idx="5">
                  <c:v>0</c:v>
                </c:pt>
                <c:pt idx="6">
                  <c:v>0</c:v>
                </c:pt>
                <c:pt idx="7">
                  <c:v>50.7</c:v>
                </c:pt>
                <c:pt idx="8">
                  <c:v>2.59</c:v>
                </c:pt>
                <c:pt idx="9">
                  <c:v>0</c:v>
                </c:pt>
                <c:pt idx="10">
                  <c:v>0</c:v>
                </c:pt>
                <c:pt idx="11">
                  <c:v>0</c:v>
                </c:pt>
                <c:pt idx="12">
                  <c:v>0</c:v>
                </c:pt>
                <c:pt idx="13">
                  <c:v>0</c:v>
                </c:pt>
                <c:pt idx="14">
                  <c:v>0</c:v>
                </c:pt>
                <c:pt idx="15">
                  <c:v>0</c:v>
                </c:pt>
                <c:pt idx="16">
                  <c:v>0</c:v>
                </c:pt>
                <c:pt idx="17">
                  <c:v>0</c:v>
                </c:pt>
                <c:pt idx="18">
                  <c:v>4.56</c:v>
                </c:pt>
                <c:pt idx="19">
                  <c:v>0</c:v>
                </c:pt>
                <c:pt idx="20">
                  <c:v>0</c:v>
                </c:pt>
                <c:pt idx="21">
                  <c:v>0</c:v>
                </c:pt>
                <c:pt idx="22">
                  <c:v>0</c:v>
                </c:pt>
                <c:pt idx="23">
                  <c:v>0</c:v>
                </c:pt>
                <c:pt idx="24">
                  <c:v>0</c:v>
                </c:pt>
                <c:pt idx="25">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tags>
    <s:tag s:spid="_x0000_s1026">
      <s:item s:name="KSO_DOCER_RESOURCE_TRACE_INFO" s:val="{&quot;id&quot;:&quot;&quot;,&quot;origin&quot;:0,&quot;type&quot;:&quot;wordart&quot;,&quot;user&quot;:&quot;292216292&quot;}"/>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25</Pages>
  <Words>611</Words>
  <Characters>2169</Characters>
  <Lines>86</Lines>
  <Paragraphs>24</Paragraphs>
  <TotalTime>1862</TotalTime>
  <ScaleCrop>false</ScaleCrop>
  <LinksUpToDate>false</LinksUpToDate>
  <CharactersWithSpaces>2170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2023-08-04T07:55:00Z</dcterms:created>
  <dc:creator>王明新TIAD</dc:creator>
  <cp:lastModifiedBy>Administrator</cp:lastModifiedBy>
  <cp:lastPrinted>2023-08-04T01:00:00Z</cp:lastPrinted>
  <dcterms:modified xsi:type="dcterms:W3CDTF">2025-09-18T09:17:31Z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4AD90F52878045A7B75DF9A93365A597_13</vt:lpwstr>
  </property>
  <property fmtid="{D5CDD505-2E9C-101B-9397-08002B2CF9AE}" pid="4" name="KSOTemplateUUID">
    <vt:lpwstr>v1.0_mb_S7ajbG3IpAnL1wSthNCxfw==</vt:lpwstr>
  </property>
  <property fmtid="{D5CDD505-2E9C-101B-9397-08002B2CF9AE}" pid="5" name="KSOTemplateDocerSaveRecord">
    <vt:lpwstr>eyJoZGlkIjoiYjA3YzVjY2RhYzM1OWI4MmYzZjdlYWUzZWM2YTQyNTYiLCJ1c2VySWQiOiIxNTIwMzY1OTkzIn0=</vt:lpwstr>
  </property>
</Properties>
</file>