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both"/>
        <w:rPr>
          <w:rFonts w:hint="eastAsia" w:ascii="楷体_GB2312" w:hAnsi="楷体_GB2312" w:eastAsia="楷体_GB2312" w:cs="楷体_GB2312"/>
          <w:color w:val="000000"/>
          <w:sz w:val="40"/>
          <w:szCs w:val="40"/>
        </w:rPr>
      </w:pPr>
      <w:bookmarkStart w:id="0" w:name="_GoBack"/>
      <w:bookmarkEnd w:id="0"/>
      <w:r>
        <w:drawing>
          <wp:anchor distT="0" distB="0" distL="114300" distR="114300" simplePos="0" relativeHeight="251659264" behindDoc="1" locked="0" layoutInCell="1" allowOverlap="1">
            <wp:simplePos x="0" y="0"/>
            <wp:positionH relativeFrom="column">
              <wp:posOffset>-1692910</wp:posOffset>
            </wp:positionH>
            <wp:positionV relativeFrom="paragraph">
              <wp:posOffset>-1319530</wp:posOffset>
            </wp:positionV>
            <wp:extent cx="8646795" cy="11107420"/>
            <wp:effectExtent l="0" t="0" r="1905" b="5080"/>
            <wp:wrapNone/>
            <wp:docPr id="15" name="图片 15"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b0a202020202266696c746572223a202230220a7d0a"/>
                    <pic:cNvPicPr>
                      <a:picLocks noChangeAspect="1"/>
                    </pic:cNvPicPr>
                  </pic:nvPicPr>
                  <pic:blipFill>
                    <a:blip r:embed="rId10">
                      <a:lum bright="6000"/>
                    </a:blip>
                    <a:srcRect t="559" b="3637"/>
                    <a:stretch>
                      <a:fillRect/>
                    </a:stretch>
                  </pic:blipFill>
                  <pic:spPr>
                    <a:xfrm>
                      <a:off x="0" y="0"/>
                      <a:ext cx="8646795" cy="11107420"/>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-546735</wp:posOffset>
                </wp:positionH>
                <wp:positionV relativeFrom="paragraph">
                  <wp:posOffset>253365</wp:posOffset>
                </wp:positionV>
                <wp:extent cx="6431280" cy="2862580"/>
                <wp:effectExtent l="0" t="0" r="0" b="0"/>
                <wp:wrapNone/>
                <wp:docPr id="1" name="文本框 1" descr="7b0a2020202022776f7264617274223a20227b5c2269645c223a32353030323136362c5c227469645c223a5c225c227d220a7d0a"/>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wordart&quot;,&quot;user&quot;:&quot;292216292&quot;}"/>
                      </s:tag>
                    </a:ext>
                  </a:extLst>
                </wp:cNvGraphicFramePr>
                <a:graphic xmlns:a="http://schemas.openxmlformats.org/drawingml/2006/main">
                  <a:graphicData uri="http://schemas.microsoft.com/office/word/2010/wordprocessingShape">
                    <wps:wsp>
                      <wps:cNvSpPr txBox="1"/>
                      <wps:spPr>
                        <a:xfrm>
                          <a:off x="0" y="0"/>
                          <a:ext cx="6431280" cy="2862580"/>
                        </a:xfrm>
                        <a:prstGeom prst="rect">
                          <a:avLst/>
                        </a:prstGeom>
                        <a:noFill/>
                        <a:ln>
                          <a:noFill/>
                        </a:ln>
                        <a:effectLst/>
                      </wps:spPr>
                      <wps:txbx>
                        <w:txbxContent>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lang w:eastAsia="zh-CN"/>
                                <w14:textFill>
                                  <w14:solidFill>
                                    <w14:schemeClr w14:val="tx1">
                                      <w14:lumMod w14:val="95000"/>
                                      <w14:lumOff w14:val="5000"/>
                                    </w14:schemeClr>
                                  </w14:solidFill>
                                </w14:textFill>
                              </w:rPr>
                              <w:t>单位</w:t>
                            </w: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决算公开文本</w:t>
                            </w:r>
                          </w:p>
                        </w:txbxContent>
                      </wps:txbx>
                      <wps:bodyPr upright="1"/>
                    </wps:wsp>
                  </a:graphicData>
                </a:graphic>
              </wp:anchor>
            </w:drawing>
          </mc:Choice>
          <mc:Fallback>
            <w:pict>
              <v:shape id="_x0000_s1026" o:spid="_x0000_s1026" o:spt="202" alt="7b0a2020202022776f7264617274223a20227b5c2269645c223a32353030323136362c5c227469645c223a5c225c227d220a7d0a" type="#_x0000_t202" style="position:absolute;left:0pt;margin-left:-43.05pt;margin-top:19.95pt;height:225.4pt;width:506.4pt;z-index:251660288;mso-width-relative:page;mso-height-relative:page;" filled="f" stroked="f" coordsize="21600,21600" o:gfxdata="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2yz97YAAAACgEAAA8AAAAAAAAAAQAgAAAAIgAAAGRycy9kb3ducmV2LnhtbFBL&#10;AQIUABQAAAAIAIdO4kCjWvfx9gEAAM4DAAAOAAAAAAAAAAEAIAAAACcBAABkcnMvZTJvRG9jLnht&#10;bFBLBQYAAAAABgAGAFkBAACPBQAAAAA=&#10;">
                <v:fill on="f" focussize="0,0"/>
                <v:stroke on="f"/>
                <v:imagedata o:title=""/>
                <o:lock v:ext="edit" aspectratio="f"/>
                <v:textbox>
                  <w:txbxContent>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lang w:eastAsia="zh-CN"/>
                          <w14:textFill>
                            <w14:solidFill>
                              <w14:schemeClr w14:val="tx1">
                                <w14:lumMod w14:val="95000"/>
                                <w14:lumOff w14:val="5000"/>
                              </w14:schemeClr>
                            </w14:solidFill>
                          </w14:textFill>
                        </w:rPr>
                        <w:t>单位</w:t>
                      </w: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决算公开文本</w:t>
                      </w:r>
                    </w:p>
                  </w:txbxContent>
                </v:textbox>
              </v:shape>
            </w:pict>
          </mc:Fallback>
        </mc:AlternateContent>
      </w: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left"/>
        <w:rPr>
          <w:rFonts w:hint="eastAsia"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241001</w:t>
      </w:r>
    </w:p>
    <w:p>
      <w:pPr>
        <w:spacing w:line="600" w:lineRule="auto"/>
        <w:jc w:val="left"/>
        <w:rPr>
          <w:rFonts w:hint="eastAsia" w:ascii="楷体_GB2312" w:hAnsi="楷体_GB2312" w:eastAsia="楷体_GB2312" w:cs="楷体_GB2312"/>
          <w:color w:val="000000"/>
          <w:sz w:val="40"/>
          <w:szCs w:val="40"/>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：宁晋县档案馆(本级)</w:t>
      </w:r>
    </w:p>
    <w:p>
      <w:pPr>
        <w:spacing w:line="600" w:lineRule="auto"/>
        <w:jc w:val="both"/>
        <w:rPr>
          <w:rFonts w:hint="eastAsia" w:ascii="楷体_GB2312" w:hAnsi="楷体_GB2312" w:eastAsia="楷体_GB2312" w:cs="楷体_GB2312"/>
          <w:color w:val="000000"/>
          <w:sz w:val="40"/>
          <w:szCs w:val="40"/>
        </w:rPr>
        <w:sectPr>
          <w:footerReference r:id="rId3" w:type="default"/>
          <w:pgSz w:w="11906" w:h="16838"/>
          <w:pgMar w:top="2098" w:right="1417" w:bottom="1871" w:left="1417" w:header="851" w:footer="992" w:gutter="0"/>
          <w:pgBorders>
            <w:top w:val="none" w:sz="0" w:space="0"/>
            <w:left w:val="none" w:sz="0" w:space="0"/>
            <w:bottom w:val="none" w:sz="0" w:space="0"/>
            <w:right w:val="none" w:sz="0" w:space="0"/>
          </w:pgBorders>
          <w:cols w:space="720" w:num="1"/>
          <w:docGrid w:type="lines" w:linePitch="312" w:charSpace="0"/>
        </w:sectPr>
      </w:pPr>
    </w:p>
    <w:p>
      <w:pPr>
        <w:spacing w:line="600" w:lineRule="auto"/>
        <w:jc w:val="center"/>
        <w:rPr>
          <w:rFonts w:hint="eastAsia" w:ascii="楷体_GB2312" w:hAnsi="楷体_GB2312" w:eastAsia="楷体_GB2312" w:cs="楷体_GB2312"/>
          <w:color w:val="000000"/>
          <w:sz w:val="40"/>
          <w:szCs w:val="40"/>
        </w:rPr>
      </w:pPr>
    </w:p>
    <w:p>
      <w:pPr>
        <w:rPr>
          <w:rFonts w:hint="eastAsia" w:ascii="黑体" w:hAnsi="黑体" w:eastAsia="黑体" w:cs="黑体"/>
          <w:b/>
          <w:bCs/>
          <w:sz w:val="32"/>
          <w:szCs w:val="36"/>
          <w:highlight w:val="yellow"/>
        </w:rPr>
      </w:pPr>
    </w:p>
    <w:p>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方正小标宋_GBK"/>
          <w:b w:val="0"/>
          <w:sz w:val="72"/>
          <w:szCs w:val="72"/>
        </w:rPr>
        <w:t>宁晋县档案馆(本级)</w:t>
      </w:r>
    </w:p>
    <w:p>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仿宋_GB2312"/>
          <w:b w:val="0"/>
          <w:sz w:val="72"/>
          <w:szCs w:val="72"/>
        </w:rPr>
        <w:t>2024</w:t>
      </w:r>
      <w:r>
        <w:rPr>
          <w:rFonts w:ascii="Times New Roman" w:eastAsia="方正小标宋_GBK"/>
          <w:b w:val="0"/>
          <w:sz w:val="72"/>
          <w:szCs w:val="72"/>
        </w:rPr>
        <w:t>年度</w:t>
      </w:r>
      <w:r>
        <w:rPr>
          <w:rFonts w:hint="eastAsia" w:ascii="Times New Roman" w:eastAsia="方正小标宋_GBK"/>
          <w:b w:val="0"/>
          <w:sz w:val="72"/>
          <w:szCs w:val="72"/>
          <w:lang w:eastAsia="zh-CN"/>
        </w:rPr>
        <w:t>单位</w:t>
      </w:r>
      <w:r>
        <w:rPr>
          <w:rFonts w:ascii="Times New Roman" w:eastAsia="方正小标宋_GBK"/>
          <w:b w:val="0"/>
          <w:sz w:val="72"/>
          <w:szCs w:val="72"/>
        </w:rPr>
        <w:t>决算公开文本</w:t>
      </w:r>
    </w:p>
    <w:p>
      <w:pPr>
        <w:spacing w:line="36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480" w:lineRule="auto"/>
        <w:jc w:val="both"/>
        <w:rPr>
          <w:rFonts w:ascii="黑体" w:hAnsi="黑体" w:eastAsia="黑体" w:cs="黑体"/>
          <w:sz w:val="56"/>
          <w:szCs w:val="72"/>
        </w:rPr>
      </w:pPr>
    </w:p>
    <w:p>
      <w:pPr>
        <w:widowControl/>
        <w:spacing w:before="0" w:beforeLines="0" w:beforeAutospacing="0" w:after="0" w:afterLines="0" w:afterAutospacing="0" w:line="360" w:lineRule="auto"/>
        <w:jc w:val="center"/>
        <w:rPr>
          <w:rFonts w:ascii="Times New Roman" w:eastAsia="楷体_GB2312"/>
          <w:sz w:val="44"/>
          <w:szCs w:val="44"/>
        </w:rPr>
      </w:pPr>
      <w:r>
        <w:rPr>
          <w:rFonts w:ascii="Times New Roman" w:eastAsia="楷体_GB2312"/>
          <w:b w:val="0"/>
          <w:sz w:val="44"/>
          <w:szCs w:val="44"/>
        </w:rPr>
        <w:t>宁晋县档案馆(本级)</w:t>
      </w:r>
    </w:p>
    <w:p>
      <w:pPr>
        <w:widowControl/>
        <w:spacing w:before="0" w:beforeLines="0" w:beforeAutospacing="0" w:after="0" w:afterLines="0" w:afterAutospacing="0" w:line="360" w:lineRule="auto"/>
        <w:jc w:val="center"/>
        <w:rPr>
          <w:rFonts w:ascii="Times New Roman" w:eastAsia="楷体_GB2312"/>
          <w:sz w:val="44"/>
          <w:szCs w:val="44"/>
        </w:rPr>
      </w:pPr>
      <w:r>
        <w:rPr>
          <w:rFonts w:ascii="Times New Roman" w:eastAsia="楷体_GB2312"/>
          <w:b w:val="0"/>
          <w:sz w:val="44"/>
          <w:szCs w:val="44"/>
        </w:rPr>
        <w:t>二〇二五年</w:t>
      </w:r>
      <w:r>
        <w:rPr>
          <w:rFonts w:hint="eastAsia" w:ascii="Times New Roman" w:eastAsia="楷体_GB2312"/>
          <w:b w:val="0"/>
          <w:sz w:val="44"/>
          <w:szCs w:val="44"/>
          <w:lang w:val="en-US" w:eastAsia="zh-CN"/>
        </w:rPr>
        <w:t>九</w:t>
      </w:r>
      <w:r>
        <w:rPr>
          <w:rFonts w:ascii="Times New Roman" w:eastAsia="楷体_GB2312"/>
          <w:b w:val="0"/>
          <w:sz w:val="44"/>
          <w:szCs w:val="44"/>
        </w:rPr>
        <w:t>月</w:t>
      </w:r>
    </w:p>
    <w:p>
      <w:pPr>
        <w:snapToGrid w:val="0"/>
        <w:jc w:val="left"/>
        <w:rPr>
          <w:rFonts w:hint="eastAsia"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pPr>
        <w:snapToGrid w:val="0"/>
        <w:jc w:val="left"/>
        <w:rPr>
          <w:rFonts w:hint="default"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line="600" w:lineRule="exact"/>
        <w:jc w:val="left"/>
        <w:rPr>
          <w:rFonts w:ascii="黑体" w:hAnsi="黑体" w:eastAsia="黑体" w:cs="黑体"/>
          <w:bCs/>
          <w:sz w:val="32"/>
          <w:szCs w:val="32"/>
        </w:rPr>
      </w:pPr>
    </w:p>
    <w:p>
      <w:pPr>
        <w:tabs>
          <w:tab w:val="left" w:pos="2728"/>
        </w:tabs>
        <w:jc w:val="center"/>
        <w:rPr>
          <w:rFonts w:ascii="黑体" w:hAnsi="Times New Roman" w:eastAsia="黑体" w:cs="Times New Roman"/>
          <w:sz w:val="48"/>
          <w:szCs w:val="48"/>
        </w:rPr>
      </w:pP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目录</w:t>
      </w:r>
    </w:p>
    <w:p>
      <w:pPr>
        <w:widowControl/>
        <w:spacing w:after="160" w:line="580" w:lineRule="exact"/>
        <w:ind w:firstLine="640" w:firstLineChars="200"/>
        <w:rPr>
          <w:rFonts w:ascii="Times New Roman" w:hAnsi="Times New Roman" w:eastAsia="黑体" w:cs="Times New Roman"/>
          <w:sz w:val="32"/>
          <w:szCs w:val="32"/>
        </w:rPr>
      </w:pPr>
    </w:p>
    <w:p>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第一部分单位概况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一、单位职责</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二、机构设置</w:t>
      </w:r>
    </w:p>
    <w:p>
      <w:pPr>
        <w:widowControl/>
        <w:spacing w:before="0" w:beforeLines="0" w:beforeAutospacing="0" w:after="0" w:afterLines="0" w:afterAutospacing="0" w:line="360" w:lineRule="auto"/>
        <w:jc w:val="left"/>
        <w:outlineLvl w:val="0"/>
        <w:rPr>
          <w:rFonts w:ascii="Times New Roman" w:eastAsia="黑体"/>
          <w:sz w:val="32"/>
          <w:szCs w:val="32"/>
        </w:rPr>
      </w:pPr>
      <w:r>
        <w:rPr>
          <w:rFonts w:ascii="Times New Roman" w:eastAsia="黑体"/>
          <w:b w:val="0"/>
          <w:sz w:val="32"/>
          <w:szCs w:val="32"/>
        </w:rPr>
        <w:t>第二部分2024年度</w:t>
      </w:r>
      <w:r>
        <w:rPr>
          <w:rFonts w:hint="eastAsia" w:ascii="Times New Roman" w:eastAsia="黑体"/>
          <w:b w:val="0"/>
          <w:sz w:val="32"/>
          <w:szCs w:val="32"/>
          <w:lang w:eastAsia="zh-CN"/>
        </w:rPr>
        <w:t>单位</w:t>
      </w:r>
      <w:r>
        <w:rPr>
          <w:rFonts w:ascii="Times New Roman" w:eastAsia="黑体"/>
          <w:b w:val="0"/>
          <w:sz w:val="32"/>
          <w:szCs w:val="32"/>
        </w:rPr>
        <w:t>决算报表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五、一般公共预算财政拨款支出决算表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六、一般公共预算财政拨款基本支出决算明细表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七、政府性基金预算财政拨款收入支出决算表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八、国有资本经营预算财政拨款支出决算表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九、财政拨款“三公”经费支出决算表</w:t>
      </w:r>
    </w:p>
    <w:p>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第三部分2024年度</w:t>
      </w:r>
      <w:r>
        <w:rPr>
          <w:rFonts w:hint="eastAsia" w:ascii="Times New Roman" w:eastAsia="黑体"/>
          <w:b w:val="0"/>
          <w:sz w:val="32"/>
          <w:szCs w:val="32"/>
          <w:lang w:eastAsia="zh-CN"/>
        </w:rPr>
        <w:t>单位</w:t>
      </w:r>
      <w:r>
        <w:rPr>
          <w:rFonts w:ascii="Times New Roman" w:eastAsia="黑体"/>
          <w:b w:val="0"/>
          <w:sz w:val="32"/>
          <w:szCs w:val="32"/>
        </w:rPr>
        <w:t>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五、财政拨款“三公”经费支出决算情况说明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六、机关运行经费支出说明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七、政府采购支出说明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八、国有资产占用情况说明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九、关于2024年度绩效评价情况的说明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十、其他需要说明的情况</w:t>
      </w:r>
    </w:p>
    <w:p>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第四部分名词解释</w:t>
      </w:r>
    </w:p>
    <w:p>
      <w:pPr>
        <w:widowControl/>
        <w:spacing w:after="160" w:line="580" w:lineRule="exact"/>
        <w:rPr>
          <w:rFonts w:hint="eastAsia" w:ascii="Times New Roman" w:hAnsi="Times New Roman" w:eastAsia="黑体" w:cs="Times New Roman"/>
          <w:sz w:val="32"/>
          <w:szCs w:val="32"/>
          <w:lang w:val="en-US" w:eastAsia="zh-CN"/>
        </w:rPr>
        <w:sectPr>
          <w:headerReference r:id="rId5" w:type="first"/>
          <w:footerReference r:id="rId7" w:type="first"/>
          <w:headerReference r:id="rId4" w:type="default"/>
          <w:footerReference r:id="rId6" w:type="default"/>
          <w:pgSz w:w="11906" w:h="16838"/>
          <w:pgMar w:top="1474" w:right="1531" w:bottom="1474" w:left="1531" w:header="851" w:footer="992" w:gutter="0"/>
          <w:pgBorders>
            <w:top w:val="none" w:sz="0" w:space="0"/>
            <w:left w:val="none" w:sz="0" w:space="0"/>
            <w:bottom w:val="none" w:sz="0" w:space="0"/>
            <w:right w:val="none" w:sz="0" w:space="0"/>
          </w:pgBorders>
          <w:cols w:space="0" w:num="1"/>
          <w:titlePg/>
          <w:docGrid w:type="lines" w:linePitch="312" w:charSpace="0"/>
        </w:sectPr>
      </w:pP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第一部分单位概况</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一、单位职责</w:t>
      </w:r>
    </w:p>
    <w:p>
      <w:pPr>
        <w:widowControl/>
        <w:ind w:firstLine="480"/>
        <w:rPr>
          <w:rFonts w:ascii="Times New Roman" w:eastAsia="仿宋_GB2312"/>
          <w:sz w:val="32"/>
          <w:szCs w:val="32"/>
        </w:rPr>
      </w:pPr>
      <w:r>
        <w:rPr>
          <w:rFonts w:hint="eastAsia" w:ascii="仿宋_GB2312" w:eastAsia="仿宋_GB2312"/>
          <w:sz w:val="32"/>
          <w:szCs w:val="32"/>
          <w:lang w:eastAsia="zh-CN"/>
        </w:rPr>
        <w:t>（一）贯彻执行有关法律、法规和国家有关方针政策。（二）负责集中统一管理县直机关的档案以及本县其它重要档案、文献资料，开展接收、征集、整理、保管、鉴定、研究、编纂等项工作，保守党和国家秘密、维护档案的完整确保档案资料的安全。（三）完成县委、县政府交办的其他工作。</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二、机构设置</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从决算编报单位构成看，纳入2024年度本</w:t>
      </w:r>
      <w:r>
        <w:rPr>
          <w:rFonts w:hint="eastAsia" w:ascii="Times New Roman" w:eastAsia="仿宋_GB2312"/>
          <w:b w:val="0"/>
          <w:sz w:val="32"/>
          <w:szCs w:val="32"/>
          <w:lang w:eastAsia="zh-CN"/>
        </w:rPr>
        <w:t>单位</w:t>
      </w:r>
      <w:r>
        <w:rPr>
          <w:rFonts w:ascii="Times New Roman" w:eastAsia="仿宋_GB2312"/>
          <w:b w:val="0"/>
          <w:sz w:val="32"/>
          <w:szCs w:val="32"/>
        </w:rPr>
        <w:t>决算汇编范围的独立核算单位（以下简称“单位”）共</w:t>
      </w:r>
      <w:r>
        <w:rPr>
          <w:rFonts w:hint="eastAsia" w:ascii="Times New Roman" w:eastAsia="仿宋_GB2312"/>
          <w:b w:val="0"/>
          <w:sz w:val="32"/>
          <w:szCs w:val="32"/>
          <w:lang w:val="en-US" w:eastAsia="zh-CN"/>
        </w:rPr>
        <w:t>1</w:t>
      </w:r>
      <w:r>
        <w:rPr>
          <w:rFonts w:ascii="Times New Roman" w:eastAsia="仿宋_GB2312"/>
          <w:b w:val="0"/>
          <w:sz w:val="32"/>
          <w:szCs w:val="32"/>
        </w:rPr>
        <w:t>个，具体情况如下：</w:t>
      </w:r>
    </w:p>
    <w:tbl>
      <w:tblPr>
        <w:tblStyle w:val="11"/>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4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6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1</w:t>
            </w:r>
          </w:p>
        </w:tc>
        <w:tc>
          <w:tcPr>
            <w:tcW w:w="34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宁晋县档案馆(本级)</w:t>
            </w:r>
          </w:p>
        </w:tc>
        <w:tc>
          <w:tcPr>
            <w:tcW w:w="2445" w:type="dxa"/>
          </w:tcPr>
          <w:p>
            <w:pPr>
              <w:spacing w:line="560" w:lineRule="exact"/>
              <w:jc w:val="center"/>
              <w:rPr>
                <w:rFonts w:hint="eastAsia" w:ascii="仿宋_GB2312" w:hAnsi="Calibri" w:eastAsia="仿宋_GB2312" w:cs="ArialUnicodeMS"/>
                <w:kern w:val="0"/>
                <w:sz w:val="28"/>
                <w:szCs w:val="28"/>
                <w:lang w:val="en-US" w:eastAsia="zh-CN"/>
              </w:rPr>
            </w:pPr>
            <w:r>
              <w:rPr>
                <w:rFonts w:hint="eastAsia" w:ascii="仿宋_GB2312" w:hAnsi="Calibri" w:eastAsia="仿宋_GB2312" w:cs="ArialUnicodeMS"/>
                <w:kern w:val="0"/>
                <w:sz w:val="28"/>
                <w:szCs w:val="28"/>
                <w:lang w:val="en-US" w:eastAsia="zh-CN"/>
              </w:rPr>
              <w:t>事业单位</w:t>
            </w:r>
          </w:p>
        </w:tc>
        <w:tc>
          <w:tcPr>
            <w:tcW w:w="266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全额</w:t>
            </w:r>
          </w:p>
        </w:tc>
      </w:tr>
    </w:tbl>
    <w:p>
      <w:pPr>
        <w:rPr>
          <w:rFonts w:hint="eastAsia" w:ascii="Times New Roman" w:hAnsi="Times New Roman" w:eastAsia="黑体" w:cs="Times New Roman"/>
          <w:sz w:val="32"/>
          <w:szCs w:val="32"/>
          <w:highlight w:val="yellow"/>
        </w:rPr>
      </w:pPr>
      <w:r>
        <w:rPr>
          <w:rFonts w:hint="eastAsia" w:ascii="Times New Roman" w:hAnsi="Times New Roman" w:eastAsia="黑体" w:cs="Times New Roman"/>
          <w:sz w:val="32"/>
          <w:szCs w:val="32"/>
          <w:highlight w:val="yellow"/>
        </w:rPr>
        <w:br w:type="page"/>
      </w: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第二部分</w:t>
      </w:r>
      <w:r>
        <w:rPr>
          <w:rFonts w:ascii="Times New Roman" w:eastAsia="仿宋_GB2312"/>
          <w:b w:val="0"/>
          <w:sz w:val="44"/>
          <w:szCs w:val="44"/>
        </w:rPr>
        <w:t>2024</w:t>
      </w:r>
      <w:r>
        <w:rPr>
          <w:rFonts w:ascii="Times New Roman" w:eastAsia="黑体"/>
          <w:b w:val="0"/>
          <w:sz w:val="44"/>
          <w:szCs w:val="44"/>
        </w:rPr>
        <w:t>年度</w:t>
      </w:r>
      <w:r>
        <w:rPr>
          <w:rFonts w:hint="eastAsia" w:ascii="Times New Roman" w:eastAsia="黑体"/>
          <w:b w:val="0"/>
          <w:sz w:val="44"/>
          <w:szCs w:val="44"/>
          <w:lang w:eastAsia="zh-CN"/>
        </w:rPr>
        <w:t>单位</w:t>
      </w:r>
      <w:r>
        <w:rPr>
          <w:rFonts w:ascii="Times New Roman" w:eastAsia="黑体"/>
          <w:b w:val="0"/>
          <w:sz w:val="44"/>
          <w:szCs w:val="44"/>
        </w:rPr>
        <w:t>决算表</w:t>
      </w:r>
    </w:p>
    <w:tbl>
      <w:tblPr>
        <w:tblStyle w:val="11"/>
        <w:tblW w:w="629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59"/>
        <w:gridCol w:w="721"/>
        <w:gridCol w:w="482"/>
        <w:gridCol w:w="668"/>
        <w:gridCol w:w="2200"/>
        <w:gridCol w:w="887"/>
        <w:gridCol w:w="888"/>
        <w:gridCol w:w="10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5000" w:type="pct"/>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jc w:val="center"/>
        </w:trPr>
        <w:tc>
          <w:tcPr>
            <w:tcW w:w="5000" w:type="pct"/>
            <w:gridSpan w:val="8"/>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公开</w:t>
            </w:r>
            <w:r>
              <w:rPr>
                <w:rFonts w:hint="eastAsia" w:ascii="Times New Roman" w:hAnsi="Times New Roman" w:eastAsia="宋体" w:cs="Times New Roman"/>
                <w:i w:val="0"/>
                <w:iCs w:val="0"/>
                <w:color w:val="000000"/>
                <w:sz w:val="20"/>
                <w:szCs w:val="20"/>
                <w:highlight w:val="none"/>
                <w:u w:val="none"/>
                <w:lang w:val="en-US" w:eastAsia="zh-CN"/>
              </w:rPr>
              <w:t>01</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2205" w:type="pct"/>
            <w:gridSpan w:val="3"/>
            <w:tcBorders>
              <w:top w:val="nil"/>
              <w:left w:val="nil"/>
              <w:bottom w:val="single" w:color="auto" w:sz="4" w:space="0"/>
              <w:right w:val="nil"/>
            </w:tcBorders>
            <w:noWrap/>
            <w:vAlign w:val="bottom"/>
          </w:tcPr>
          <w:p>
            <w:pPr>
              <w:jc w:val="both"/>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单位：宁晋县档案馆(本级)</w:t>
            </w:r>
          </w:p>
        </w:tc>
        <w:tc>
          <w:tcPr>
            <w:tcW w:w="1417" w:type="pct"/>
            <w:gridSpan w:val="2"/>
            <w:tcBorders>
              <w:top w:val="nil"/>
              <w:left w:val="nil"/>
              <w:bottom w:val="single" w:color="auto" w:sz="4" w:space="0"/>
              <w:right w:val="nil"/>
            </w:tcBorders>
            <w:noWrap/>
            <w:vAlign w:val="bottom"/>
          </w:tcPr>
          <w:p>
            <w:pPr>
              <w:jc w:val="center"/>
              <w:rPr>
                <w:rFonts w:hint="default" w:ascii="宋体" w:hAnsi="宋体" w:eastAsia="宋体" w:cs="宋体"/>
                <w:i w:val="0"/>
                <w:iCs w:val="0"/>
                <w:color w:val="000000"/>
                <w:kern w:val="0"/>
                <w:sz w:val="20"/>
                <w:szCs w:val="20"/>
                <w:highlight w:val="none"/>
                <w:u w:val="none"/>
                <w:lang w:val="en-US" w:eastAsia="zh-CN" w:bidi="ar"/>
              </w:rPr>
            </w:pPr>
            <w:r>
              <w:rPr>
                <w:rFonts w:hint="eastAsia" w:ascii="Times New Roman" w:hAnsi="Times New Roman" w:eastAsia="宋体" w:cs="Times New Roman"/>
                <w:i w:val="0"/>
                <w:iCs w:val="0"/>
                <w:color w:val="000000"/>
                <w:sz w:val="20"/>
                <w:szCs w:val="20"/>
                <w:highlight w:val="none"/>
                <w:u w:val="none"/>
                <w:lang w:val="en-US" w:eastAsia="zh-CN"/>
              </w:rPr>
              <w:t>2024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377" w:type="pct"/>
            <w:gridSpan w:val="3"/>
            <w:tcBorders>
              <w:top w:val="nil"/>
              <w:left w:val="nil"/>
              <w:bottom w:val="single" w:color="auto" w:sz="4" w:space="0"/>
              <w:right w:val="nil"/>
            </w:tcBorders>
            <w:noWrap/>
            <w:vAlign w:val="bottom"/>
          </w:tcPr>
          <w:p>
            <w:pPr>
              <w:jc w:val="right"/>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2535" w:type="pct"/>
            <w:gridSpan w:val="4"/>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收入</w:t>
            </w:r>
          </w:p>
        </w:tc>
        <w:tc>
          <w:tcPr>
            <w:tcW w:w="2464" w:type="pct"/>
            <w:gridSpan w:val="4"/>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16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3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56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c>
          <w:tcPr>
            <w:tcW w:w="15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43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50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16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356"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56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1</w:t>
            </w:r>
          </w:p>
        </w:tc>
        <w:tc>
          <w:tcPr>
            <w:tcW w:w="15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438"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50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16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一、一般公共预算财政拨款收入</w:t>
            </w:r>
          </w:p>
        </w:tc>
        <w:tc>
          <w:tcPr>
            <w:tcW w:w="3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宋体" w:hAnsi="宋体" w:eastAsia="宋体" w:cs="宋体"/>
                <w:i w:val="0"/>
                <w:iCs w:val="0"/>
                <w:color w:val="000000"/>
                <w:sz w:val="20"/>
                <w:szCs w:val="20"/>
                <w:highlight w:val="none"/>
                <w:u w:val="none"/>
                <w:lang w:val="en-US" w:eastAsia="zh-CN"/>
              </w:rPr>
              <w:t>1</w:t>
            </w:r>
          </w:p>
        </w:tc>
        <w:tc>
          <w:tcPr>
            <w:tcW w:w="56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104.71</w:t>
            </w:r>
          </w:p>
        </w:tc>
        <w:tc>
          <w:tcPr>
            <w:tcW w:w="15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43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50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16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二、政府性基金预算财政拨款收入</w:t>
            </w:r>
          </w:p>
        </w:tc>
        <w:tc>
          <w:tcPr>
            <w:tcW w:w="3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56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43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50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16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三、国有资本经营预算财政拨款收入</w:t>
            </w:r>
          </w:p>
        </w:tc>
        <w:tc>
          <w:tcPr>
            <w:tcW w:w="3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56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43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50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16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四、上级补助收入</w:t>
            </w:r>
          </w:p>
        </w:tc>
        <w:tc>
          <w:tcPr>
            <w:tcW w:w="3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56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43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50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16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五、事业收入</w:t>
            </w:r>
          </w:p>
        </w:tc>
        <w:tc>
          <w:tcPr>
            <w:tcW w:w="3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56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43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50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16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六、经营收入</w:t>
            </w:r>
          </w:p>
        </w:tc>
        <w:tc>
          <w:tcPr>
            <w:tcW w:w="3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56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43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50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16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七、附属单位上缴收入</w:t>
            </w:r>
          </w:p>
        </w:tc>
        <w:tc>
          <w:tcPr>
            <w:tcW w:w="3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56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43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50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16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八、其他收入</w:t>
            </w:r>
          </w:p>
        </w:tc>
        <w:tc>
          <w:tcPr>
            <w:tcW w:w="3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56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43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50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161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3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56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43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40</w:t>
            </w:r>
          </w:p>
        </w:tc>
        <w:tc>
          <w:tcPr>
            <w:tcW w:w="50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161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3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56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43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50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161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3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56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43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50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161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3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56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43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50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161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3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56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43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50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1610" w:type="pct"/>
            <w:tcBorders>
              <w:top w:val="nil"/>
              <w:left w:val="single" w:color="000000" w:sz="4" w:space="0"/>
              <w:bottom w:val="single" w:color="auto"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356"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568" w:type="pct"/>
            <w:gridSpan w:val="2"/>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nil"/>
              <w:left w:val="nil"/>
              <w:bottom w:val="single" w:color="auto"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438"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500"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1610"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568"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43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50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1610"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568"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43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50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1610"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568"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43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50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1610"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568"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43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50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1610"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568"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43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50</w:t>
            </w:r>
          </w:p>
        </w:tc>
        <w:tc>
          <w:tcPr>
            <w:tcW w:w="50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1610"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35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568"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43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50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1610" w:type="pct"/>
            <w:tcBorders>
              <w:top w:val="single" w:color="auto"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356"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568" w:type="pct"/>
            <w:gridSpan w:val="2"/>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438"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500"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161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3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56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43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50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161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3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56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43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50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161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3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56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43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50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161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3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56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43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50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1610"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3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56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43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50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16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3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56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104.71</w:t>
            </w:r>
          </w:p>
        </w:tc>
        <w:tc>
          <w:tcPr>
            <w:tcW w:w="15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43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50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16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使用非财政拨款结余（含专用结余）</w:t>
            </w:r>
          </w:p>
        </w:tc>
        <w:tc>
          <w:tcPr>
            <w:tcW w:w="3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56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结余分配</w:t>
            </w:r>
          </w:p>
        </w:tc>
        <w:tc>
          <w:tcPr>
            <w:tcW w:w="43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50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16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3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56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c>
          <w:tcPr>
            <w:tcW w:w="43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60</w:t>
            </w:r>
          </w:p>
        </w:tc>
        <w:tc>
          <w:tcPr>
            <w:tcW w:w="50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16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3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56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43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50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1610"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35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56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104.71</w:t>
            </w:r>
          </w:p>
        </w:tc>
        <w:tc>
          <w:tcPr>
            <w:tcW w:w="15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43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50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5000" w:type="pct"/>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注：1.本表反映单位本年度的总收支和年末结转结余情况。</w:t>
            </w:r>
          </w:p>
          <w:p>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2.本套报表金额转换时可能存在尾数误差。</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9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60"/>
        <w:gridCol w:w="1037"/>
        <w:gridCol w:w="1037"/>
        <w:gridCol w:w="1037"/>
        <w:gridCol w:w="964"/>
        <w:gridCol w:w="367"/>
        <w:gridCol w:w="597"/>
        <w:gridCol w:w="1027"/>
        <w:gridCol w:w="9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923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230" w:type="dxa"/>
            <w:gridSpan w:val="10"/>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eastAsia" w:ascii="Times New Roman" w:hAnsi="Times New Roman" w:eastAsia="宋体" w:cs="Times New Roman"/>
                <w:i w:val="0"/>
                <w:iCs w:val="0"/>
                <w:color w:val="000000"/>
                <w:sz w:val="20"/>
                <w:szCs w:val="20"/>
                <w:highlight w:val="none"/>
                <w:u w:val="none"/>
                <w:lang w:val="en-US" w:eastAsia="zh-CN"/>
              </w:rPr>
              <w:t>02</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237" w:type="dxa"/>
            <w:gridSpan w:val="3"/>
            <w:tcBorders>
              <w:top w:val="nil"/>
              <w:left w:val="nil"/>
              <w:bottom w:val="single" w:color="auto" w:sz="4" w:space="0"/>
              <w:right w:val="nil"/>
            </w:tcBorders>
            <w:noWrap/>
            <w:vAlign w:val="bottom"/>
          </w:tcPr>
          <w:p>
            <w:pP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单位：宁晋县档案馆(本级)                                                                                                         </w:t>
            </w:r>
          </w:p>
        </w:tc>
        <w:tc>
          <w:tcPr>
            <w:tcW w:w="3405" w:type="dxa"/>
            <w:gridSpan w:val="4"/>
            <w:tcBorders>
              <w:top w:val="nil"/>
              <w:left w:val="nil"/>
              <w:bottom w:val="single" w:color="auto" w:sz="4" w:space="0"/>
              <w:right w:val="nil"/>
            </w:tcBorders>
            <w:noWrap/>
            <w:vAlign w:val="bottom"/>
          </w:tcPr>
          <w:p>
            <w:pPr>
              <w:jc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default" w:ascii="Times New Roman" w:hAnsi="Times New Roman" w:eastAsia="方正仿宋_GB2312" w:cs="Times New Roman"/>
                <w:i w:val="0"/>
                <w:iCs w:val="0"/>
                <w:color w:val="000000"/>
                <w:sz w:val="20"/>
                <w:szCs w:val="20"/>
                <w:highlight w:val="none"/>
                <w:u w:val="none"/>
                <w:lang w:val="en-US" w:eastAsia="zh-CN"/>
              </w:rPr>
              <w:t>202</w:t>
            </w:r>
            <w:r>
              <w:rPr>
                <w:rFonts w:hint="eastAsia" w:ascii="Times New Roman" w:hAnsi="Times New Roman" w:eastAsia="方正仿宋_GB2312" w:cs="Times New Roman"/>
                <w:i w:val="0"/>
                <w:iCs w:val="0"/>
                <w:color w:val="000000"/>
                <w:sz w:val="20"/>
                <w:szCs w:val="20"/>
                <w:highlight w:val="none"/>
                <w:u w:val="none"/>
                <w:lang w:val="en-US" w:eastAsia="zh-CN"/>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2588" w:type="dxa"/>
            <w:gridSpan w:val="3"/>
            <w:tcBorders>
              <w:top w:val="nil"/>
              <w:left w:val="nil"/>
              <w:bottom w:val="single" w:color="auto" w:sz="4" w:space="0"/>
              <w:right w:val="nil"/>
            </w:tcBorders>
            <w:noWrap/>
            <w:vAlign w:val="bottom"/>
          </w:tcPr>
          <w:p>
            <w:pPr>
              <w:jc w:val="right"/>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200" w:type="dxa"/>
            <w:gridSpan w:val="2"/>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103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本年收入合计</w:t>
            </w:r>
          </w:p>
        </w:tc>
        <w:tc>
          <w:tcPr>
            <w:tcW w:w="103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财政拨款收入</w:t>
            </w:r>
          </w:p>
        </w:tc>
        <w:tc>
          <w:tcPr>
            <w:tcW w:w="103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上级补助收入</w:t>
            </w:r>
          </w:p>
        </w:tc>
        <w:tc>
          <w:tcPr>
            <w:tcW w:w="964" w:type="dxa"/>
            <w:vMerge w:val="restart"/>
            <w:tcBorders>
              <w:top w:val="single" w:color="auto" w:sz="4" w:space="0"/>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事业收入</w:t>
            </w:r>
          </w:p>
        </w:tc>
        <w:tc>
          <w:tcPr>
            <w:tcW w:w="964" w:type="dxa"/>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经营收入</w:t>
            </w:r>
          </w:p>
        </w:tc>
        <w:tc>
          <w:tcPr>
            <w:tcW w:w="102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附属单位上缴收入</w:t>
            </w:r>
          </w:p>
        </w:tc>
        <w:tc>
          <w:tcPr>
            <w:tcW w:w="964"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16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160" w:type="dxa"/>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2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0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3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9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4</w:t>
            </w:r>
          </w:p>
        </w:tc>
        <w:tc>
          <w:tcPr>
            <w:tcW w:w="96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2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9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104.71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104.71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一般公共服务支出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46.87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46.87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20126</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档案事务</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46.87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46.87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2012601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行政运行</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46.87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46.87</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社会保障和就业支出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50.70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50.70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行政事业单位养老支出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25.92</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25.92</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行政单位离退休</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20.21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20.21</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2080505</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机关事业单位基本养老保险缴费支出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5.70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5.70</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20808</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抚恤</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24.78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24.78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2080801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死亡抚恤</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24.78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24.78</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卫生健康支出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2.59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2.59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行政事业单位医疗</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2.59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2.59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行政单位医疗</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2.59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2.59</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住房保障支出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4.56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4.56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住房改革支出</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4.56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4.56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40"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2210201</w:t>
            </w:r>
          </w:p>
        </w:tc>
        <w:tc>
          <w:tcPr>
            <w:tcW w:w="1160"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住房公积金</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4.56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4.56</w:t>
            </w:r>
          </w:p>
        </w:tc>
        <w:tc>
          <w:tcPr>
            <w:tcW w:w="103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2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4"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230"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注：本表反映单位本年度取得的各项收入情况。</w:t>
            </w:r>
          </w:p>
        </w:tc>
      </w:tr>
    </w:tbl>
    <w:p>
      <w:pPr>
        <w:rPr>
          <w:rFonts w:hint="eastAsia" w:ascii="黑体" w:hAnsi="黑体" w:eastAsia="黑体" w:cs="宋体"/>
          <w:bCs/>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81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0"/>
        <w:gridCol w:w="1187"/>
        <w:gridCol w:w="1128"/>
        <w:gridCol w:w="126"/>
        <w:gridCol w:w="1000"/>
        <w:gridCol w:w="1126"/>
        <w:gridCol w:w="497"/>
        <w:gridCol w:w="629"/>
        <w:gridCol w:w="1126"/>
        <w:gridCol w:w="1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5000" w:type="pct"/>
            <w:gridSpan w:val="10"/>
            <w:tcBorders>
              <w:top w:val="nil"/>
              <w:left w:val="nil"/>
              <w:bottom w:val="nil"/>
              <w:right w:val="nil"/>
            </w:tcBorders>
            <w:noWrap/>
            <w:vAlign w:val="bottom"/>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br w:type="page"/>
            </w:r>
            <w:r>
              <w:rPr>
                <w:rFonts w:hint="eastAsia" w:ascii="方正仿宋_GB2312" w:hAnsi="方正仿宋_GB2312" w:eastAsia="方正仿宋_GB2312" w:cs="方正仿宋_GB2312"/>
                <w:b w:val="0"/>
                <w:bCs/>
                <w:color w:val="auto"/>
                <w:kern w:val="0"/>
                <w:sz w:val="32"/>
                <w:szCs w:val="32"/>
                <w:highlight w:val="none"/>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000" w:type="pct"/>
            <w:gridSpan w:val="10"/>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03</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862" w:type="pct"/>
            <w:gridSpan w:val="4"/>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单位：宁晋县档案馆(本级)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1403" w:type="pct"/>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eastAsiaTheme="minorEastAsia"/>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34" w:type="pct"/>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91" w:type="pct"/>
            <w:gridSpan w:val="2"/>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03"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本年支出合计</w:t>
            </w:r>
          </w:p>
        </w:tc>
        <w:tc>
          <w:tcPr>
            <w:tcW w:w="602" w:type="pct"/>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602"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602" w:type="pct"/>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上缴上级支出</w:t>
            </w:r>
          </w:p>
        </w:tc>
        <w:tc>
          <w:tcPr>
            <w:tcW w:w="602"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经营支出</w:t>
            </w:r>
          </w:p>
        </w:tc>
        <w:tc>
          <w:tcPr>
            <w:tcW w:w="795"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635"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0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60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60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95"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0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0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0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0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0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795"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91"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104.71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80.49</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24.23</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一般公共服务支出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46.87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46.87</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20126</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档案事务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46.87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46.87</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2012601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46.87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46.87</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50.70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26.76</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23.94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25.92</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25.92</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行政单位离退休</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20.21</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20.21</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5.70</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5.70</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20808</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抚恤</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24.78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0.84</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23.94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2080801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死亡抚恤</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24.78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0.84</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23.94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2.59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2.30</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0.29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2.59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2.30</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0.29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行政单位医疗</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2.59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2.30</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0.29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4.56</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4.56</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635"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4.56</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000" w:type="pct"/>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注：本表反映单位本年度各项支出情况。</w:t>
            </w:r>
          </w:p>
        </w:tc>
      </w:tr>
    </w:tbl>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664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8"/>
        <w:gridCol w:w="568"/>
        <w:gridCol w:w="1303"/>
        <w:gridCol w:w="1514"/>
        <w:gridCol w:w="398"/>
        <w:gridCol w:w="568"/>
        <w:gridCol w:w="420"/>
        <w:gridCol w:w="760"/>
        <w:gridCol w:w="1110"/>
        <w:gridCol w:w="1110"/>
        <w:gridCol w:w="1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5000" w:type="pct"/>
            <w:gridSpan w:val="11"/>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2431" w:type="pct"/>
            <w:gridSpan w:val="4"/>
            <w:tcBorders>
              <w:top w:val="nil"/>
              <w:left w:val="nil"/>
              <w:bottom w:val="single" w:color="auto" w:sz="4" w:space="0"/>
              <w:right w:val="nil"/>
            </w:tcBorders>
            <w:noWrap/>
            <w:vAlign w:val="bottom"/>
          </w:tcPr>
          <w:p>
            <w:pPr>
              <w:rPr>
                <w:rFonts w:hint="eastAsia" w:ascii="仿宋" w:hAnsi="仿宋" w:eastAsia="仿宋" w:cs="仿宋"/>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单位：宁晋县档案馆(本级)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648" w:type="pct"/>
            <w:gridSpan w:val="3"/>
            <w:tcBorders>
              <w:top w:val="nil"/>
              <w:left w:val="nil"/>
              <w:bottom w:val="single" w:color="auto" w:sz="4" w:space="0"/>
              <w:right w:val="nil"/>
            </w:tcBorders>
            <w:noWrap/>
            <w:vAlign w:val="bottom"/>
          </w:tcPr>
          <w:p>
            <w:pPr>
              <w:jc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919" w:type="pct"/>
            <w:gridSpan w:val="4"/>
            <w:tcBorders>
              <w:top w:val="nil"/>
              <w:left w:val="nil"/>
              <w:bottom w:val="single" w:color="auto" w:sz="4" w:space="0"/>
              <w:right w:val="nil"/>
            </w:tcBorders>
            <w:noWrap/>
            <w:vAlign w:val="bottom"/>
          </w:tcPr>
          <w:p>
            <w:pPr>
              <w:jc w:val="right"/>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1722" w:type="pct"/>
            <w:gridSpan w:val="3"/>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收入</w:t>
            </w:r>
          </w:p>
        </w:tc>
        <w:tc>
          <w:tcPr>
            <w:tcW w:w="3277" w:type="pct"/>
            <w:gridSpan w:val="8"/>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46"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    目</w:t>
            </w:r>
          </w:p>
        </w:tc>
        <w:tc>
          <w:tcPr>
            <w:tcW w:w="265"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610"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金额</w:t>
            </w:r>
          </w:p>
        </w:tc>
        <w:tc>
          <w:tcPr>
            <w:tcW w:w="895"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5"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552" w:type="pct"/>
            <w:gridSpan w:val="2"/>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合计</w:t>
            </w:r>
          </w:p>
        </w:tc>
        <w:tc>
          <w:tcPr>
            <w:tcW w:w="519" w:type="pct"/>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一般公共预算财政拨款</w:t>
            </w:r>
          </w:p>
        </w:tc>
        <w:tc>
          <w:tcPr>
            <w:tcW w:w="519" w:type="pct"/>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政府性基金预算财政拨款</w:t>
            </w:r>
          </w:p>
        </w:tc>
        <w:tc>
          <w:tcPr>
            <w:tcW w:w="524" w:type="pct"/>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84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5"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10"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895"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5"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52" w:type="pct"/>
            <w:gridSpan w:val="2"/>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19" w:type="pct"/>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19" w:type="pct"/>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4" w:type="pct"/>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4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5"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61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5"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55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1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1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24" w:type="pct"/>
            <w:tcBorders>
              <w:top w:val="nil"/>
              <w:left w:val="nil"/>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84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1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104.71</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46.87</w:t>
            </w: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46.87</w:t>
            </w: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84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1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84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1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4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1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4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61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4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61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84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61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84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61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40</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50.70</w:t>
            </w: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50.70</w:t>
            </w: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4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61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2.59</w:t>
            </w: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2.59</w:t>
            </w: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4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61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4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61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46" w:type="pct"/>
            <w:tcBorders>
              <w:top w:val="nil"/>
              <w:left w:val="single" w:color="000000" w:sz="4" w:space="0"/>
              <w:bottom w:val="single" w:color="auto"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5"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610"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auto"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5"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552" w:type="pct"/>
            <w:gridSpan w:val="2"/>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nil"/>
              <w:left w:val="nil"/>
              <w:bottom w:val="single" w:color="auto"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4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61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84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61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84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61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4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61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84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61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84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61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4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61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4.56</w:t>
            </w:r>
          </w:p>
        </w:tc>
        <w:tc>
          <w:tcPr>
            <w:tcW w:w="51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4.56</w:t>
            </w:r>
          </w:p>
        </w:tc>
        <w:tc>
          <w:tcPr>
            <w:tcW w:w="51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84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61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84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61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84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61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4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61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846" w:type="pct"/>
            <w:tcBorders>
              <w:top w:val="single" w:color="auto"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5"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610"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5"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552" w:type="pct"/>
            <w:gridSpan w:val="2"/>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single" w:color="auto" w:sz="4" w:space="0"/>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846"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highlight w:val="none"/>
                <w:u w:val="none"/>
              </w:rPr>
            </w:pP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61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846"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61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84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61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104.71</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104.71</w:t>
            </w: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104.71</w:t>
            </w: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84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年初财政拨款结转和结余</w:t>
            </w: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61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年末财政拨款结转和结余</w:t>
            </w: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60</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nil"/>
              <w:left w:val="nil"/>
              <w:bottom w:val="single" w:color="000000" w:sz="4" w:space="0"/>
              <w:right w:val="single" w:color="000000" w:sz="8" w:space="0"/>
            </w:tcBorders>
            <w:noWrap/>
            <w:vAlign w:val="center"/>
          </w:tcPr>
          <w:p>
            <w:pPr>
              <w:jc w:val="both"/>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84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61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84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61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84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61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63</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jc w:val="center"/>
        </w:trPr>
        <w:tc>
          <w:tcPr>
            <w:tcW w:w="846" w:type="pct"/>
            <w:tcBorders>
              <w:top w:val="nil"/>
              <w:left w:val="single" w:color="000000" w:sz="4"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5"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610" w:type="pct"/>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104.71</w:t>
            </w:r>
          </w:p>
        </w:tc>
        <w:tc>
          <w:tcPr>
            <w:tcW w:w="895" w:type="pct"/>
            <w:gridSpan w:val="2"/>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5"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64</w:t>
            </w:r>
          </w:p>
        </w:tc>
        <w:tc>
          <w:tcPr>
            <w:tcW w:w="552" w:type="pct"/>
            <w:gridSpan w:val="2"/>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104.71</w:t>
            </w:r>
          </w:p>
        </w:tc>
        <w:tc>
          <w:tcPr>
            <w:tcW w:w="519" w:type="pct"/>
            <w:tcBorders>
              <w:top w:val="nil"/>
              <w:left w:val="nil"/>
              <w:bottom w:val="single" w:color="000000" w:sz="8" w:space="0"/>
              <w:right w:val="single" w:color="000000" w:sz="4" w:space="0"/>
            </w:tcBorders>
            <w:noWrap/>
            <w:vAlign w:val="center"/>
          </w:tcPr>
          <w:p>
            <w:pPr>
              <w:jc w:val="right"/>
              <w:rPr>
                <w:rFonts w:hint="default" w:ascii="Times New Roman" w:hAnsi="Times New Roman" w:cs="Times New Roman"/>
                <w:sz w:val="20"/>
                <w:szCs w:val="20"/>
                <w:highlight w:val="none"/>
              </w:rPr>
            </w:pPr>
          </w:p>
          <w:p>
            <w:pPr>
              <w:jc w:val="right"/>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104.71</w:t>
            </w:r>
          </w:p>
          <w:p>
            <w:pPr>
              <w:jc w:val="right"/>
              <w:rPr>
                <w:rFonts w:hint="default" w:ascii="Times New Roman" w:hAnsi="Times New Roman" w:eastAsia="宋体" w:cs="Times New Roman"/>
                <w:i w:val="0"/>
                <w:iCs w:val="0"/>
                <w:color w:val="000000"/>
                <w:sz w:val="20"/>
                <w:szCs w:val="20"/>
                <w:highlight w:val="none"/>
                <w:u w:val="none"/>
              </w:rPr>
            </w:pPr>
          </w:p>
        </w:tc>
        <w:tc>
          <w:tcPr>
            <w:tcW w:w="519" w:type="pct"/>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4" w:type="pct"/>
            <w:tcBorders>
              <w:top w:val="nil"/>
              <w:left w:val="nil"/>
              <w:bottom w:val="single" w:color="000000" w:sz="8"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5000" w:type="pct"/>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注：本表反映单位本年度一般公共预算财政拨款、政府性基金预算财政拨款和国有资本经营预算财政拨款的总收支和年末结转结余情况。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348" w:type="pct"/>
        <w:tblInd w:w="-6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9"/>
        <w:gridCol w:w="3416"/>
        <w:gridCol w:w="408"/>
        <w:gridCol w:w="832"/>
        <w:gridCol w:w="1002"/>
        <w:gridCol w:w="378"/>
        <w:gridCol w:w="16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5000" w:type="pct"/>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000" w:type="pct"/>
            <w:gridSpan w:val="7"/>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05</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868" w:type="pct"/>
            <w:gridSpan w:val="3"/>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编制单位：宁晋县档案馆(本级)</w:t>
            </w:r>
          </w:p>
        </w:tc>
        <w:tc>
          <w:tcPr>
            <w:tcW w:w="1541" w:type="pct"/>
            <w:gridSpan w:val="2"/>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590" w:type="pct"/>
            <w:gridSpan w:val="2"/>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3538"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科目代码</w:t>
            </w:r>
          </w:p>
        </w:tc>
        <w:tc>
          <w:tcPr>
            <w:tcW w:w="75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1218"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w:t>
            </w:r>
          </w:p>
        </w:tc>
        <w:tc>
          <w:tcPr>
            <w:tcW w:w="121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104.71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80.49</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24.23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一般公共服务支出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46.87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46.87</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20126</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档案事务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46.87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46.87</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2012601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46.87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46.87</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50.70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26.76</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25.92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25.92</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行政单位离退休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20.21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20.21</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5.70</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5.70</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20808</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抚恤</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24.78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0.84</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2080801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死亡抚恤</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24.78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0.84</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2.59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2.30</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2.59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2.30</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2.59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2.30</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4.56</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4.56</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4.56</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000" w:type="pct"/>
            <w:gridSpan w:val="7"/>
            <w:tcBorders>
              <w:top w:val="single" w:color="auto" w:sz="4" w:space="0"/>
              <w:left w:val="nil"/>
              <w:bottom w:val="nil"/>
              <w:right w:val="nil"/>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注：本表反映单位本年度一般公共预算财政拨款支出情况。</w:t>
            </w:r>
          </w:p>
        </w:tc>
      </w:tr>
    </w:tbl>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644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9"/>
        <w:gridCol w:w="1657"/>
        <w:gridCol w:w="933"/>
        <w:gridCol w:w="879"/>
        <w:gridCol w:w="403"/>
        <w:gridCol w:w="1254"/>
        <w:gridCol w:w="538"/>
        <w:gridCol w:w="341"/>
        <w:gridCol w:w="879"/>
        <w:gridCol w:w="1657"/>
        <w:gridCol w:w="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5000" w:type="pct"/>
            <w:gridSpan w:val="11"/>
            <w:tcBorders>
              <w:top w:val="nil"/>
              <w:left w:val="nil"/>
              <w:bottom w:val="nil"/>
              <w:right w:val="nil"/>
            </w:tcBorders>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06</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2292" w:type="pct"/>
            <w:gridSpan w:val="5"/>
            <w:tcBorders>
              <w:top w:val="nil"/>
              <w:left w:val="nil"/>
              <w:bottom w:val="single" w:color="auto" w:sz="4" w:space="0"/>
              <w:right w:val="nil"/>
            </w:tcBorders>
            <w:noWrap/>
            <w:vAlign w:val="bottom"/>
          </w:tcPr>
          <w:p>
            <w:pP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单位：宁晋县档案馆(本级) </w:t>
            </w:r>
            <w:r>
              <w:rPr>
                <w:rFonts w:hint="eastAsia" w:asciiTheme="minorEastAsia" w:hAnsiTheme="minorEastAsia" w:cstheme="minorEastAsia"/>
                <w:i w:val="0"/>
                <w:iCs w:val="0"/>
                <w:color w:val="000000"/>
                <w:kern w:val="0"/>
                <w:sz w:val="18"/>
                <w:szCs w:val="18"/>
                <w:highlight w:val="none"/>
                <w:u w:val="none"/>
                <w:lang w:val="en-US" w:eastAsia="zh-CN" w:bidi="ar"/>
              </w:rPr>
              <w:t xml:space="preserve">                                                                   </w:t>
            </w:r>
          </w:p>
        </w:tc>
        <w:tc>
          <w:tcPr>
            <w:tcW w:w="864" w:type="pct"/>
            <w:gridSpan w:val="2"/>
            <w:tcBorders>
              <w:top w:val="nil"/>
              <w:left w:val="nil"/>
              <w:bottom w:val="single" w:color="auto" w:sz="4" w:space="0"/>
              <w:right w:val="nil"/>
            </w:tcBorders>
            <w:noWrap/>
            <w:vAlign w:val="bottom"/>
          </w:tcPr>
          <w:p>
            <w:pPr>
              <w:jc w:val="center"/>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cstheme="minorEastAsia"/>
                <w:i w:val="0"/>
                <w:iCs w:val="0"/>
                <w:color w:val="000000"/>
                <w:kern w:val="0"/>
                <w:sz w:val="18"/>
                <w:szCs w:val="18"/>
                <w:highlight w:val="none"/>
                <w:u w:val="none"/>
                <w:lang w:val="en-US" w:eastAsia="zh-CN" w:bidi="ar"/>
              </w:rPr>
              <w:t>2024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1842" w:type="pct"/>
            <w:gridSpan w:val="4"/>
            <w:tcBorders>
              <w:top w:val="nil"/>
              <w:left w:val="nil"/>
              <w:bottom w:val="single" w:color="auto" w:sz="4" w:space="0"/>
              <w:right w:val="nil"/>
            </w:tcBorders>
            <w:noWrap/>
            <w:vAlign w:val="bottom"/>
          </w:tcPr>
          <w:p>
            <w:pPr>
              <w:jc w:val="right"/>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1674" w:type="pct"/>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w:t>
            </w:r>
          </w:p>
        </w:tc>
        <w:tc>
          <w:tcPr>
            <w:tcW w:w="3325" w:type="pct"/>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2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5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53"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工资福利支出</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59.43</w:t>
            </w: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商品和服务支出</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债务利息及费用支出</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基本工资</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45.22</w:t>
            </w: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办公费</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国内债务付息</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津贴补贴</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印刷费</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国外债务付息</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奖金</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1.50</w:t>
            </w: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咨询费</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资本性支出</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30106</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伙食补助费</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手续费</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房屋建筑物购建</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绩效工资</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水费</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办公设备购置</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机关事业单位基本养老保险缴费</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5.70</w:t>
            </w: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电费</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专用设备购置</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职业年金缴费</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邮电费</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31005</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基础设施建设</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职工基本医疗保险缴费</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2.30</w:t>
            </w: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取暖费</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31006</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大型修缮</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公务员医疗补助缴费</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物业管理费</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信息网络及软件购置更新</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其他社会保障缴费</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0.15</w:t>
            </w: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差旅费</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物资储备</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住房公积金</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4.56</w:t>
            </w: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因公出国（境）费用</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土地补偿</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30114</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维修（护）费</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安置补助</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其他工资福利支出</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租赁费</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地上附着物和青苗补偿</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对个人和家庭的补助</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21.05</w:t>
            </w: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会议费</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拆迁补偿</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离休费</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培训费</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退休费</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20.21</w:t>
            </w: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其他交通工具购置</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退职（役）费</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专用材料费</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文物和陈列品购置</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30304</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抚恤金</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0.84</w:t>
            </w: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被装购置费</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无形资产购置</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30305</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生活补助</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专用燃料费</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其他资本性支出</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30306</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救济费</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劳务费</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对企业补助</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医疗费补助</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委托业务费</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资本金注入</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助学金</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工会经费</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政府投资基金股权投资</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奖励金</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福利费</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31204</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费用补贴</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个人农业生产补贴</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31205</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利息补贴</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代缴社会保险费</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其他交通费用</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其他对企业补助</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其他对个人和家庭的补助</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30240</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税金及附加费用</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50" w:type="pct"/>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30299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其他商品和服务支出</w:t>
            </w: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国家赔偿费用支出</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50"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对民间非营利组织和群众性自治组织补贴</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50"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经常性赠与</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50"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资本性赠与</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50"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4"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1223" w:type="pct"/>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eastAsiaTheme="minorEastAsia"/>
                <w:sz w:val="18"/>
                <w:szCs w:val="18"/>
                <w:highlight w:val="none"/>
                <w:lang w:val="en-US" w:eastAsia="zh-CN"/>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人员经费合计</w:t>
            </w:r>
          </w:p>
        </w:tc>
        <w:tc>
          <w:tcPr>
            <w:tcW w:w="45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80.49</w:t>
            </w:r>
          </w:p>
        </w:tc>
        <w:tc>
          <w:tcPr>
            <w:tcW w:w="2872" w:type="pct"/>
            <w:gridSpan w:val="7"/>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公用经费合计</w:t>
            </w:r>
          </w:p>
        </w:tc>
        <w:tc>
          <w:tcPr>
            <w:tcW w:w="453"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5000" w:type="pct"/>
            <w:gridSpan w:val="11"/>
            <w:tcBorders>
              <w:top w:val="single" w:color="auto" w:sz="4" w:space="0"/>
              <w:left w:val="nil"/>
              <w:bottom w:val="nil"/>
              <w:right w:val="nil"/>
            </w:tcBorders>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注：本表反映单位本年度一般公共预算财政拨款基本支出明细情况。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616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1"/>
        <w:gridCol w:w="1396"/>
        <w:gridCol w:w="1236"/>
        <w:gridCol w:w="971"/>
        <w:gridCol w:w="1047"/>
        <w:gridCol w:w="397"/>
        <w:gridCol w:w="662"/>
        <w:gridCol w:w="1086"/>
        <w:gridCol w:w="1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5000" w:type="pct"/>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07</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926" w:type="pct"/>
            <w:gridSpan w:val="3"/>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单位：宁晋县档案馆(本级) </w:t>
            </w: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1217" w:type="pct"/>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855" w:type="pct"/>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1303" w:type="pct"/>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22"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489"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w:t>
            </w:r>
          </w:p>
        </w:tc>
        <w:tc>
          <w:tcPr>
            <w:tcW w:w="1608" w:type="pct"/>
            <w:gridSpan w:val="4"/>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c>
          <w:tcPr>
            <w:tcW w:w="974" w:type="pct"/>
            <w:vMerge w:val="restart"/>
            <w:tcBorders>
              <w:top w:val="single" w:color="auto" w:sz="4" w:space="0"/>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600"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70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2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7"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533"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547"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974" w:type="pct"/>
            <w:vMerge w:val="continue"/>
            <w:tcBorders>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结转</w:t>
            </w:r>
          </w:p>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60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7"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3"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7"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4" w:type="pct"/>
            <w:vMerge w:val="continue"/>
            <w:tcBorders>
              <w:left w:val="nil"/>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600" w:type="pct"/>
            <w:vMerge w:val="continue"/>
            <w:tcBorders>
              <w:top w:val="nil"/>
              <w:left w:val="single" w:color="000000" w:sz="4" w:space="0"/>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7"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3"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7"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4" w:type="pct"/>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130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22" w:type="pct"/>
            <w:tcBorders>
              <w:top w:val="nil"/>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1</w:t>
            </w:r>
          </w:p>
        </w:tc>
        <w:tc>
          <w:tcPr>
            <w:tcW w:w="48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2</w:t>
            </w:r>
          </w:p>
        </w:tc>
        <w:tc>
          <w:tcPr>
            <w:tcW w:w="52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3</w:t>
            </w:r>
          </w:p>
        </w:tc>
        <w:tc>
          <w:tcPr>
            <w:tcW w:w="533"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4</w:t>
            </w:r>
          </w:p>
        </w:tc>
        <w:tc>
          <w:tcPr>
            <w:tcW w:w="54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5</w:t>
            </w:r>
          </w:p>
        </w:tc>
        <w:tc>
          <w:tcPr>
            <w:tcW w:w="974"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lang w:val="en-US" w:eastAsia="zh-CN"/>
              </w:rPr>
            </w:pPr>
            <w:r>
              <w:rPr>
                <w:rFonts w:hint="default" w:ascii="Times New Roman" w:hAnsi="Times New Roman" w:eastAsia="方正仿宋_GB2312" w:cs="Times New Roman"/>
                <w:i w:val="0"/>
                <w:iCs w:val="0"/>
                <w:color w:val="000000"/>
                <w:sz w:val="20"/>
                <w:szCs w:val="20"/>
                <w:highlight w:val="none"/>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130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22" w:type="pct"/>
            <w:tcBorders>
              <w:top w:val="nil"/>
              <w:left w:val="single" w:color="auto"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33"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4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74"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5000" w:type="pct"/>
            <w:gridSpan w:val="9"/>
            <w:tcBorders>
              <w:top w:val="nil"/>
              <w:left w:val="nil"/>
              <w:bottom w:val="nil"/>
              <w:right w:val="nil"/>
            </w:tcBorders>
            <w:noWrap/>
            <w:vAlign w:val="center"/>
          </w:tcPr>
          <w:p>
            <w:pP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注：本表反映单位本年度政府性基金预算财政拨款收入、支出及结转和结余情况。（本单位无政府性基金预算财政拨款，以空表列示）</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page"/>
            </w:r>
          </w:p>
        </w:tc>
      </w:tr>
    </w:tbl>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783" w:type="pct"/>
        <w:tblInd w:w="-9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52"/>
        <w:gridCol w:w="721"/>
        <w:gridCol w:w="1278"/>
        <w:gridCol w:w="1313"/>
        <w:gridCol w:w="5"/>
        <w:gridCol w:w="47"/>
        <w:gridCol w:w="1262"/>
        <w:gridCol w:w="10"/>
        <w:gridCol w:w="17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000" w:type="pct"/>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08</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974" w:type="pct"/>
            <w:gridSpan w:val="2"/>
            <w:tcBorders>
              <w:top w:val="nil"/>
              <w:left w:val="nil"/>
              <w:bottom w:val="single" w:color="auto" w:sz="4" w:space="0"/>
              <w:right w:val="nil"/>
            </w:tcBorders>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单位：宁晋县档案馆(本级)</w:t>
            </w:r>
          </w:p>
        </w:tc>
        <w:tc>
          <w:tcPr>
            <w:tcW w:w="1420" w:type="pct"/>
            <w:gridSpan w:val="4"/>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604" w:type="pct"/>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61" w:type="pct"/>
            <w:gridSpan w:val="3"/>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项目</w:t>
            </w:r>
          </w:p>
        </w:tc>
        <w:tc>
          <w:tcPr>
            <w:tcW w:w="2338" w:type="pct"/>
            <w:gridSpan w:val="6"/>
            <w:vMerge w:val="restart"/>
            <w:tcBorders>
              <w:top w:val="single" w:color="auto"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61"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2338" w:type="pct"/>
            <w:gridSpan w:val="6"/>
            <w:vMerge w:val="continue"/>
            <w:tcBorders>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074"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科目名称</w:t>
            </w:r>
          </w:p>
        </w:tc>
        <w:tc>
          <w:tcPr>
            <w:tcW w:w="708" w:type="pct"/>
            <w:gridSpan w:val="2"/>
            <w:vMerge w:val="restart"/>
            <w:tcBorders>
              <w:top w:val="nil"/>
              <w:left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合计</w:t>
            </w:r>
          </w:p>
        </w:tc>
        <w:tc>
          <w:tcPr>
            <w:tcW w:w="709" w:type="pct"/>
            <w:gridSpan w:val="3"/>
            <w:vMerge w:val="restart"/>
            <w:tcBorders>
              <w:top w:val="nil"/>
              <w:left w:val="nil"/>
              <w:right w:val="single" w:color="000000"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基本支出</w:t>
            </w:r>
          </w:p>
        </w:tc>
        <w:tc>
          <w:tcPr>
            <w:tcW w:w="920" w:type="pct"/>
            <w:vMerge w:val="restart"/>
            <w:tcBorders>
              <w:top w:val="nil"/>
              <w:left w:val="nil"/>
              <w:right w:val="single" w:color="000000"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87" w:type="pct"/>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74" w:type="pct"/>
            <w:gridSpan w:val="2"/>
            <w:vMerge w:val="continue"/>
            <w:tcBorders>
              <w:top w:val="single" w:color="auto" w:sz="4" w:space="0"/>
              <w:left w:val="nil"/>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8" w:type="pct"/>
            <w:gridSpan w:val="2"/>
            <w:vMerge w:val="continue"/>
            <w:tcBorders>
              <w:left w:val="single" w:color="auto"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3"/>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20" w:type="pct"/>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61" w:type="pct"/>
            <w:gridSpan w:val="3"/>
            <w:tcBorders>
              <w:top w:val="single" w:color="auto"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栏次</w:t>
            </w:r>
          </w:p>
        </w:tc>
        <w:tc>
          <w:tcPr>
            <w:tcW w:w="705" w:type="pct"/>
            <w:tcBorders>
              <w:top w:val="nil"/>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1</w:t>
            </w:r>
          </w:p>
        </w:tc>
        <w:tc>
          <w:tcPr>
            <w:tcW w:w="70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2</w:t>
            </w:r>
          </w:p>
        </w:tc>
        <w:tc>
          <w:tcPr>
            <w:tcW w:w="92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61" w:type="pct"/>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合计</w:t>
            </w:r>
          </w:p>
        </w:tc>
        <w:tc>
          <w:tcPr>
            <w:tcW w:w="705" w:type="pct"/>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06" w:type="pct"/>
            <w:gridSpan w:val="3"/>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25" w:type="pct"/>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注：本表反映单位本年度国有资本经营预算财政拨款支出情况。（本单位无国有资本经营预算财政拨款，以空表列示）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pPr w:leftFromText="180" w:rightFromText="180" w:vertAnchor="text" w:horzAnchor="page" w:tblpXSpec="center" w:tblpY="39"/>
        <w:tblOverlap w:val="never"/>
        <w:tblW w:w="643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8"/>
        <w:gridCol w:w="1092"/>
        <w:gridCol w:w="723"/>
        <w:gridCol w:w="842"/>
        <w:gridCol w:w="468"/>
        <w:gridCol w:w="481"/>
        <w:gridCol w:w="697"/>
        <w:gridCol w:w="582"/>
        <w:gridCol w:w="876"/>
        <w:gridCol w:w="644"/>
        <w:gridCol w:w="937"/>
        <w:gridCol w:w="876"/>
        <w:gridCol w:w="12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5000" w:type="pct"/>
            <w:gridSpan w:val="13"/>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1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09</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935" w:type="pct"/>
            <w:gridSpan w:val="5"/>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单位：宁晋县档案馆(本级)</w:t>
            </w:r>
          </w:p>
        </w:tc>
        <w:tc>
          <w:tcPr>
            <w:tcW w:w="851" w:type="pct"/>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202</w:t>
            </w:r>
            <w:r>
              <w:rPr>
                <w:rFonts w:hint="eastAsia" w:ascii="Times New Roman" w:hAnsi="Times New Roman" w:eastAsia="宋体" w:cs="Times New Roman"/>
                <w:i w:val="0"/>
                <w:iCs w:val="0"/>
                <w:color w:val="000000"/>
                <w:kern w:val="0"/>
                <w:sz w:val="18"/>
                <w:szCs w:val="18"/>
                <w:highlight w:val="none"/>
                <w:u w:val="none"/>
                <w:lang w:val="en-US" w:eastAsia="zh-CN" w:bidi="ar"/>
              </w:rPr>
              <w:t>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2213" w:type="pct"/>
            <w:gridSpan w:val="5"/>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2505" w:type="pct"/>
            <w:gridSpan w:val="7"/>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预算数</w:t>
            </w:r>
          </w:p>
        </w:tc>
        <w:tc>
          <w:tcPr>
            <w:tcW w:w="2494" w:type="pct"/>
            <w:gridSpan w:val="6"/>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424" w:type="pct"/>
            <w:vMerge w:val="restar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528"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215"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337"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281"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423"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188"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601"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jc w:val="center"/>
        </w:trPr>
        <w:tc>
          <w:tcPr>
            <w:tcW w:w="424" w:type="pct"/>
            <w:vMerge w:val="continue"/>
            <w:tcBorders>
              <w:top w:val="nil"/>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528"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4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5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337"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281"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423"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1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5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2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601"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424"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w:t>
            </w:r>
          </w:p>
        </w:tc>
        <w:tc>
          <w:tcPr>
            <w:tcW w:w="52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2</w:t>
            </w:r>
          </w:p>
        </w:tc>
        <w:tc>
          <w:tcPr>
            <w:tcW w:w="34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3</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4</w:t>
            </w:r>
          </w:p>
        </w:tc>
        <w:tc>
          <w:tcPr>
            <w:tcW w:w="45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5</w:t>
            </w:r>
          </w:p>
        </w:tc>
        <w:tc>
          <w:tcPr>
            <w:tcW w:w="33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6</w:t>
            </w:r>
          </w:p>
        </w:tc>
        <w:tc>
          <w:tcPr>
            <w:tcW w:w="28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7</w:t>
            </w:r>
          </w:p>
        </w:tc>
        <w:tc>
          <w:tcPr>
            <w:tcW w:w="42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8</w:t>
            </w:r>
          </w:p>
        </w:tc>
        <w:tc>
          <w:tcPr>
            <w:tcW w:w="31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9</w:t>
            </w:r>
          </w:p>
        </w:tc>
        <w:tc>
          <w:tcPr>
            <w:tcW w:w="45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10</w:t>
            </w:r>
          </w:p>
        </w:tc>
        <w:tc>
          <w:tcPr>
            <w:tcW w:w="42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11</w:t>
            </w:r>
          </w:p>
        </w:tc>
        <w:tc>
          <w:tcPr>
            <w:tcW w:w="60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424" w:type="pct"/>
            <w:tcBorders>
              <w:top w:val="nil"/>
              <w:left w:val="single" w:color="000000" w:sz="4" w:space="0"/>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52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34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0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5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33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281"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2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311"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5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2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601"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jc w:val="center"/>
        </w:trPr>
        <w:tc>
          <w:tcPr>
            <w:tcW w:w="5000" w:type="pct"/>
            <w:gridSpan w:val="13"/>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注：本表反映单位本年度财政拨款“三公”经费支出预决算情况。其中：预算数为“三公”经费全年预算数，反映按规定程序调整后的预算数；决算数是包括当年财政拨款和以前年度结转资金安排的实际支出。</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（本单位无财政拨款“三公”经费，以空表列示）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sectPr>
          <w:headerReference r:id="rId8"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第三部分</w:t>
      </w:r>
      <w:r>
        <w:rPr>
          <w:rFonts w:ascii="Times New Roman" w:eastAsia="仿宋_GB2312"/>
          <w:b w:val="0"/>
          <w:sz w:val="44"/>
          <w:szCs w:val="44"/>
        </w:rPr>
        <w:t>2024</w:t>
      </w:r>
      <w:r>
        <w:rPr>
          <w:rFonts w:ascii="Times New Roman" w:eastAsia="黑体"/>
          <w:b w:val="0"/>
          <w:sz w:val="44"/>
          <w:szCs w:val="44"/>
        </w:rPr>
        <w:t>年度</w:t>
      </w:r>
      <w:r>
        <w:rPr>
          <w:rFonts w:hint="eastAsia" w:ascii="Times New Roman" w:eastAsia="黑体"/>
          <w:b w:val="0"/>
          <w:sz w:val="44"/>
          <w:szCs w:val="44"/>
          <w:lang w:eastAsia="zh-CN"/>
        </w:rPr>
        <w:t>单位</w:t>
      </w:r>
      <w:r>
        <w:rPr>
          <w:rFonts w:ascii="Times New Roman" w:eastAsia="黑体"/>
          <w:b w:val="0"/>
          <w:sz w:val="44"/>
          <w:szCs w:val="44"/>
        </w:rPr>
        <w:t>决算情况说明</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一、收入支出决算总体情况说明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本单位2024年度收、支总计（含结转和结余）均为104.71万元。与2023年度决算相比，收支各增加14.62万元，增长16.2%，主要原因是</w:t>
      </w:r>
      <w:r>
        <w:rPr>
          <w:rFonts w:hint="eastAsia" w:ascii="Times New Roman" w:eastAsia="仿宋_GB2312"/>
          <w:b w:val="0"/>
          <w:sz w:val="32"/>
          <w:szCs w:val="32"/>
        </w:rPr>
        <w:t>一名退休人员死亡</w:t>
      </w:r>
      <w:r>
        <w:rPr>
          <w:rFonts w:hint="eastAsia" w:ascii="Times New Roman" w:eastAsia="仿宋_GB2312"/>
          <w:b w:val="0"/>
          <w:sz w:val="32"/>
          <w:szCs w:val="32"/>
          <w:lang w:eastAsia="zh-CN"/>
        </w:rPr>
        <w:t>，</w:t>
      </w:r>
      <w:r>
        <w:rPr>
          <w:rFonts w:hint="eastAsia" w:ascii="Times New Roman" w:eastAsia="仿宋_GB2312"/>
          <w:b w:val="0"/>
          <w:sz w:val="32"/>
          <w:szCs w:val="32"/>
        </w:rPr>
        <w:t>抚恤金</w:t>
      </w:r>
      <w:r>
        <w:rPr>
          <w:rFonts w:hint="eastAsia" w:ascii="Times New Roman" w:eastAsia="仿宋_GB2312"/>
          <w:b w:val="0"/>
          <w:sz w:val="32"/>
          <w:szCs w:val="32"/>
          <w:lang w:val="en-US" w:eastAsia="zh-CN"/>
        </w:rPr>
        <w:t>增加</w:t>
      </w:r>
      <w:r>
        <w:rPr>
          <w:rFonts w:ascii="Times New Roman" w:eastAsia="仿宋_GB2312"/>
          <w:b w:val="0"/>
          <w:sz w:val="32"/>
          <w:szCs w:val="32"/>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Arial" w:cs="Times New Roman"/>
          <w:highlight w:val="none"/>
        </w:rPr>
      </w:pPr>
      <w:r>
        <w:rPr>
          <w:rFonts w:hint="eastAsia" w:ascii="Times New Roman" w:hAnsi="Times New Roman" w:eastAsia="宋体"/>
        </w:rPr>
        <w:drawing>
          <wp:inline distT="0" distB="0" distL="114300" distR="114300">
            <wp:extent cx="5256530" cy="2988310"/>
            <wp:effectExtent l="5080" t="4445" r="889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hint="default" w:ascii="Times New Roman" w:hAnsi="Times New Roman" w:eastAsia="Arial" w:cs="Times New Roman"/>
          <w:i w:val="0"/>
          <w:iCs w:val="0"/>
          <w:caps w:val="0"/>
          <w:color w:val="000000"/>
          <w:spacing w:val="0"/>
          <w:sz w:val="18"/>
          <w:szCs w:val="18"/>
          <w:highlight w:val="none"/>
          <w:shd w:val="clear" w:fill="FFFFFF"/>
        </w:rPr>
        <w:t> </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二、收入决算情况说明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本单位2024年度本年收入合计104.71万元，其中：财政拨款收入104.71万元，占10</w:t>
      </w:r>
      <w:r>
        <w:rPr>
          <w:rFonts w:hint="eastAsia" w:ascii="Times New Roman" w:eastAsia="仿宋_GB2312"/>
          <w:b w:val="0"/>
          <w:sz w:val="32"/>
          <w:szCs w:val="32"/>
          <w:lang w:eastAsia="zh-CN"/>
        </w:rPr>
        <w:t>0</w:t>
      </w:r>
      <w:r>
        <w:rPr>
          <w:rFonts w:ascii="Times New Roman" w:eastAsia="仿宋_GB2312"/>
          <w:b w:val="0"/>
          <w:sz w:val="32"/>
          <w:szCs w:val="32"/>
        </w:rPr>
        <w:t>%；上级补助收入</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%；事业收入</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%；经营收入</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%；附属单位上缴收入</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%；其他收入</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p>
    <w:p>
      <w:pPr>
        <w:adjustRightInd w:val="0"/>
        <w:snapToGrid w:val="0"/>
        <w:spacing w:line="580" w:lineRule="exact"/>
        <w:jc w:val="both"/>
        <w:rPr>
          <w:rFonts w:hint="default" w:ascii="Times New Roman" w:hAnsi="Times New Roman" w:eastAsia="仿宋_GB2312" w:cs="Times New Roman"/>
          <w:kern w:val="2"/>
          <w:sz w:val="32"/>
          <w:szCs w:val="32"/>
          <w:highlight w:val="yellow"/>
          <w:lang w:val="zh-CN"/>
        </w:rPr>
      </w:pPr>
      <w:r>
        <w:rPr>
          <w:rFonts w:ascii="Times New Roman" w:hAnsi="Times New Roman" w:eastAsia="仿宋_GB2312"/>
          <w:kern w:val="2"/>
          <w:sz w:val="32"/>
          <w:szCs w:val="32"/>
          <w:highlight w:val="yellow"/>
          <w:lang w:val="zh-CN"/>
        </w:rPr>
        <w:drawing>
          <wp:anchor distT="0" distB="0" distL="114300" distR="114300" simplePos="0" relativeHeight="251661312" behindDoc="0" locked="0" layoutInCell="1" allowOverlap="1">
            <wp:simplePos x="0" y="0"/>
            <wp:positionH relativeFrom="column">
              <wp:posOffset>-16510</wp:posOffset>
            </wp:positionH>
            <wp:positionV relativeFrom="paragraph">
              <wp:posOffset>201930</wp:posOffset>
            </wp:positionV>
            <wp:extent cx="5256530" cy="2988310"/>
            <wp:effectExtent l="5080" t="4445" r="8890" b="1714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三、支出决算情况说明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本单位2024年度本年支出合计104.71万元，其中：基本支出80.49万元，占76.9%；项目支出24.23万元，占23.1%；上缴上级支出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%；经营支出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%；对附属单位补助支出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p>
    <w:p>
      <w:pPr>
        <w:autoSpaceDE w:val="0"/>
        <w:autoSpaceDN w:val="0"/>
        <w:adjustRightInd w:val="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cs="Times New Roman"/>
          <w:sz w:val="32"/>
          <w:szCs w:val="32"/>
          <w:highlight w:val="none"/>
        </w:rPr>
        <w:drawing>
          <wp:inline distT="0" distB="0" distL="114300" distR="114300">
            <wp:extent cx="5256530" cy="2988310"/>
            <wp:effectExtent l="5080" t="4445" r="1143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四、财政拨款收入支出决算总体情况说明</w:t>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（一）财政拨款收支与</w:t>
      </w:r>
      <w:r>
        <w:rPr>
          <w:rFonts w:ascii="Times New Roman" w:eastAsia="仿宋_GB2312"/>
          <w:b/>
          <w:sz w:val="32"/>
          <w:szCs w:val="32"/>
        </w:rPr>
        <w:t>2023</w:t>
      </w:r>
      <w:r>
        <w:rPr>
          <w:rFonts w:ascii="Times New Roman" w:eastAsia="楷体_GB2312"/>
          <w:b/>
          <w:sz w:val="32"/>
          <w:szCs w:val="32"/>
        </w:rPr>
        <w:t>年度决算对比情况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本单位2024年度财政拨款收、支总计（含结转和结余）均为104.71万元。与2023年度相比，财政拨款收支各增加14.62万元，增长16.2%，主要原因是</w:t>
      </w:r>
      <w:r>
        <w:rPr>
          <w:rFonts w:hint="eastAsia" w:ascii="仿宋_GB2312" w:eastAsia="仿宋_GB2312"/>
          <w:sz w:val="32"/>
          <w:szCs w:val="32"/>
          <w:lang w:eastAsia="zh-CN"/>
        </w:rPr>
        <w:t>一名退休人员死亡抚恤金造成</w:t>
      </w:r>
      <w:r>
        <w:rPr>
          <w:rFonts w:ascii="Times New Roman" w:eastAsia="仿宋_GB2312"/>
          <w:b w:val="0"/>
          <w:sz w:val="32"/>
          <w:szCs w:val="32"/>
        </w:rPr>
        <w:t>。</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本单位2024年度财政拨款本年收入104.71万元,比上年增加14.62万元，增长16.2%，主要原因是</w:t>
      </w:r>
      <w:r>
        <w:rPr>
          <w:rFonts w:hint="eastAsia" w:ascii="仿宋_GB2312" w:eastAsia="仿宋_GB2312"/>
          <w:sz w:val="32"/>
          <w:szCs w:val="32"/>
          <w:lang w:eastAsia="zh-CN"/>
        </w:rPr>
        <w:t>一名退休人员死亡抚恤金造成</w:t>
      </w:r>
      <w:r>
        <w:rPr>
          <w:rFonts w:ascii="Times New Roman" w:eastAsia="仿宋_GB2312"/>
          <w:b w:val="0"/>
          <w:sz w:val="32"/>
          <w:szCs w:val="32"/>
        </w:rPr>
        <w:t>；本年支出104.71万元，比上年增加14.62万元，增长16.2%，主要原因是</w:t>
      </w:r>
      <w:r>
        <w:rPr>
          <w:rFonts w:hint="eastAsia" w:ascii="仿宋_GB2312" w:eastAsia="仿宋_GB2312"/>
          <w:sz w:val="32"/>
          <w:szCs w:val="32"/>
          <w:lang w:eastAsia="zh-CN"/>
        </w:rPr>
        <w:t>一名退休人员死亡抚恤金造成</w:t>
      </w:r>
      <w:r>
        <w:rPr>
          <w:rFonts w:ascii="Times New Roman" w:eastAsia="仿宋_GB2312"/>
          <w:b w:val="0"/>
          <w:sz w:val="32"/>
          <w:szCs w:val="32"/>
        </w:rPr>
        <w:t>。具体情况如下：</w:t>
      </w:r>
    </w:p>
    <w:p>
      <w:pPr>
        <w:widowControl/>
        <w:spacing w:before="0" w:beforeLines="0" w:beforeAutospacing="0" w:after="0" w:afterLines="0" w:afterAutospacing="0" w:line="360" w:lineRule="auto"/>
        <w:ind w:firstLine="640" w:firstLineChars="200"/>
        <w:jc w:val="left"/>
        <w:outlineLvl w:val="1"/>
        <w:rPr>
          <w:rFonts w:ascii="Times New Roman" w:eastAsia="仿宋_GB2312"/>
          <w:sz w:val="32"/>
          <w:szCs w:val="32"/>
        </w:rPr>
      </w:pPr>
      <w:r>
        <w:rPr>
          <w:rFonts w:ascii="Times New Roman" w:eastAsia="仿宋_GB2312"/>
          <w:b w:val="0"/>
          <w:sz w:val="32"/>
          <w:szCs w:val="32"/>
        </w:rPr>
        <w:t>1.一般公共预算财政拨款本年收入104.71万元,比上年增加14.62万元，增长16.2%，主要原因是</w:t>
      </w:r>
      <w:r>
        <w:rPr>
          <w:rFonts w:hint="eastAsia" w:ascii="仿宋_GB2312" w:eastAsia="仿宋_GB2312"/>
          <w:sz w:val="32"/>
          <w:szCs w:val="32"/>
          <w:lang w:eastAsia="zh-CN"/>
        </w:rPr>
        <w:t>一名退休人员死亡抚恤金造成</w:t>
      </w:r>
      <w:r>
        <w:rPr>
          <w:rFonts w:ascii="Times New Roman" w:eastAsia="仿宋_GB2312"/>
          <w:b w:val="0"/>
          <w:sz w:val="32"/>
          <w:szCs w:val="32"/>
        </w:rPr>
        <w:t>；本年支出104.71万元，比上年增加14.62万元，增长16.2%，主要原因是</w:t>
      </w:r>
      <w:r>
        <w:rPr>
          <w:rFonts w:hint="eastAsia" w:ascii="仿宋_GB2312" w:eastAsia="仿宋_GB2312"/>
          <w:sz w:val="32"/>
          <w:szCs w:val="32"/>
          <w:lang w:eastAsia="zh-CN"/>
        </w:rPr>
        <w:t>一名退休人员死亡抚恤金造成</w:t>
      </w:r>
      <w:r>
        <w:rPr>
          <w:rFonts w:ascii="Times New Roman" w:eastAsia="仿宋_GB2312"/>
          <w:b w:val="0"/>
          <w:sz w:val="32"/>
          <w:szCs w:val="32"/>
        </w:rPr>
        <w:t>。</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2.政府性基金预算财政拨款本年收入</w:t>
      </w:r>
      <w:r>
        <w:rPr>
          <w:rFonts w:hint="eastAsia" w:ascii="Times New Roman" w:eastAsia="仿宋_GB2312"/>
          <w:b w:val="0"/>
          <w:sz w:val="32"/>
          <w:szCs w:val="32"/>
          <w:lang w:eastAsia="zh-CN"/>
        </w:rPr>
        <w:t>0</w:t>
      </w:r>
      <w:r>
        <w:rPr>
          <w:rFonts w:ascii="Times New Roman" w:eastAsia="仿宋_GB2312"/>
          <w:b w:val="0"/>
          <w:sz w:val="32"/>
          <w:szCs w:val="32"/>
        </w:rPr>
        <w:t>万元，比上年增加</w:t>
      </w:r>
      <w:r>
        <w:rPr>
          <w:rFonts w:hint="eastAsia" w:ascii="Times New Roman" w:eastAsia="仿宋_GB2312"/>
          <w:b w:val="0"/>
          <w:sz w:val="32"/>
          <w:szCs w:val="32"/>
          <w:lang w:eastAsia="zh-CN"/>
        </w:rPr>
        <w:t>0</w:t>
      </w:r>
      <w:r>
        <w:rPr>
          <w:rFonts w:ascii="Times New Roman" w:eastAsia="仿宋_GB2312"/>
          <w:b w:val="0"/>
          <w:sz w:val="32"/>
          <w:szCs w:val="32"/>
        </w:rPr>
        <w:t>万元，增长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Times New Roman" w:eastAsia="仿宋_GB2312"/>
          <w:b w:val="0"/>
          <w:sz w:val="32"/>
          <w:szCs w:val="32"/>
          <w:lang w:val="en-US" w:eastAsia="zh-CN"/>
        </w:rPr>
        <w:t>无</w:t>
      </w:r>
      <w:r>
        <w:rPr>
          <w:rFonts w:ascii="Times New Roman" w:eastAsia="仿宋_GB2312"/>
          <w:b w:val="0"/>
          <w:sz w:val="32"/>
          <w:szCs w:val="32"/>
        </w:rPr>
        <w:t>政府性基金预算财政拨款；本年支出</w:t>
      </w:r>
      <w:r>
        <w:rPr>
          <w:rFonts w:hint="eastAsia" w:ascii="Times New Roman" w:eastAsia="仿宋_GB2312"/>
          <w:b w:val="0"/>
          <w:sz w:val="32"/>
          <w:szCs w:val="32"/>
          <w:lang w:eastAsia="zh-CN"/>
        </w:rPr>
        <w:t>0</w:t>
      </w:r>
      <w:r>
        <w:rPr>
          <w:rFonts w:ascii="Times New Roman" w:eastAsia="仿宋_GB2312"/>
          <w:b w:val="0"/>
          <w:sz w:val="32"/>
          <w:szCs w:val="32"/>
        </w:rPr>
        <w:t>万元，比上年增加</w:t>
      </w:r>
      <w:r>
        <w:rPr>
          <w:rFonts w:hint="eastAsia" w:ascii="Times New Roman" w:eastAsia="仿宋_GB2312"/>
          <w:b w:val="0"/>
          <w:sz w:val="32"/>
          <w:szCs w:val="32"/>
          <w:lang w:eastAsia="zh-CN"/>
        </w:rPr>
        <w:t>0</w:t>
      </w:r>
      <w:r>
        <w:rPr>
          <w:rFonts w:ascii="Times New Roman" w:eastAsia="仿宋_GB2312"/>
          <w:b w:val="0"/>
          <w:sz w:val="32"/>
          <w:szCs w:val="32"/>
        </w:rPr>
        <w:t>万元，增长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Times New Roman" w:eastAsia="仿宋_GB2312"/>
          <w:b w:val="0"/>
          <w:sz w:val="32"/>
          <w:szCs w:val="32"/>
          <w:lang w:val="en-US" w:eastAsia="zh-CN"/>
        </w:rPr>
        <w:t>无</w:t>
      </w:r>
      <w:r>
        <w:rPr>
          <w:rFonts w:ascii="Times New Roman" w:eastAsia="仿宋_GB2312"/>
          <w:b w:val="0"/>
          <w:sz w:val="32"/>
          <w:szCs w:val="32"/>
        </w:rPr>
        <w:t>政府性基金预算财政拨款。</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3.国有资本经营预算财政拨款本年收入</w:t>
      </w:r>
      <w:r>
        <w:rPr>
          <w:rFonts w:hint="eastAsia" w:ascii="Times New Roman" w:eastAsia="仿宋_GB2312"/>
          <w:b w:val="0"/>
          <w:sz w:val="32"/>
          <w:szCs w:val="32"/>
          <w:lang w:eastAsia="zh-CN"/>
        </w:rPr>
        <w:t>0</w:t>
      </w:r>
      <w:r>
        <w:rPr>
          <w:rFonts w:ascii="Times New Roman" w:eastAsia="仿宋_GB2312"/>
          <w:b w:val="0"/>
          <w:sz w:val="32"/>
          <w:szCs w:val="32"/>
        </w:rPr>
        <w:t>万元，比上年增加</w:t>
      </w:r>
      <w:r>
        <w:rPr>
          <w:rFonts w:hint="eastAsia" w:ascii="Times New Roman" w:eastAsia="仿宋_GB2312"/>
          <w:b w:val="0"/>
          <w:sz w:val="32"/>
          <w:szCs w:val="32"/>
          <w:lang w:eastAsia="zh-CN"/>
        </w:rPr>
        <w:t>0</w:t>
      </w:r>
      <w:r>
        <w:rPr>
          <w:rFonts w:ascii="Times New Roman" w:eastAsia="仿宋_GB2312"/>
          <w:b w:val="0"/>
          <w:sz w:val="32"/>
          <w:szCs w:val="32"/>
        </w:rPr>
        <w:t>万元，增长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Times New Roman" w:eastAsia="仿宋_GB2312"/>
          <w:b w:val="0"/>
          <w:sz w:val="32"/>
          <w:szCs w:val="32"/>
          <w:lang w:val="en-US" w:eastAsia="zh-CN"/>
        </w:rPr>
        <w:t>无</w:t>
      </w:r>
      <w:r>
        <w:rPr>
          <w:rFonts w:ascii="Times New Roman" w:eastAsia="仿宋_GB2312"/>
          <w:b w:val="0"/>
          <w:sz w:val="32"/>
          <w:szCs w:val="32"/>
        </w:rPr>
        <w:t>国有资本经营预算财政拨款；本年支出</w:t>
      </w:r>
      <w:r>
        <w:rPr>
          <w:rFonts w:hint="eastAsia" w:ascii="Times New Roman" w:eastAsia="仿宋_GB2312"/>
          <w:b w:val="0"/>
          <w:sz w:val="32"/>
          <w:szCs w:val="32"/>
          <w:lang w:eastAsia="zh-CN"/>
        </w:rPr>
        <w:t>0</w:t>
      </w:r>
      <w:r>
        <w:rPr>
          <w:rFonts w:ascii="Times New Roman" w:eastAsia="仿宋_GB2312"/>
          <w:b w:val="0"/>
          <w:sz w:val="32"/>
          <w:szCs w:val="32"/>
        </w:rPr>
        <w:t>万元，比上年增加</w:t>
      </w:r>
      <w:r>
        <w:rPr>
          <w:rFonts w:hint="eastAsia" w:ascii="Times New Roman" w:eastAsia="仿宋_GB2312"/>
          <w:b w:val="0"/>
          <w:sz w:val="32"/>
          <w:szCs w:val="32"/>
          <w:lang w:eastAsia="zh-CN"/>
        </w:rPr>
        <w:t>0</w:t>
      </w:r>
      <w:r>
        <w:rPr>
          <w:rFonts w:ascii="Times New Roman" w:eastAsia="仿宋_GB2312"/>
          <w:b w:val="0"/>
          <w:sz w:val="32"/>
          <w:szCs w:val="32"/>
        </w:rPr>
        <w:t>万元，增长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Times New Roman" w:eastAsia="仿宋_GB2312"/>
          <w:b w:val="0"/>
          <w:sz w:val="32"/>
          <w:szCs w:val="32"/>
          <w:lang w:val="en-US" w:eastAsia="zh-CN"/>
        </w:rPr>
        <w:t>无</w:t>
      </w:r>
      <w:r>
        <w:rPr>
          <w:rFonts w:ascii="Times New Roman" w:eastAsia="仿宋_GB2312"/>
          <w:b w:val="0"/>
          <w:sz w:val="32"/>
          <w:szCs w:val="32"/>
        </w:rPr>
        <w:t>国有资本经营预算财政拨款。</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sz w:val="32"/>
          <w:szCs w:val="32"/>
        </w:rPr>
        <w:drawing>
          <wp:inline distT="0" distB="0" distL="114300" distR="114300">
            <wp:extent cx="5256530" cy="2988310"/>
            <wp:effectExtent l="5080" t="4445" r="889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（二）财政拨款收支与年初预算数对比情况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本单位2024年度财政拨款本年收入104.71万元，完成年初预算的13</w:t>
      </w:r>
      <w:r>
        <w:rPr>
          <w:rFonts w:hint="eastAsia" w:ascii="Times New Roman" w:eastAsia="仿宋_GB2312"/>
          <w:b w:val="0"/>
          <w:sz w:val="32"/>
          <w:szCs w:val="32"/>
          <w:lang w:eastAsia="zh-CN"/>
        </w:rPr>
        <w:t>0</w:t>
      </w:r>
      <w:r>
        <w:rPr>
          <w:rFonts w:ascii="Times New Roman" w:eastAsia="仿宋_GB2312"/>
          <w:b w:val="0"/>
          <w:sz w:val="32"/>
          <w:szCs w:val="32"/>
        </w:rPr>
        <w:t>%，比年初预算增加24.19万元，决算数大于预算数主要原因是</w:t>
      </w:r>
      <w:r>
        <w:rPr>
          <w:rFonts w:hint="eastAsia" w:ascii="仿宋_GB2312" w:eastAsia="仿宋_GB2312"/>
          <w:sz w:val="32"/>
          <w:szCs w:val="32"/>
          <w:lang w:eastAsia="zh-CN"/>
        </w:rPr>
        <w:t>一名退休人员死亡抚恤金造成</w:t>
      </w:r>
      <w:r>
        <w:rPr>
          <w:rFonts w:ascii="Times New Roman" w:eastAsia="仿宋_GB2312"/>
          <w:b w:val="0"/>
          <w:sz w:val="32"/>
          <w:szCs w:val="32"/>
        </w:rPr>
        <w:t>；本年支出104.71万元，完成年初预算的13</w:t>
      </w:r>
      <w:r>
        <w:rPr>
          <w:rFonts w:hint="eastAsia" w:ascii="Times New Roman" w:eastAsia="仿宋_GB2312"/>
          <w:b w:val="0"/>
          <w:sz w:val="32"/>
          <w:szCs w:val="32"/>
          <w:lang w:eastAsia="zh-CN"/>
        </w:rPr>
        <w:t>0</w:t>
      </w:r>
      <w:r>
        <w:rPr>
          <w:rFonts w:ascii="Times New Roman" w:eastAsia="仿宋_GB2312"/>
          <w:b w:val="0"/>
          <w:sz w:val="32"/>
          <w:szCs w:val="32"/>
        </w:rPr>
        <w:t>%，比年初预算增加24.19万元，决算数大于预算数主要原因是</w:t>
      </w:r>
      <w:r>
        <w:rPr>
          <w:rFonts w:hint="eastAsia" w:ascii="仿宋_GB2312" w:eastAsia="仿宋_GB2312"/>
          <w:sz w:val="32"/>
          <w:szCs w:val="32"/>
          <w:lang w:eastAsia="zh-CN"/>
        </w:rPr>
        <w:t>一名退休人员死亡抚恤金造成</w:t>
      </w:r>
      <w:r>
        <w:rPr>
          <w:rFonts w:ascii="Times New Roman" w:eastAsia="仿宋_GB2312"/>
          <w:b w:val="0"/>
          <w:sz w:val="32"/>
          <w:szCs w:val="32"/>
        </w:rPr>
        <w:t>。具体情况如下：</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1.一般公共预算财政拨款本年收入完成年初预算的13</w:t>
      </w:r>
      <w:r>
        <w:rPr>
          <w:rFonts w:hint="eastAsia" w:ascii="Times New Roman" w:eastAsia="仿宋_GB2312"/>
          <w:b w:val="0"/>
          <w:sz w:val="32"/>
          <w:szCs w:val="32"/>
          <w:lang w:eastAsia="zh-CN"/>
        </w:rPr>
        <w:t>0</w:t>
      </w:r>
      <w:r>
        <w:rPr>
          <w:rFonts w:ascii="Times New Roman" w:eastAsia="仿宋_GB2312"/>
          <w:b w:val="0"/>
          <w:sz w:val="32"/>
          <w:szCs w:val="32"/>
        </w:rPr>
        <w:t>%，比年初预算增加24.19万元，主要原因是</w:t>
      </w:r>
      <w:r>
        <w:rPr>
          <w:rFonts w:hint="eastAsia" w:ascii="仿宋_GB2312" w:eastAsia="仿宋_GB2312"/>
          <w:sz w:val="32"/>
          <w:szCs w:val="32"/>
          <w:lang w:eastAsia="zh-CN"/>
        </w:rPr>
        <w:t>一名退休人员死亡抚恤金造成</w:t>
      </w:r>
      <w:r>
        <w:rPr>
          <w:rFonts w:ascii="Times New Roman" w:eastAsia="仿宋_GB2312"/>
          <w:b w:val="0"/>
          <w:sz w:val="32"/>
          <w:szCs w:val="32"/>
        </w:rPr>
        <w:t>；支出完成年初预算的13</w:t>
      </w:r>
      <w:r>
        <w:rPr>
          <w:rFonts w:hint="eastAsia" w:ascii="Times New Roman" w:eastAsia="仿宋_GB2312"/>
          <w:b w:val="0"/>
          <w:sz w:val="32"/>
          <w:szCs w:val="32"/>
          <w:lang w:eastAsia="zh-CN"/>
        </w:rPr>
        <w:t>0</w:t>
      </w:r>
      <w:r>
        <w:rPr>
          <w:rFonts w:ascii="Times New Roman" w:eastAsia="仿宋_GB2312"/>
          <w:b w:val="0"/>
          <w:sz w:val="32"/>
          <w:szCs w:val="32"/>
        </w:rPr>
        <w:t>%，比年初预算增加24.19万元，主要原因是</w:t>
      </w:r>
      <w:r>
        <w:rPr>
          <w:rFonts w:hint="eastAsia" w:ascii="仿宋_GB2312" w:eastAsia="仿宋_GB2312"/>
          <w:sz w:val="32"/>
          <w:szCs w:val="32"/>
          <w:lang w:eastAsia="zh-CN"/>
        </w:rPr>
        <w:t>一名退休人员死亡抚恤金造成</w:t>
      </w:r>
      <w:r>
        <w:rPr>
          <w:rFonts w:ascii="Times New Roman" w:eastAsia="仿宋_GB2312"/>
          <w:b w:val="0"/>
          <w:sz w:val="32"/>
          <w:szCs w:val="32"/>
        </w:rPr>
        <w:t>。</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2.政府性基金预算财政拨款本年收入完成年初预算的</w:t>
      </w:r>
      <w:r>
        <w:rPr>
          <w:rFonts w:hint="eastAsia" w:ascii="Times New Roman" w:eastAsia="仿宋_GB2312"/>
          <w:b w:val="0"/>
          <w:sz w:val="32"/>
          <w:szCs w:val="32"/>
          <w:lang w:eastAsia="zh-CN"/>
        </w:rPr>
        <w:t>0</w:t>
      </w:r>
      <w:r>
        <w:rPr>
          <w:rFonts w:ascii="Times New Roman" w:eastAsia="仿宋_GB2312"/>
          <w:b w:val="0"/>
          <w:sz w:val="32"/>
          <w:szCs w:val="32"/>
        </w:rPr>
        <w:t>%，比年初预算增加</w:t>
      </w:r>
      <w:r>
        <w:rPr>
          <w:rFonts w:hint="eastAsia" w:ascii="Times New Roman" w:eastAsia="仿宋_GB2312"/>
          <w:b w:val="0"/>
          <w:sz w:val="32"/>
          <w:szCs w:val="32"/>
          <w:lang w:eastAsia="zh-CN"/>
        </w:rPr>
        <w:t>0</w:t>
      </w:r>
      <w:r>
        <w:rPr>
          <w:rFonts w:ascii="Times New Roman" w:eastAsia="仿宋_GB2312"/>
          <w:b w:val="0"/>
          <w:sz w:val="32"/>
          <w:szCs w:val="32"/>
        </w:rPr>
        <w:t>万元，主要原因是</w:t>
      </w:r>
      <w:r>
        <w:rPr>
          <w:rFonts w:hint="eastAsia" w:ascii="Times New Roman" w:eastAsia="仿宋_GB2312"/>
          <w:b w:val="0"/>
          <w:sz w:val="32"/>
          <w:szCs w:val="32"/>
          <w:lang w:val="en-US" w:eastAsia="zh-CN"/>
        </w:rPr>
        <w:t>无</w:t>
      </w:r>
      <w:r>
        <w:rPr>
          <w:rFonts w:ascii="Times New Roman" w:eastAsia="仿宋_GB2312"/>
          <w:b w:val="0"/>
          <w:sz w:val="32"/>
          <w:szCs w:val="32"/>
        </w:rPr>
        <w:t>政府性基金预算财政拨款；支出完成年初预算的</w:t>
      </w:r>
      <w:r>
        <w:rPr>
          <w:rFonts w:hint="eastAsia" w:ascii="Times New Roman" w:eastAsia="仿宋_GB2312"/>
          <w:b w:val="0"/>
          <w:sz w:val="32"/>
          <w:szCs w:val="32"/>
          <w:lang w:eastAsia="zh-CN"/>
        </w:rPr>
        <w:t>0</w:t>
      </w:r>
      <w:r>
        <w:rPr>
          <w:rFonts w:ascii="Times New Roman" w:eastAsia="仿宋_GB2312"/>
          <w:b w:val="0"/>
          <w:sz w:val="32"/>
          <w:szCs w:val="32"/>
        </w:rPr>
        <w:t>%，比年初预算增加</w:t>
      </w:r>
      <w:r>
        <w:rPr>
          <w:rFonts w:hint="eastAsia" w:ascii="Times New Roman" w:eastAsia="仿宋_GB2312"/>
          <w:b w:val="0"/>
          <w:sz w:val="32"/>
          <w:szCs w:val="32"/>
          <w:lang w:eastAsia="zh-CN"/>
        </w:rPr>
        <w:t>0</w:t>
      </w:r>
      <w:r>
        <w:rPr>
          <w:rFonts w:ascii="Times New Roman" w:eastAsia="仿宋_GB2312"/>
          <w:b w:val="0"/>
          <w:sz w:val="32"/>
          <w:szCs w:val="32"/>
        </w:rPr>
        <w:t>万元，主要原因是</w:t>
      </w:r>
      <w:r>
        <w:rPr>
          <w:rFonts w:hint="eastAsia" w:ascii="Times New Roman" w:eastAsia="仿宋_GB2312"/>
          <w:b w:val="0"/>
          <w:sz w:val="32"/>
          <w:szCs w:val="32"/>
          <w:lang w:val="en-US" w:eastAsia="zh-CN"/>
        </w:rPr>
        <w:t>无</w:t>
      </w:r>
      <w:r>
        <w:rPr>
          <w:rFonts w:ascii="Times New Roman" w:eastAsia="仿宋_GB2312"/>
          <w:b w:val="0"/>
          <w:sz w:val="32"/>
          <w:szCs w:val="32"/>
        </w:rPr>
        <w:t>政府性基金预算财政拨款。</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3.国有资本经营预算财政拨款本年收入完成年初预算的</w:t>
      </w:r>
      <w:r>
        <w:rPr>
          <w:rFonts w:hint="eastAsia" w:ascii="Times New Roman" w:eastAsia="仿宋_GB2312"/>
          <w:b w:val="0"/>
          <w:sz w:val="32"/>
          <w:szCs w:val="32"/>
          <w:lang w:eastAsia="zh-CN"/>
        </w:rPr>
        <w:t>0</w:t>
      </w:r>
      <w:r>
        <w:rPr>
          <w:rFonts w:ascii="Times New Roman" w:eastAsia="仿宋_GB2312"/>
          <w:b w:val="0"/>
          <w:sz w:val="32"/>
          <w:szCs w:val="32"/>
        </w:rPr>
        <w:t>%，比年初预算增加</w:t>
      </w:r>
      <w:r>
        <w:rPr>
          <w:rFonts w:hint="eastAsia" w:ascii="Times New Roman" w:eastAsia="仿宋_GB2312"/>
          <w:b w:val="0"/>
          <w:sz w:val="32"/>
          <w:szCs w:val="32"/>
          <w:lang w:eastAsia="zh-CN"/>
        </w:rPr>
        <w:t>0</w:t>
      </w:r>
      <w:r>
        <w:rPr>
          <w:rFonts w:ascii="Times New Roman" w:eastAsia="仿宋_GB2312"/>
          <w:b w:val="0"/>
          <w:sz w:val="32"/>
          <w:szCs w:val="32"/>
        </w:rPr>
        <w:t>万元，主要原因是</w:t>
      </w:r>
      <w:r>
        <w:rPr>
          <w:rFonts w:hint="eastAsia" w:ascii="Times New Roman" w:eastAsia="仿宋_GB2312"/>
          <w:b w:val="0"/>
          <w:sz w:val="32"/>
          <w:szCs w:val="32"/>
          <w:lang w:val="en-US" w:eastAsia="zh-CN"/>
        </w:rPr>
        <w:t>无</w:t>
      </w:r>
      <w:r>
        <w:rPr>
          <w:rFonts w:ascii="Times New Roman" w:eastAsia="仿宋_GB2312"/>
          <w:b w:val="0"/>
          <w:sz w:val="32"/>
          <w:szCs w:val="32"/>
        </w:rPr>
        <w:t>国有资本经营预算财政拨款；支出完成年初预算的</w:t>
      </w:r>
      <w:r>
        <w:rPr>
          <w:rFonts w:hint="eastAsia" w:ascii="Times New Roman" w:eastAsia="仿宋_GB2312"/>
          <w:b w:val="0"/>
          <w:sz w:val="32"/>
          <w:szCs w:val="32"/>
          <w:lang w:eastAsia="zh-CN"/>
        </w:rPr>
        <w:t>0</w:t>
      </w:r>
      <w:r>
        <w:rPr>
          <w:rFonts w:ascii="Times New Roman" w:eastAsia="仿宋_GB2312"/>
          <w:b w:val="0"/>
          <w:sz w:val="32"/>
          <w:szCs w:val="32"/>
        </w:rPr>
        <w:t>%，比年初预算增加</w:t>
      </w:r>
      <w:r>
        <w:rPr>
          <w:rFonts w:hint="eastAsia" w:ascii="Times New Roman" w:eastAsia="仿宋_GB2312"/>
          <w:b w:val="0"/>
          <w:sz w:val="32"/>
          <w:szCs w:val="32"/>
          <w:lang w:eastAsia="zh-CN"/>
        </w:rPr>
        <w:t>0</w:t>
      </w:r>
      <w:r>
        <w:rPr>
          <w:rFonts w:ascii="Times New Roman" w:eastAsia="仿宋_GB2312"/>
          <w:b w:val="0"/>
          <w:sz w:val="32"/>
          <w:szCs w:val="32"/>
        </w:rPr>
        <w:t>万元，主要原因是</w:t>
      </w:r>
      <w:r>
        <w:rPr>
          <w:rFonts w:hint="eastAsia" w:ascii="Times New Roman" w:eastAsia="仿宋_GB2312"/>
          <w:b w:val="0"/>
          <w:sz w:val="32"/>
          <w:szCs w:val="32"/>
          <w:lang w:val="en-US" w:eastAsia="zh-CN"/>
        </w:rPr>
        <w:t>无</w:t>
      </w:r>
      <w:r>
        <w:rPr>
          <w:rFonts w:ascii="Times New Roman" w:eastAsia="仿宋_GB2312"/>
          <w:b w:val="0"/>
          <w:sz w:val="32"/>
          <w:szCs w:val="32"/>
        </w:rPr>
        <w:t>国有资本经营预算财政拨款。</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Arial" w:cs="Times New Roman"/>
          <w:highlight w:val="none"/>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sz w:val="32"/>
          <w:szCs w:val="32"/>
          <w:highlight w:val="none"/>
        </w:rPr>
        <w:drawing>
          <wp:inline distT="0" distB="0" distL="114300" distR="114300">
            <wp:extent cx="5256530" cy="2988310"/>
            <wp:effectExtent l="5080" t="4445" r="889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（三）财政拨款支出决算结构情况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2024年度财政拨款支出104.71万元，主要用于以下方面：</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一般公共预算财政拨款支出：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一般公共服务（类）支出46.87万元，占44.8%，主要用于</w:t>
      </w:r>
      <w:r>
        <w:rPr>
          <w:rFonts w:hint="eastAsia" w:ascii="Times New Roman" w:eastAsia="仿宋_GB2312"/>
          <w:b w:val="0"/>
          <w:sz w:val="32"/>
          <w:szCs w:val="32"/>
          <w:lang w:val="en-US" w:eastAsia="zh-CN"/>
        </w:rPr>
        <w:t>人员工资、公用经费、项目支出</w:t>
      </w:r>
      <w:r>
        <w:rPr>
          <w:rFonts w:ascii="Times New Roman" w:eastAsia="仿宋_GB2312"/>
          <w:b w:val="0"/>
          <w:sz w:val="32"/>
          <w:szCs w:val="32"/>
        </w:rPr>
        <w:t>等支出；外交（类）支出0万元，占</w:t>
      </w:r>
      <w:r>
        <w:rPr>
          <w:rFonts w:hint="eastAsia" w:ascii="Times New Roman" w:eastAsia="仿宋_GB2312"/>
          <w:b w:val="0"/>
          <w:sz w:val="32"/>
          <w:szCs w:val="32"/>
          <w:lang w:eastAsia="zh-CN"/>
        </w:rPr>
        <w:t>0</w:t>
      </w:r>
      <w:r>
        <w:rPr>
          <w:rFonts w:ascii="Times New Roman" w:eastAsia="仿宋_GB2312"/>
          <w:b w:val="0"/>
          <w:sz w:val="32"/>
          <w:szCs w:val="32"/>
        </w:rPr>
        <w:t>%；国防（类）支出0万元，占0%</w:t>
      </w:r>
      <w:r>
        <w:rPr>
          <w:rFonts w:hint="eastAsia" w:ascii="Times New Roman" w:eastAsia="仿宋_GB2312"/>
          <w:b w:val="0"/>
          <w:sz w:val="32"/>
          <w:szCs w:val="32"/>
          <w:lang w:eastAsia="zh-CN"/>
        </w:rPr>
        <w:t>；</w:t>
      </w:r>
      <w:r>
        <w:rPr>
          <w:rFonts w:ascii="Times New Roman" w:eastAsia="仿宋_GB2312"/>
          <w:b w:val="0"/>
          <w:sz w:val="32"/>
          <w:szCs w:val="32"/>
        </w:rPr>
        <w:t>公共安全类（类）支出0万元，占0%</w:t>
      </w:r>
      <w:r>
        <w:rPr>
          <w:rFonts w:hint="eastAsia" w:ascii="Times New Roman" w:eastAsia="仿宋_GB2312"/>
          <w:b w:val="0"/>
          <w:sz w:val="32"/>
          <w:szCs w:val="32"/>
          <w:lang w:eastAsia="zh-CN"/>
        </w:rPr>
        <w:t>；</w:t>
      </w:r>
      <w:r>
        <w:rPr>
          <w:rFonts w:ascii="Times New Roman" w:eastAsia="仿宋_GB2312"/>
          <w:b w:val="0"/>
          <w:sz w:val="32"/>
          <w:szCs w:val="32"/>
        </w:rPr>
        <w:t>教育（类）支出0万元，占0%</w:t>
      </w:r>
      <w:r>
        <w:rPr>
          <w:rFonts w:hint="eastAsia" w:ascii="Times New Roman" w:eastAsia="仿宋_GB2312"/>
          <w:b w:val="0"/>
          <w:sz w:val="32"/>
          <w:szCs w:val="32"/>
          <w:lang w:eastAsia="zh-CN"/>
        </w:rPr>
        <w:t>；</w:t>
      </w:r>
      <w:r>
        <w:rPr>
          <w:rFonts w:ascii="Times New Roman" w:eastAsia="仿宋_GB2312"/>
          <w:b w:val="0"/>
          <w:sz w:val="32"/>
          <w:szCs w:val="32"/>
        </w:rPr>
        <w:t>科学技术（类）支出0万元，占0%</w:t>
      </w:r>
      <w:r>
        <w:rPr>
          <w:rFonts w:hint="eastAsia" w:ascii="Times New Roman" w:eastAsia="仿宋_GB2312"/>
          <w:b w:val="0"/>
          <w:sz w:val="32"/>
          <w:szCs w:val="32"/>
          <w:lang w:eastAsia="zh-CN"/>
        </w:rPr>
        <w:t>；</w:t>
      </w:r>
      <w:r>
        <w:rPr>
          <w:rFonts w:ascii="Times New Roman" w:eastAsia="仿宋_GB2312"/>
          <w:b w:val="0"/>
          <w:sz w:val="32"/>
          <w:szCs w:val="32"/>
        </w:rPr>
        <w:t>文化旅游体育与传媒（类）支出0万元，占0%</w:t>
      </w:r>
      <w:r>
        <w:rPr>
          <w:rFonts w:hint="eastAsia" w:ascii="Times New Roman" w:eastAsia="仿宋_GB2312"/>
          <w:b w:val="0"/>
          <w:sz w:val="32"/>
          <w:szCs w:val="32"/>
          <w:lang w:eastAsia="zh-CN"/>
        </w:rPr>
        <w:t>；</w:t>
      </w:r>
      <w:r>
        <w:rPr>
          <w:rFonts w:ascii="Times New Roman" w:eastAsia="仿宋_GB2312"/>
          <w:b w:val="0"/>
          <w:sz w:val="32"/>
          <w:szCs w:val="32"/>
        </w:rPr>
        <w:t>社会保障和就业（类）支出50.70万元，占48.4%，主要用于</w:t>
      </w:r>
      <w:r>
        <w:rPr>
          <w:rFonts w:hint="eastAsia" w:ascii="Times New Roman" w:eastAsia="仿宋_GB2312"/>
          <w:b w:val="0"/>
          <w:sz w:val="32"/>
          <w:szCs w:val="32"/>
          <w:lang w:val="en-US" w:eastAsia="zh-CN"/>
        </w:rPr>
        <w:t>机关单位负担养老保险</w:t>
      </w:r>
      <w:r>
        <w:rPr>
          <w:rFonts w:ascii="Times New Roman" w:eastAsia="仿宋_GB2312"/>
          <w:b w:val="0"/>
          <w:sz w:val="32"/>
          <w:szCs w:val="32"/>
        </w:rPr>
        <w:t>等支出；卫生健康（类）支出2.59万元，占2.5%，主要用于</w:t>
      </w:r>
      <w:r>
        <w:rPr>
          <w:rFonts w:hint="eastAsia" w:ascii="Times New Roman" w:eastAsia="仿宋_GB2312"/>
          <w:b w:val="0"/>
          <w:sz w:val="32"/>
          <w:szCs w:val="32"/>
          <w:lang w:val="en-US" w:eastAsia="zh-CN"/>
        </w:rPr>
        <w:t>机关单位负担医疗保险</w:t>
      </w:r>
      <w:r>
        <w:rPr>
          <w:rFonts w:ascii="Times New Roman" w:eastAsia="仿宋_GB2312"/>
          <w:b w:val="0"/>
          <w:sz w:val="32"/>
          <w:szCs w:val="32"/>
        </w:rPr>
        <w:t>等支出；节能环保（类）支出0万元，占0%</w:t>
      </w:r>
      <w:r>
        <w:rPr>
          <w:rFonts w:hint="eastAsia" w:ascii="Times New Roman" w:eastAsia="仿宋_GB2312"/>
          <w:b w:val="0"/>
          <w:sz w:val="32"/>
          <w:szCs w:val="32"/>
          <w:lang w:eastAsia="zh-CN"/>
        </w:rPr>
        <w:t>；</w:t>
      </w:r>
      <w:r>
        <w:rPr>
          <w:rFonts w:ascii="Times New Roman" w:eastAsia="仿宋_GB2312"/>
          <w:b w:val="0"/>
          <w:sz w:val="32"/>
          <w:szCs w:val="32"/>
        </w:rPr>
        <w:t>城乡社区（类）支出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农林水（类）支出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交通运输（类）支出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资源勘探信息等（类）支出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商业服务业等（类）支出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金融（类）支出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援助其他地区（类）支出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自然资源海洋气象等（类）支出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住房保障（类）支出4.56万元，占4.4%，主要用于</w:t>
      </w:r>
      <w:r>
        <w:rPr>
          <w:rFonts w:hint="eastAsia" w:ascii="Times New Roman" w:eastAsia="仿宋_GB2312"/>
          <w:b w:val="0"/>
          <w:sz w:val="32"/>
          <w:szCs w:val="32"/>
          <w:lang w:val="en-US" w:eastAsia="zh-CN"/>
        </w:rPr>
        <w:t>机关单位负担住房公积金</w:t>
      </w:r>
      <w:r>
        <w:rPr>
          <w:rFonts w:ascii="Times New Roman" w:eastAsia="仿宋_GB2312"/>
          <w:b w:val="0"/>
          <w:sz w:val="32"/>
          <w:szCs w:val="32"/>
        </w:rPr>
        <w:t>等支出；粮油物资储备（类）支出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国有资本经营预算支出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害防治及应急管理（类）支出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其他（类）支出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债务还本（类）支出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债务付息（类）支出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抗疫特别国债安排的支出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%，主要用于等支出。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政府性基金预算财政拨款支出：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一般公共服务（类）支出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外交（类）支出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国防（类）支出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公共安全类（类）支出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教育（类）支出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科学技术（类）支出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文化旅游体育与传媒（类）支出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社会保障和就业（类）支出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卫生健康（类）支出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节能环保（类）支出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城乡社区（类）支出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农林水（类）支出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交通运输（类）支出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资源勘探信息等（类）支出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商业服务业等（类）支出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金融（类）支出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援助其他地区（类）支出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自然资源海洋气象等（类）支出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住房保障（类）支出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粮油物资储备（类）支出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国有资本经营预算支出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害防治及应急管理（类）支出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其他（类）支出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债务还本（类）支出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债务付息（类）支出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抗疫特别国债安排的支出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%，主要用于等支出。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国有资本经营预算财政拨款支出：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一般公共服务（类）支出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外交（类）支出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国防（类）支出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公共安全（类）支出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教育（类）支出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科学技术（类）支出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文化旅游体育与传媒（类）支出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社会保障和就业（类）支出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卫生健康（类）支出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节能环保（类）支出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城乡社区（类）支出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农林水（类）支出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交通运输（类）支出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资源勘探信息等（类）支出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商业服务业等（类）支出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金融（类）支出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援助其他地区（类）支出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自然资源海洋气象等（类）支出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住房保障（类）支出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粮油物资储备（类）支出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国有资本经营预算支出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害防治及应急管理（类）支出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其他（类）支出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债务还本（类）支出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债务付息（类）支出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w:t>
      </w:r>
      <w:r>
        <w:rPr>
          <w:rFonts w:hint="eastAsia" w:ascii="Times New Roman" w:eastAsia="仿宋_GB2312"/>
          <w:b w:val="0"/>
          <w:sz w:val="32"/>
          <w:szCs w:val="32"/>
          <w:lang w:eastAsia="zh-CN"/>
        </w:rPr>
        <w:t>；</w:t>
      </w:r>
      <w:r>
        <w:rPr>
          <w:rFonts w:ascii="Times New Roman" w:eastAsia="仿宋_GB2312"/>
          <w:b w:val="0"/>
          <w:sz w:val="32"/>
          <w:szCs w:val="32"/>
        </w:rPr>
        <w:t>抗疫特别国债安排的支出</w:t>
      </w:r>
      <w:r>
        <w:rPr>
          <w:rFonts w:hint="eastAsia" w:ascii="Times New Roman" w:eastAsia="仿宋_GB2312"/>
          <w:b w:val="0"/>
          <w:sz w:val="32"/>
          <w:szCs w:val="32"/>
          <w:lang w:eastAsia="zh-CN"/>
        </w:rPr>
        <w:t>0</w:t>
      </w:r>
      <w:r>
        <w:rPr>
          <w:rFonts w:ascii="Times New Roman" w:eastAsia="仿宋_GB2312"/>
          <w:b w:val="0"/>
          <w:sz w:val="32"/>
          <w:szCs w:val="32"/>
        </w:rPr>
        <w:t>万元，占</w:t>
      </w:r>
      <w:r>
        <w:rPr>
          <w:rFonts w:hint="eastAsia" w:ascii="Times New Roman" w:eastAsia="仿宋_GB2312"/>
          <w:b w:val="0"/>
          <w:sz w:val="32"/>
          <w:szCs w:val="32"/>
          <w:lang w:eastAsia="zh-CN"/>
        </w:rPr>
        <w:t>0</w:t>
      </w:r>
      <w:r>
        <w:rPr>
          <w:rFonts w:ascii="Times New Roman" w:eastAsia="仿宋_GB2312"/>
          <w:b w:val="0"/>
          <w:sz w:val="32"/>
          <w:szCs w:val="32"/>
        </w:rPr>
        <w:t>%，主要用于等支出。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ind w:left="0" w:right="0"/>
        <w:jc w:val="left"/>
        <w:textAlignment w:val="auto"/>
        <w:rPr>
          <w:rFonts w:hint="default" w:ascii="Times New Roman" w:hAnsi="Times New Roman" w:eastAsia="仿宋_GB2312" w:cs="Times New Roman"/>
          <w:color w:val="auto"/>
          <w:kern w:val="2"/>
          <w:sz w:val="32"/>
          <w:szCs w:val="32"/>
          <w:lang w:val="zh-CN" w:eastAsia="zh-CN" w:bidi="ar-SA"/>
        </w:rPr>
      </w:pPr>
      <w:r>
        <w:rPr>
          <w:rFonts w:ascii="Times New Roman" w:hAnsi="Times New Roman" w:eastAsia="仿宋_GB2312"/>
          <w:kern w:val="2"/>
          <w:sz w:val="32"/>
          <w:szCs w:val="32"/>
          <w:lang w:val="zh-CN"/>
        </w:rPr>
        <w:drawing>
          <wp:inline distT="0" distB="0" distL="114300" distR="114300">
            <wp:extent cx="5859145" cy="2988310"/>
            <wp:effectExtent l="5080" t="4445" r="15875"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（四）一般公共预算基本支出决算情况说明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2024年度财政拨款基本支出80.49万元，其中：</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人员经费80.49万元，主要包括基本工资、津贴补贴、奖金、伙食补助费、绩效工资、机关事业</w:t>
      </w:r>
      <w:r>
        <w:rPr>
          <w:rFonts w:hint="eastAsia" w:ascii="Times New Roman" w:eastAsia="仿宋_GB2312"/>
          <w:b w:val="0"/>
          <w:sz w:val="32"/>
          <w:szCs w:val="32"/>
          <w:lang w:eastAsia="zh-CN"/>
        </w:rPr>
        <w:t>单位</w:t>
      </w:r>
      <w:r>
        <w:rPr>
          <w:rFonts w:ascii="Times New Roman" w:eastAsia="仿宋_GB2312"/>
          <w:b w:val="0"/>
          <w:sz w:val="32"/>
          <w:szCs w:val="32"/>
        </w:rPr>
        <w:t>基本养老保险缴费、职业年金缴费、职工基本医疗保险缴费、公务员医疗补助缴费、住房公积金、医疗费、其他社会保障缴费、其他工资福利支出、离休费、退休费、抚恤金、生活补助、医疗费补助、奖励金、其他对个人和家庭的补助支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公用经费</w:t>
      </w:r>
      <w:r>
        <w:rPr>
          <w:rFonts w:hint="eastAsia" w:ascii="Times New Roman" w:eastAsia="仿宋_GB2312"/>
          <w:b w:val="0"/>
          <w:sz w:val="32"/>
          <w:szCs w:val="32"/>
          <w:lang w:eastAsia="zh-CN"/>
        </w:rPr>
        <w:t>0</w:t>
      </w:r>
      <w:r>
        <w:rPr>
          <w:rFonts w:ascii="Times New Roman" w:eastAsia="仿宋_GB2312"/>
          <w:b w:val="0"/>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五、财政拨款“三公”经费支出决算情况说明</w:t>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（一）“三公”经费财政拨款支出决算总体情况说明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本单位2024年度“三公”经费财政拨款支出预算为</w:t>
      </w:r>
      <w:r>
        <w:rPr>
          <w:rFonts w:hint="eastAsia" w:ascii="Times New Roman" w:eastAsia="仿宋_GB2312"/>
          <w:b w:val="0"/>
          <w:sz w:val="32"/>
          <w:szCs w:val="32"/>
          <w:lang w:eastAsia="zh-CN"/>
        </w:rPr>
        <w:t>0</w:t>
      </w:r>
      <w:r>
        <w:rPr>
          <w:rFonts w:ascii="Times New Roman" w:eastAsia="仿宋_GB2312"/>
          <w:b w:val="0"/>
          <w:sz w:val="32"/>
          <w:szCs w:val="32"/>
        </w:rPr>
        <w:t>万元，支出决算为</w:t>
      </w:r>
      <w:r>
        <w:rPr>
          <w:rFonts w:hint="eastAsia" w:ascii="Times New Roman" w:eastAsia="仿宋_GB2312"/>
          <w:b w:val="0"/>
          <w:sz w:val="32"/>
          <w:szCs w:val="32"/>
          <w:lang w:eastAsia="zh-CN"/>
        </w:rPr>
        <w:t>0</w:t>
      </w:r>
      <w:r>
        <w:rPr>
          <w:rFonts w:ascii="Times New Roman" w:eastAsia="仿宋_GB2312"/>
          <w:b w:val="0"/>
          <w:sz w:val="32"/>
          <w:szCs w:val="32"/>
        </w:rPr>
        <w:t>万元，完成预算的</w:t>
      </w:r>
      <w:r>
        <w:rPr>
          <w:rFonts w:hint="eastAsia" w:ascii="Times New Roman" w:eastAsia="仿宋_GB2312"/>
          <w:b w:val="0"/>
          <w:sz w:val="32"/>
          <w:szCs w:val="32"/>
          <w:lang w:eastAsia="zh-CN"/>
        </w:rPr>
        <w:t>0</w:t>
      </w:r>
      <w:r>
        <w:rPr>
          <w:rFonts w:ascii="Times New Roman" w:eastAsia="仿宋_GB2312"/>
          <w:b w:val="0"/>
          <w:sz w:val="32"/>
          <w:szCs w:val="32"/>
        </w:rPr>
        <w:t>%，较预算增加</w:t>
      </w:r>
      <w:r>
        <w:rPr>
          <w:rFonts w:hint="eastAsia" w:ascii="Times New Roman" w:eastAsia="仿宋_GB2312"/>
          <w:b w:val="0"/>
          <w:sz w:val="32"/>
          <w:szCs w:val="32"/>
          <w:lang w:eastAsia="zh-CN"/>
        </w:rPr>
        <w:t>0</w:t>
      </w:r>
      <w:r>
        <w:rPr>
          <w:rFonts w:ascii="Times New Roman" w:eastAsia="仿宋_GB2312"/>
          <w:b w:val="0"/>
          <w:sz w:val="32"/>
          <w:szCs w:val="32"/>
        </w:rPr>
        <w:t>万元，增长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Times New Roman" w:eastAsia="仿宋_GB2312"/>
          <w:b w:val="0"/>
          <w:sz w:val="32"/>
          <w:szCs w:val="32"/>
          <w:lang w:val="en-US" w:eastAsia="zh-CN"/>
        </w:rPr>
        <w:t>本单位无</w:t>
      </w:r>
      <w:r>
        <w:rPr>
          <w:rFonts w:ascii="Times New Roman" w:eastAsia="仿宋_GB2312"/>
          <w:b w:val="0"/>
          <w:sz w:val="32"/>
          <w:szCs w:val="32"/>
        </w:rPr>
        <w:t>“三公”经费财政拨款；较2023年度决算增加</w:t>
      </w:r>
      <w:r>
        <w:rPr>
          <w:rFonts w:hint="eastAsia" w:ascii="Times New Roman" w:eastAsia="仿宋_GB2312"/>
          <w:b w:val="0"/>
          <w:sz w:val="32"/>
          <w:szCs w:val="32"/>
          <w:lang w:eastAsia="zh-CN"/>
        </w:rPr>
        <w:t>0</w:t>
      </w:r>
      <w:r>
        <w:rPr>
          <w:rFonts w:ascii="Times New Roman" w:eastAsia="仿宋_GB2312"/>
          <w:b w:val="0"/>
          <w:sz w:val="32"/>
          <w:szCs w:val="32"/>
        </w:rPr>
        <w:t>万元，增长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Times New Roman" w:eastAsia="仿宋_GB2312"/>
          <w:b w:val="0"/>
          <w:sz w:val="32"/>
          <w:szCs w:val="32"/>
          <w:lang w:val="en-US" w:eastAsia="zh-CN"/>
        </w:rPr>
        <w:t>本单位无</w:t>
      </w:r>
      <w:r>
        <w:rPr>
          <w:rFonts w:ascii="Times New Roman" w:eastAsia="仿宋_GB2312"/>
          <w:b w:val="0"/>
          <w:sz w:val="32"/>
          <w:szCs w:val="32"/>
        </w:rPr>
        <w:t>“三公”经费财政拨款。</w:t>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（二）“三公”经费财政拨款支出决算具体情况说明</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1.因公出国（境）费支出情况。</w:t>
      </w:r>
      <w:r>
        <w:rPr>
          <w:rFonts w:ascii="Times New Roman" w:eastAsia="仿宋_GB2312"/>
          <w:b w:val="0"/>
          <w:sz w:val="32"/>
          <w:szCs w:val="32"/>
        </w:rPr>
        <w:t>本单位2024年度因公出国（境）费支出预算为</w:t>
      </w:r>
      <w:r>
        <w:rPr>
          <w:rFonts w:hint="eastAsia" w:ascii="Times New Roman" w:eastAsia="仿宋_GB2312"/>
          <w:b w:val="0"/>
          <w:sz w:val="32"/>
          <w:szCs w:val="32"/>
          <w:lang w:eastAsia="zh-CN"/>
        </w:rPr>
        <w:t>0</w:t>
      </w:r>
      <w:r>
        <w:rPr>
          <w:rFonts w:ascii="Times New Roman" w:eastAsia="仿宋_GB2312"/>
          <w:b w:val="0"/>
          <w:sz w:val="32"/>
          <w:szCs w:val="32"/>
        </w:rPr>
        <w:t>万元,支出决算</w:t>
      </w:r>
      <w:r>
        <w:rPr>
          <w:rFonts w:hint="eastAsia" w:ascii="Times New Roman" w:eastAsia="仿宋_GB2312"/>
          <w:b w:val="0"/>
          <w:sz w:val="32"/>
          <w:szCs w:val="32"/>
          <w:lang w:eastAsia="zh-CN"/>
        </w:rPr>
        <w:t>0</w:t>
      </w:r>
      <w:r>
        <w:rPr>
          <w:rFonts w:ascii="Times New Roman" w:eastAsia="仿宋_GB2312"/>
          <w:b w:val="0"/>
          <w:sz w:val="32"/>
          <w:szCs w:val="32"/>
        </w:rPr>
        <w:t>万元。完成预算的</w:t>
      </w:r>
      <w:r>
        <w:rPr>
          <w:rFonts w:hint="eastAsia" w:ascii="Times New Roman" w:eastAsia="仿宋_GB2312"/>
          <w:b w:val="0"/>
          <w:sz w:val="32"/>
          <w:szCs w:val="32"/>
          <w:lang w:eastAsia="zh-CN"/>
        </w:rPr>
        <w:t>0</w:t>
      </w:r>
      <w:r>
        <w:rPr>
          <w:rFonts w:ascii="Times New Roman" w:eastAsia="仿宋_GB2312"/>
          <w:b w:val="0"/>
          <w:sz w:val="32"/>
          <w:szCs w:val="32"/>
        </w:rPr>
        <w:t>%。因公出国（境）费支出较预算增加</w:t>
      </w:r>
      <w:r>
        <w:rPr>
          <w:rFonts w:hint="eastAsia" w:ascii="Times New Roman" w:eastAsia="仿宋_GB2312"/>
          <w:b w:val="0"/>
          <w:sz w:val="32"/>
          <w:szCs w:val="32"/>
          <w:lang w:eastAsia="zh-CN"/>
        </w:rPr>
        <w:t>0</w:t>
      </w:r>
      <w:r>
        <w:rPr>
          <w:rFonts w:ascii="Times New Roman" w:eastAsia="仿宋_GB2312"/>
          <w:b w:val="0"/>
          <w:sz w:val="32"/>
          <w:szCs w:val="32"/>
        </w:rPr>
        <w:t>万元，增长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Times New Roman" w:eastAsia="仿宋_GB2312"/>
          <w:b w:val="0"/>
          <w:sz w:val="32"/>
          <w:szCs w:val="32"/>
          <w:lang w:val="en-US" w:eastAsia="zh-CN"/>
        </w:rPr>
        <w:t>本单位无</w:t>
      </w:r>
      <w:r>
        <w:rPr>
          <w:rFonts w:ascii="Times New Roman" w:eastAsia="仿宋_GB2312"/>
          <w:b w:val="0"/>
          <w:sz w:val="32"/>
          <w:szCs w:val="32"/>
        </w:rPr>
        <w:t>因公出国（境）费；较上年增加</w:t>
      </w:r>
      <w:r>
        <w:rPr>
          <w:rFonts w:hint="eastAsia" w:ascii="Times New Roman" w:eastAsia="仿宋_GB2312"/>
          <w:b w:val="0"/>
          <w:sz w:val="32"/>
          <w:szCs w:val="32"/>
          <w:lang w:eastAsia="zh-CN"/>
        </w:rPr>
        <w:t>0</w:t>
      </w:r>
      <w:r>
        <w:rPr>
          <w:rFonts w:ascii="Times New Roman" w:eastAsia="仿宋_GB2312"/>
          <w:b w:val="0"/>
          <w:sz w:val="32"/>
          <w:szCs w:val="32"/>
        </w:rPr>
        <w:t>万元，增长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Times New Roman" w:eastAsia="仿宋_GB2312"/>
          <w:b w:val="0"/>
          <w:sz w:val="32"/>
          <w:szCs w:val="32"/>
          <w:lang w:val="en-US" w:eastAsia="zh-CN"/>
        </w:rPr>
        <w:t>本单位无</w:t>
      </w:r>
      <w:r>
        <w:rPr>
          <w:rFonts w:ascii="Times New Roman" w:eastAsia="仿宋_GB2312"/>
          <w:b w:val="0"/>
          <w:sz w:val="32"/>
          <w:szCs w:val="32"/>
        </w:rPr>
        <w:t>因公出国（境）费。因公出国（境）团组0个、共0人、参加其他单位组织的因公出国（境）团组个、共人/无本</w:t>
      </w:r>
      <w:r>
        <w:rPr>
          <w:rFonts w:hint="eastAsia" w:ascii="Times New Roman" w:eastAsia="仿宋_GB2312"/>
          <w:b w:val="0"/>
          <w:sz w:val="32"/>
          <w:szCs w:val="32"/>
          <w:lang w:val="en-US" w:eastAsia="zh-CN"/>
        </w:rPr>
        <w:t>单位</w:t>
      </w:r>
      <w:r>
        <w:rPr>
          <w:rFonts w:ascii="Times New Roman" w:eastAsia="仿宋_GB2312"/>
          <w:b w:val="0"/>
          <w:sz w:val="32"/>
          <w:szCs w:val="32"/>
        </w:rPr>
        <w:t>组织的出国（境）团组。</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2.公务用车购置及运行维护费支出情况。</w:t>
      </w:r>
      <w:r>
        <w:rPr>
          <w:rFonts w:ascii="Times New Roman" w:eastAsia="仿宋_GB2312"/>
          <w:b w:val="0"/>
          <w:sz w:val="32"/>
          <w:szCs w:val="32"/>
        </w:rPr>
        <w:t>本单位2024年度公务用车购置及运行维护费预算为</w:t>
      </w:r>
      <w:r>
        <w:rPr>
          <w:rFonts w:hint="eastAsia" w:ascii="Times New Roman" w:eastAsia="仿宋_GB2312"/>
          <w:b w:val="0"/>
          <w:sz w:val="32"/>
          <w:szCs w:val="32"/>
          <w:lang w:eastAsia="zh-CN"/>
        </w:rPr>
        <w:t>0</w:t>
      </w:r>
      <w:r>
        <w:rPr>
          <w:rFonts w:ascii="Times New Roman" w:eastAsia="仿宋_GB2312"/>
          <w:b w:val="0"/>
          <w:sz w:val="32"/>
          <w:szCs w:val="32"/>
        </w:rPr>
        <w:t>万元，支出决算</w:t>
      </w:r>
      <w:r>
        <w:rPr>
          <w:rFonts w:hint="eastAsia" w:ascii="Times New Roman" w:eastAsia="仿宋_GB2312"/>
          <w:b w:val="0"/>
          <w:sz w:val="32"/>
          <w:szCs w:val="32"/>
          <w:lang w:eastAsia="zh-CN"/>
        </w:rPr>
        <w:t>0</w:t>
      </w:r>
      <w:r>
        <w:rPr>
          <w:rFonts w:ascii="Times New Roman" w:eastAsia="仿宋_GB2312"/>
          <w:b w:val="0"/>
          <w:sz w:val="32"/>
          <w:szCs w:val="32"/>
        </w:rPr>
        <w:t>万元，完成预算的</w:t>
      </w:r>
      <w:r>
        <w:rPr>
          <w:rFonts w:hint="eastAsia" w:ascii="Times New Roman" w:eastAsia="仿宋_GB2312"/>
          <w:b w:val="0"/>
          <w:sz w:val="32"/>
          <w:szCs w:val="32"/>
          <w:lang w:eastAsia="zh-CN"/>
        </w:rPr>
        <w:t>0</w:t>
      </w:r>
      <w:r>
        <w:rPr>
          <w:rFonts w:ascii="Times New Roman" w:eastAsia="仿宋_GB2312"/>
          <w:b w:val="0"/>
          <w:sz w:val="32"/>
          <w:szCs w:val="32"/>
        </w:rPr>
        <w:t>%,较预算增加</w:t>
      </w:r>
      <w:r>
        <w:rPr>
          <w:rFonts w:hint="eastAsia" w:ascii="Times New Roman" w:eastAsia="仿宋_GB2312"/>
          <w:b w:val="0"/>
          <w:sz w:val="32"/>
          <w:szCs w:val="32"/>
          <w:lang w:eastAsia="zh-CN"/>
        </w:rPr>
        <w:t>0</w:t>
      </w:r>
      <w:r>
        <w:rPr>
          <w:rFonts w:ascii="Times New Roman" w:eastAsia="仿宋_GB2312"/>
          <w:b w:val="0"/>
          <w:sz w:val="32"/>
          <w:szCs w:val="32"/>
        </w:rPr>
        <w:t>万元，增长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Times New Roman" w:eastAsia="仿宋_GB2312"/>
          <w:b w:val="0"/>
          <w:sz w:val="32"/>
          <w:szCs w:val="32"/>
          <w:lang w:val="en-US" w:eastAsia="zh-CN"/>
        </w:rPr>
        <w:t>本单位无公务用车</w:t>
      </w:r>
      <w:r>
        <w:rPr>
          <w:rFonts w:ascii="Times New Roman" w:eastAsia="仿宋_GB2312"/>
          <w:b w:val="0"/>
          <w:sz w:val="32"/>
          <w:szCs w:val="32"/>
        </w:rPr>
        <w:t>；较上年增加</w:t>
      </w:r>
      <w:r>
        <w:rPr>
          <w:rFonts w:hint="eastAsia" w:ascii="Times New Roman" w:eastAsia="仿宋_GB2312"/>
          <w:b w:val="0"/>
          <w:sz w:val="32"/>
          <w:szCs w:val="32"/>
          <w:lang w:eastAsia="zh-CN"/>
        </w:rPr>
        <w:t>0</w:t>
      </w:r>
      <w:r>
        <w:rPr>
          <w:rFonts w:ascii="Times New Roman" w:eastAsia="仿宋_GB2312"/>
          <w:b w:val="0"/>
          <w:sz w:val="32"/>
          <w:szCs w:val="32"/>
        </w:rPr>
        <w:t>万元，增长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Times New Roman" w:eastAsia="仿宋_GB2312"/>
          <w:b w:val="0"/>
          <w:sz w:val="32"/>
          <w:szCs w:val="32"/>
          <w:lang w:val="en-US" w:eastAsia="zh-CN"/>
        </w:rPr>
        <w:t>本单位无公务用车</w:t>
      </w:r>
      <w:r>
        <w:rPr>
          <w:rFonts w:ascii="Times New Roman" w:eastAsia="仿宋_GB2312"/>
          <w:b w:val="0"/>
          <w:sz w:val="32"/>
          <w:szCs w:val="32"/>
        </w:rPr>
        <w:t>。</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公务用车购置费支出</w:t>
      </w:r>
      <w:r>
        <w:rPr>
          <w:rFonts w:hint="eastAsia" w:ascii="Times New Roman" w:eastAsia="仿宋_GB2312"/>
          <w:b/>
          <w:sz w:val="32"/>
          <w:szCs w:val="32"/>
          <w:lang w:eastAsia="zh-CN"/>
        </w:rPr>
        <w:t>0</w:t>
      </w:r>
      <w:r>
        <w:rPr>
          <w:rFonts w:ascii="Times New Roman" w:eastAsia="仿宋_GB2312"/>
          <w:b/>
          <w:sz w:val="32"/>
          <w:szCs w:val="32"/>
        </w:rPr>
        <w:t>万元：</w:t>
      </w:r>
      <w:r>
        <w:rPr>
          <w:rFonts w:ascii="Times New Roman" w:eastAsia="仿宋_GB2312"/>
          <w:b w:val="0"/>
          <w:sz w:val="32"/>
          <w:szCs w:val="32"/>
        </w:rPr>
        <w:t>本单位2024年度公务用车购置量0辆，发生“公务用车购置”经费支出</w:t>
      </w:r>
      <w:r>
        <w:rPr>
          <w:rFonts w:hint="eastAsia" w:ascii="Times New Roman" w:eastAsia="仿宋_GB2312"/>
          <w:b w:val="0"/>
          <w:sz w:val="32"/>
          <w:szCs w:val="32"/>
          <w:lang w:eastAsia="zh-CN"/>
        </w:rPr>
        <w:t>0</w:t>
      </w:r>
      <w:r>
        <w:rPr>
          <w:rFonts w:ascii="Times New Roman" w:eastAsia="仿宋_GB2312"/>
          <w:b w:val="0"/>
          <w:sz w:val="32"/>
          <w:szCs w:val="32"/>
        </w:rPr>
        <w:t>万元。公务用车购置费支出较预算增加</w:t>
      </w:r>
      <w:r>
        <w:rPr>
          <w:rFonts w:hint="eastAsia" w:ascii="Times New Roman" w:eastAsia="仿宋_GB2312"/>
          <w:b w:val="0"/>
          <w:sz w:val="32"/>
          <w:szCs w:val="32"/>
          <w:lang w:eastAsia="zh-CN"/>
        </w:rPr>
        <w:t>0</w:t>
      </w:r>
      <w:r>
        <w:rPr>
          <w:rFonts w:ascii="Times New Roman" w:eastAsia="仿宋_GB2312"/>
          <w:b w:val="0"/>
          <w:sz w:val="32"/>
          <w:szCs w:val="32"/>
        </w:rPr>
        <w:t>万元，增长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Times New Roman" w:eastAsia="仿宋_GB2312"/>
          <w:b w:val="0"/>
          <w:sz w:val="32"/>
          <w:szCs w:val="32"/>
          <w:lang w:val="en-US" w:eastAsia="zh-CN"/>
        </w:rPr>
        <w:t>本单位未购置公务用车</w:t>
      </w:r>
      <w:r>
        <w:rPr>
          <w:rFonts w:ascii="Times New Roman" w:eastAsia="仿宋_GB2312"/>
          <w:b w:val="0"/>
          <w:sz w:val="32"/>
          <w:szCs w:val="32"/>
        </w:rPr>
        <w:t>；较上年增加</w:t>
      </w:r>
      <w:r>
        <w:rPr>
          <w:rFonts w:hint="eastAsia" w:ascii="Times New Roman" w:eastAsia="仿宋_GB2312"/>
          <w:b w:val="0"/>
          <w:sz w:val="32"/>
          <w:szCs w:val="32"/>
          <w:lang w:eastAsia="zh-CN"/>
        </w:rPr>
        <w:t>0</w:t>
      </w:r>
      <w:r>
        <w:rPr>
          <w:rFonts w:ascii="Times New Roman" w:eastAsia="仿宋_GB2312"/>
          <w:b w:val="0"/>
          <w:sz w:val="32"/>
          <w:szCs w:val="32"/>
        </w:rPr>
        <w:t>万元，增长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Times New Roman" w:eastAsia="仿宋_GB2312"/>
          <w:b w:val="0"/>
          <w:sz w:val="32"/>
          <w:szCs w:val="32"/>
          <w:lang w:val="en-US" w:eastAsia="zh-CN"/>
        </w:rPr>
        <w:t>本单位未购置公务用车</w:t>
      </w:r>
      <w:r>
        <w:rPr>
          <w:rFonts w:ascii="Times New Roman" w:eastAsia="仿宋_GB2312"/>
          <w:b w:val="0"/>
          <w:sz w:val="32"/>
          <w:szCs w:val="32"/>
        </w:rPr>
        <w:t>。</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公务用车运行维护费支出</w:t>
      </w:r>
      <w:r>
        <w:rPr>
          <w:rFonts w:hint="eastAsia" w:ascii="Times New Roman" w:eastAsia="仿宋_GB2312"/>
          <w:b/>
          <w:sz w:val="32"/>
          <w:szCs w:val="32"/>
          <w:lang w:eastAsia="zh-CN"/>
        </w:rPr>
        <w:t>0</w:t>
      </w:r>
      <w:r>
        <w:rPr>
          <w:rFonts w:ascii="Times New Roman" w:eastAsia="仿宋_GB2312"/>
          <w:b/>
          <w:sz w:val="32"/>
          <w:szCs w:val="32"/>
        </w:rPr>
        <w:t>万元：</w:t>
      </w:r>
      <w:r>
        <w:rPr>
          <w:rFonts w:ascii="Times New Roman" w:eastAsia="仿宋_GB2312"/>
          <w:b w:val="0"/>
          <w:sz w:val="32"/>
          <w:szCs w:val="32"/>
        </w:rPr>
        <w:t>本单位2024年度单位公务用车保有量0辆，发生运行维护费支出</w:t>
      </w:r>
      <w:r>
        <w:rPr>
          <w:rFonts w:hint="eastAsia" w:ascii="Times New Roman" w:eastAsia="仿宋_GB2312"/>
          <w:b w:val="0"/>
          <w:sz w:val="32"/>
          <w:szCs w:val="32"/>
          <w:lang w:eastAsia="zh-CN"/>
        </w:rPr>
        <w:t>0</w:t>
      </w:r>
      <w:r>
        <w:rPr>
          <w:rFonts w:ascii="Times New Roman" w:eastAsia="仿宋_GB2312"/>
          <w:b w:val="0"/>
          <w:sz w:val="32"/>
          <w:szCs w:val="32"/>
        </w:rPr>
        <w:t>万元。公车运行维护费支出较预算增加</w:t>
      </w:r>
      <w:r>
        <w:rPr>
          <w:rFonts w:hint="eastAsia" w:ascii="Times New Roman" w:eastAsia="仿宋_GB2312"/>
          <w:b w:val="0"/>
          <w:sz w:val="32"/>
          <w:szCs w:val="32"/>
          <w:lang w:eastAsia="zh-CN"/>
        </w:rPr>
        <w:t>0</w:t>
      </w:r>
      <w:r>
        <w:rPr>
          <w:rFonts w:ascii="Times New Roman" w:eastAsia="仿宋_GB2312"/>
          <w:b w:val="0"/>
          <w:sz w:val="32"/>
          <w:szCs w:val="32"/>
        </w:rPr>
        <w:t>万元，增长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Times New Roman" w:eastAsia="仿宋_GB2312"/>
          <w:b w:val="0"/>
          <w:sz w:val="32"/>
          <w:szCs w:val="32"/>
          <w:lang w:val="en-US" w:eastAsia="zh-CN"/>
        </w:rPr>
        <w:t>本单位无公务用车</w:t>
      </w:r>
      <w:r>
        <w:rPr>
          <w:rFonts w:ascii="Times New Roman" w:eastAsia="仿宋_GB2312"/>
          <w:b w:val="0"/>
          <w:sz w:val="32"/>
          <w:szCs w:val="32"/>
        </w:rPr>
        <w:t>；较上年增加</w:t>
      </w:r>
      <w:r>
        <w:rPr>
          <w:rFonts w:hint="eastAsia" w:ascii="Times New Roman" w:eastAsia="仿宋_GB2312"/>
          <w:b w:val="0"/>
          <w:sz w:val="32"/>
          <w:szCs w:val="32"/>
          <w:lang w:eastAsia="zh-CN"/>
        </w:rPr>
        <w:t>0</w:t>
      </w:r>
      <w:r>
        <w:rPr>
          <w:rFonts w:ascii="Times New Roman" w:eastAsia="仿宋_GB2312"/>
          <w:b w:val="0"/>
          <w:sz w:val="32"/>
          <w:szCs w:val="32"/>
        </w:rPr>
        <w:t>万元，增长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Times New Roman" w:eastAsia="仿宋_GB2312"/>
          <w:b w:val="0"/>
          <w:sz w:val="32"/>
          <w:szCs w:val="32"/>
          <w:lang w:val="en-US" w:eastAsia="zh-CN"/>
        </w:rPr>
        <w:t>本单位无公务用车</w:t>
      </w:r>
      <w:r>
        <w:rPr>
          <w:rFonts w:ascii="Times New Roman" w:eastAsia="仿宋_GB2312"/>
          <w:b w:val="0"/>
          <w:sz w:val="32"/>
          <w:szCs w:val="32"/>
        </w:rPr>
        <w:t>。</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3.公务接待费支出情况。</w:t>
      </w:r>
      <w:r>
        <w:rPr>
          <w:rFonts w:ascii="Times New Roman" w:eastAsia="仿宋_GB2312"/>
          <w:b w:val="0"/>
          <w:sz w:val="32"/>
          <w:szCs w:val="32"/>
        </w:rPr>
        <w:t>本单位2024年度公务接待费支出预算为</w:t>
      </w:r>
      <w:r>
        <w:rPr>
          <w:rFonts w:hint="eastAsia" w:ascii="Times New Roman" w:eastAsia="仿宋_GB2312"/>
          <w:b w:val="0"/>
          <w:sz w:val="32"/>
          <w:szCs w:val="32"/>
          <w:lang w:eastAsia="zh-CN"/>
        </w:rPr>
        <w:t>0</w:t>
      </w:r>
      <w:r>
        <w:rPr>
          <w:rFonts w:ascii="Times New Roman" w:eastAsia="仿宋_GB2312"/>
          <w:b w:val="0"/>
          <w:sz w:val="32"/>
          <w:szCs w:val="32"/>
        </w:rPr>
        <w:t>万元，支出决算</w:t>
      </w:r>
      <w:r>
        <w:rPr>
          <w:rFonts w:hint="eastAsia" w:ascii="Times New Roman" w:eastAsia="仿宋_GB2312"/>
          <w:b w:val="0"/>
          <w:sz w:val="32"/>
          <w:szCs w:val="32"/>
          <w:lang w:eastAsia="zh-CN"/>
        </w:rPr>
        <w:t>0</w:t>
      </w:r>
      <w:r>
        <w:rPr>
          <w:rFonts w:ascii="Times New Roman" w:eastAsia="仿宋_GB2312"/>
          <w:b w:val="0"/>
          <w:sz w:val="32"/>
          <w:szCs w:val="32"/>
        </w:rPr>
        <w:t>万元，完成预算的</w:t>
      </w:r>
      <w:r>
        <w:rPr>
          <w:rFonts w:hint="eastAsia" w:ascii="Times New Roman" w:eastAsia="仿宋_GB2312"/>
          <w:b w:val="0"/>
          <w:sz w:val="32"/>
          <w:szCs w:val="32"/>
          <w:lang w:eastAsia="zh-CN"/>
        </w:rPr>
        <w:t>0</w:t>
      </w:r>
      <w:r>
        <w:rPr>
          <w:rFonts w:ascii="Times New Roman" w:eastAsia="仿宋_GB2312"/>
          <w:b w:val="0"/>
          <w:sz w:val="32"/>
          <w:szCs w:val="32"/>
        </w:rPr>
        <w:t>%。公务接待费支出较预算增加</w:t>
      </w:r>
      <w:r>
        <w:rPr>
          <w:rFonts w:hint="eastAsia" w:ascii="Times New Roman" w:eastAsia="仿宋_GB2312"/>
          <w:b w:val="0"/>
          <w:sz w:val="32"/>
          <w:szCs w:val="32"/>
          <w:lang w:eastAsia="zh-CN"/>
        </w:rPr>
        <w:t>0</w:t>
      </w:r>
      <w:r>
        <w:rPr>
          <w:rFonts w:ascii="Times New Roman" w:eastAsia="仿宋_GB2312"/>
          <w:b w:val="0"/>
          <w:sz w:val="32"/>
          <w:szCs w:val="32"/>
        </w:rPr>
        <w:t>万元，增长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Times New Roman" w:eastAsia="仿宋_GB2312"/>
          <w:b w:val="0"/>
          <w:sz w:val="32"/>
          <w:szCs w:val="32"/>
          <w:lang w:val="en-US" w:eastAsia="zh-CN"/>
        </w:rPr>
        <w:t>本单位无公务接待费</w:t>
      </w:r>
      <w:r>
        <w:rPr>
          <w:rFonts w:ascii="Times New Roman" w:eastAsia="仿宋_GB2312"/>
          <w:b w:val="0"/>
          <w:sz w:val="32"/>
          <w:szCs w:val="32"/>
        </w:rPr>
        <w:t>；较上年度增加</w:t>
      </w:r>
      <w:r>
        <w:rPr>
          <w:rFonts w:hint="eastAsia" w:ascii="Times New Roman" w:eastAsia="仿宋_GB2312"/>
          <w:b w:val="0"/>
          <w:sz w:val="32"/>
          <w:szCs w:val="32"/>
          <w:lang w:eastAsia="zh-CN"/>
        </w:rPr>
        <w:t>0</w:t>
      </w:r>
      <w:r>
        <w:rPr>
          <w:rFonts w:ascii="Times New Roman" w:eastAsia="仿宋_GB2312"/>
          <w:b w:val="0"/>
          <w:sz w:val="32"/>
          <w:szCs w:val="32"/>
        </w:rPr>
        <w:t>万元，增长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Times New Roman" w:eastAsia="仿宋_GB2312"/>
          <w:b w:val="0"/>
          <w:sz w:val="32"/>
          <w:szCs w:val="32"/>
          <w:lang w:val="en-US" w:eastAsia="zh-CN"/>
        </w:rPr>
        <w:t>本单位无公务接待费</w:t>
      </w:r>
      <w:r>
        <w:rPr>
          <w:rFonts w:ascii="Times New Roman" w:eastAsia="仿宋_GB2312"/>
          <w:b w:val="0"/>
          <w:sz w:val="32"/>
          <w:szCs w:val="32"/>
        </w:rPr>
        <w:t>。本年度共发生公务接待0批次、0人次。</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六、机关运行经费支出说明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本单位2024年度机关运行经费支出</w:t>
      </w:r>
      <w:r>
        <w:rPr>
          <w:rFonts w:hint="eastAsia" w:ascii="Times New Roman" w:eastAsia="仿宋_GB2312"/>
          <w:b w:val="0"/>
          <w:sz w:val="32"/>
          <w:szCs w:val="32"/>
          <w:lang w:eastAsia="zh-CN"/>
        </w:rPr>
        <w:t>0</w:t>
      </w:r>
      <w:r>
        <w:rPr>
          <w:rFonts w:ascii="Times New Roman" w:eastAsia="仿宋_GB2312"/>
          <w:b w:val="0"/>
          <w:sz w:val="32"/>
          <w:szCs w:val="32"/>
        </w:rPr>
        <w:t>万元，较2023年度减少5.32万元，降低10</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Times New Roman" w:eastAsia="仿宋_GB2312"/>
          <w:b w:val="0"/>
          <w:sz w:val="32"/>
          <w:szCs w:val="32"/>
          <w:lang w:val="en-US" w:eastAsia="zh-CN"/>
        </w:rPr>
        <w:t>压缩日常办公支出</w:t>
      </w:r>
      <w:r>
        <w:rPr>
          <w:rFonts w:ascii="Times New Roman" w:eastAsia="仿宋_GB2312"/>
          <w:b w:val="0"/>
          <w:sz w:val="32"/>
          <w:szCs w:val="32"/>
        </w:rPr>
        <w:t>。</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七、政府采购支出说明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本单位2024年度政府采购支出总额</w:t>
      </w:r>
      <w:r>
        <w:rPr>
          <w:rFonts w:hint="eastAsia" w:ascii="Times New Roman" w:eastAsia="仿宋_GB2312"/>
          <w:b w:val="0"/>
          <w:sz w:val="32"/>
          <w:szCs w:val="32"/>
          <w:lang w:eastAsia="zh-CN"/>
        </w:rPr>
        <w:t>0</w:t>
      </w:r>
      <w:r>
        <w:rPr>
          <w:rFonts w:ascii="Times New Roman" w:eastAsia="仿宋_GB2312"/>
          <w:b w:val="0"/>
          <w:sz w:val="32"/>
          <w:szCs w:val="32"/>
        </w:rPr>
        <w:t>万元，从采购类型来看，政府采购货物支出</w:t>
      </w:r>
      <w:r>
        <w:rPr>
          <w:rFonts w:hint="eastAsia" w:ascii="Times New Roman" w:eastAsia="仿宋_GB2312"/>
          <w:b w:val="0"/>
          <w:sz w:val="32"/>
          <w:szCs w:val="32"/>
          <w:lang w:eastAsia="zh-CN"/>
        </w:rPr>
        <w:t>0</w:t>
      </w:r>
      <w:r>
        <w:rPr>
          <w:rFonts w:ascii="Times New Roman" w:eastAsia="仿宋_GB2312"/>
          <w:b w:val="0"/>
          <w:sz w:val="32"/>
          <w:szCs w:val="32"/>
        </w:rPr>
        <w:t>万元、政府采购工程支出</w:t>
      </w:r>
      <w:r>
        <w:rPr>
          <w:rFonts w:hint="eastAsia" w:ascii="Times New Roman" w:eastAsia="仿宋_GB2312"/>
          <w:b w:val="0"/>
          <w:sz w:val="32"/>
          <w:szCs w:val="32"/>
          <w:lang w:eastAsia="zh-CN"/>
        </w:rPr>
        <w:t>0</w:t>
      </w:r>
      <w:r>
        <w:rPr>
          <w:rFonts w:ascii="Times New Roman" w:eastAsia="仿宋_GB2312"/>
          <w:b w:val="0"/>
          <w:sz w:val="32"/>
          <w:szCs w:val="32"/>
        </w:rPr>
        <w:t>万元、政府采购服务支出</w:t>
      </w:r>
      <w:r>
        <w:rPr>
          <w:rFonts w:hint="eastAsia" w:ascii="Times New Roman" w:eastAsia="仿宋_GB2312"/>
          <w:b w:val="0"/>
          <w:sz w:val="32"/>
          <w:szCs w:val="32"/>
          <w:lang w:eastAsia="zh-CN"/>
        </w:rPr>
        <w:t>0</w:t>
      </w:r>
      <w:r>
        <w:rPr>
          <w:rFonts w:ascii="Times New Roman" w:eastAsia="仿宋_GB2312"/>
          <w:b w:val="0"/>
          <w:sz w:val="32"/>
          <w:szCs w:val="32"/>
        </w:rPr>
        <w:t>万元。授予中小企业合同金额</w:t>
      </w:r>
      <w:r>
        <w:rPr>
          <w:rFonts w:hint="eastAsia" w:ascii="Times New Roman" w:eastAsia="仿宋_GB2312"/>
          <w:b w:val="0"/>
          <w:sz w:val="32"/>
          <w:szCs w:val="32"/>
          <w:lang w:eastAsia="zh-CN"/>
        </w:rPr>
        <w:t>0</w:t>
      </w:r>
      <w:r>
        <w:rPr>
          <w:rFonts w:ascii="Times New Roman" w:eastAsia="仿宋_GB2312"/>
          <w:b w:val="0"/>
          <w:sz w:val="32"/>
          <w:szCs w:val="32"/>
        </w:rPr>
        <w:t>万元，占政府采购支出总额的</w:t>
      </w:r>
      <w:r>
        <w:rPr>
          <w:rFonts w:hint="eastAsia" w:ascii="Times New Roman" w:eastAsia="仿宋_GB2312"/>
          <w:b w:val="0"/>
          <w:sz w:val="32"/>
          <w:szCs w:val="32"/>
          <w:lang w:eastAsia="zh-CN"/>
        </w:rPr>
        <w:t>0</w:t>
      </w:r>
      <w:r>
        <w:rPr>
          <w:rFonts w:ascii="Times New Roman" w:eastAsia="仿宋_GB2312"/>
          <w:b w:val="0"/>
          <w:sz w:val="32"/>
          <w:szCs w:val="32"/>
        </w:rPr>
        <w:t>%，其中授予小微企业合同金额</w:t>
      </w:r>
      <w:r>
        <w:rPr>
          <w:rFonts w:hint="eastAsia" w:ascii="Times New Roman" w:eastAsia="仿宋_GB2312"/>
          <w:b w:val="0"/>
          <w:sz w:val="32"/>
          <w:szCs w:val="32"/>
          <w:lang w:eastAsia="zh-CN"/>
        </w:rPr>
        <w:t>0</w:t>
      </w:r>
      <w:r>
        <w:rPr>
          <w:rFonts w:ascii="Times New Roman" w:eastAsia="仿宋_GB2312"/>
          <w:b w:val="0"/>
          <w:sz w:val="32"/>
          <w:szCs w:val="32"/>
        </w:rPr>
        <w:t>万元，占政府采购支出总额的</w:t>
      </w:r>
      <w:r>
        <w:rPr>
          <w:rFonts w:hint="eastAsia" w:ascii="Times New Roman" w:eastAsia="仿宋_GB2312"/>
          <w:b w:val="0"/>
          <w:sz w:val="32"/>
          <w:szCs w:val="32"/>
          <w:lang w:eastAsia="zh-CN"/>
        </w:rPr>
        <w:t>0</w:t>
      </w:r>
      <w:r>
        <w:rPr>
          <w:rFonts w:ascii="Times New Roman" w:eastAsia="仿宋_GB2312"/>
          <w:b w:val="0"/>
          <w:sz w:val="32"/>
          <w:szCs w:val="32"/>
        </w:rPr>
        <w:t>%。</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八、国有资产占用情况说明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截至2024年12月31日，本单位共有车辆0辆，比上年增加0辆，主要是</w:t>
      </w:r>
      <w:r>
        <w:rPr>
          <w:rFonts w:hint="eastAsia" w:ascii="Times New Roman" w:eastAsia="仿宋_GB2312"/>
          <w:b w:val="0"/>
          <w:sz w:val="32"/>
          <w:szCs w:val="32"/>
          <w:lang w:val="en-US" w:eastAsia="zh-CN"/>
        </w:rPr>
        <w:t>本单位无公务用车</w:t>
      </w:r>
      <w:r>
        <w:rPr>
          <w:rFonts w:ascii="Times New Roman" w:eastAsia="仿宋_GB2312"/>
          <w:b w:val="0"/>
          <w:sz w:val="32"/>
          <w:szCs w:val="32"/>
        </w:rPr>
        <w:t>。其中，副部（省）级及以上领导用车0辆，主要负责人用车0辆，机要通信用车0辆，应急保障用车0辆，执法执勤用车0辆，特种专业技术用车0辆，离退休干部用车0辆，其他用车0辆。单位价值100万元（含）以上设备（不含车辆）0台（套）。</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九、关于2024年度绩效评价情况的说明</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（一）绩效评价工作开展情况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根据预算绩效管理要求，本单位组织对2024年度本级预算项目支出全面开展绩效自评，共涉及资金</w:t>
      </w:r>
      <w:r>
        <w:rPr>
          <w:rFonts w:hint="eastAsia" w:ascii="仿宋_GB2312" w:eastAsia="仿宋_GB2312"/>
          <w:sz w:val="32"/>
          <w:szCs w:val="32"/>
          <w:lang w:val="en-US" w:eastAsia="zh-CN"/>
        </w:rPr>
        <w:t>24.23</w:t>
      </w:r>
      <w:r>
        <w:rPr>
          <w:rFonts w:ascii="Times New Roman" w:eastAsia="仿宋_GB2312"/>
          <w:b w:val="0"/>
          <w:sz w:val="32"/>
          <w:szCs w:val="32"/>
        </w:rPr>
        <w:t>万元（决算金额）。其中，一般公共预算项目</w:t>
      </w:r>
      <w:r>
        <w:rPr>
          <w:rFonts w:hint="eastAsia" w:ascii="Times New Roman" w:eastAsia="仿宋_GB2312"/>
          <w:b w:val="0"/>
          <w:sz w:val="32"/>
          <w:szCs w:val="32"/>
          <w:lang w:val="en-US" w:eastAsia="zh-CN"/>
        </w:rPr>
        <w:t>2</w:t>
      </w:r>
      <w:r>
        <w:rPr>
          <w:rFonts w:ascii="Times New Roman" w:eastAsia="仿宋_GB2312"/>
          <w:b w:val="0"/>
          <w:sz w:val="32"/>
          <w:szCs w:val="32"/>
        </w:rPr>
        <w:t>个，涉及资金</w:t>
      </w:r>
      <w:r>
        <w:rPr>
          <w:rFonts w:hint="eastAsia" w:ascii="仿宋_GB2312" w:eastAsia="仿宋_GB2312"/>
          <w:sz w:val="32"/>
          <w:szCs w:val="32"/>
          <w:lang w:val="en-US" w:eastAsia="zh-CN"/>
        </w:rPr>
        <w:t>24.23</w:t>
      </w:r>
      <w:r>
        <w:rPr>
          <w:rFonts w:ascii="Times New Roman" w:eastAsia="仿宋_GB2312"/>
          <w:b w:val="0"/>
          <w:sz w:val="32"/>
          <w:szCs w:val="32"/>
        </w:rPr>
        <w:t>万元，占一般公共预算项目支出总额的</w:t>
      </w:r>
      <w:r>
        <w:rPr>
          <w:rFonts w:hint="eastAsia" w:ascii="Times New Roman" w:eastAsia="仿宋_GB2312"/>
          <w:b w:val="0"/>
          <w:sz w:val="32"/>
          <w:szCs w:val="32"/>
          <w:lang w:val="en-US" w:eastAsia="zh-CN"/>
        </w:rPr>
        <w:t>100</w:t>
      </w:r>
      <w:r>
        <w:rPr>
          <w:rFonts w:ascii="Times New Roman" w:eastAsia="仿宋_GB2312"/>
          <w:b w:val="0"/>
          <w:sz w:val="32"/>
          <w:szCs w:val="32"/>
        </w:rPr>
        <w:t>%；政府性基金预算项目</w:t>
      </w:r>
      <w:r>
        <w:rPr>
          <w:rFonts w:hint="eastAsia" w:ascii="Times New Roman" w:eastAsia="仿宋_GB2312"/>
          <w:b w:val="0"/>
          <w:sz w:val="32"/>
          <w:szCs w:val="32"/>
          <w:lang w:val="en-US" w:eastAsia="zh-CN"/>
        </w:rPr>
        <w:t>0</w:t>
      </w:r>
      <w:r>
        <w:rPr>
          <w:rFonts w:ascii="Times New Roman" w:eastAsia="仿宋_GB2312"/>
          <w:b w:val="0"/>
          <w:sz w:val="32"/>
          <w:szCs w:val="32"/>
        </w:rPr>
        <w:t>个，涉及资金</w:t>
      </w:r>
      <w:r>
        <w:rPr>
          <w:rFonts w:hint="eastAsia" w:ascii="Times New Roman" w:eastAsia="仿宋_GB2312"/>
          <w:b w:val="0"/>
          <w:sz w:val="32"/>
          <w:szCs w:val="32"/>
          <w:lang w:val="en-US" w:eastAsia="zh-CN"/>
        </w:rPr>
        <w:t>0</w:t>
      </w:r>
      <w:r>
        <w:rPr>
          <w:rFonts w:ascii="Times New Roman" w:eastAsia="仿宋_GB2312"/>
          <w:b w:val="0"/>
          <w:sz w:val="32"/>
          <w:szCs w:val="32"/>
        </w:rPr>
        <w:t>万元，占政府性基金预算项目支出总额的</w:t>
      </w:r>
      <w:r>
        <w:rPr>
          <w:rFonts w:hint="eastAsia" w:ascii="Times New Roman" w:eastAsia="仿宋_GB2312"/>
          <w:b w:val="0"/>
          <w:sz w:val="32"/>
          <w:szCs w:val="32"/>
          <w:lang w:val="en-US" w:eastAsia="zh-CN"/>
        </w:rPr>
        <w:t>0</w:t>
      </w:r>
      <w:r>
        <w:rPr>
          <w:rFonts w:ascii="Times New Roman" w:eastAsia="仿宋_GB2312"/>
          <w:b w:val="0"/>
          <w:sz w:val="32"/>
          <w:szCs w:val="32"/>
        </w:rPr>
        <w:t>%；国有资本经营预算项目</w:t>
      </w:r>
      <w:r>
        <w:rPr>
          <w:rFonts w:hint="eastAsia" w:ascii="Times New Roman" w:eastAsia="仿宋_GB2312"/>
          <w:b w:val="0"/>
          <w:sz w:val="32"/>
          <w:szCs w:val="32"/>
          <w:lang w:val="en-US" w:eastAsia="zh-CN"/>
        </w:rPr>
        <w:t>0</w:t>
      </w:r>
      <w:r>
        <w:rPr>
          <w:rFonts w:ascii="Times New Roman" w:eastAsia="仿宋_GB2312"/>
          <w:b w:val="0"/>
          <w:sz w:val="32"/>
          <w:szCs w:val="32"/>
        </w:rPr>
        <w:t>个，涉及资金</w:t>
      </w:r>
      <w:r>
        <w:rPr>
          <w:rFonts w:hint="eastAsia" w:ascii="Times New Roman" w:eastAsia="仿宋_GB2312"/>
          <w:b w:val="0"/>
          <w:sz w:val="32"/>
          <w:szCs w:val="32"/>
          <w:lang w:val="en-US" w:eastAsia="zh-CN"/>
        </w:rPr>
        <w:t>0</w:t>
      </w:r>
      <w:r>
        <w:rPr>
          <w:rFonts w:ascii="Times New Roman" w:eastAsia="仿宋_GB2312"/>
          <w:b w:val="0"/>
          <w:sz w:val="32"/>
          <w:szCs w:val="32"/>
        </w:rPr>
        <w:t>万元，占国有资本经营预算项目支出总额的</w:t>
      </w:r>
      <w:r>
        <w:rPr>
          <w:rFonts w:hint="eastAsia" w:ascii="Times New Roman" w:eastAsia="仿宋_GB2312"/>
          <w:b w:val="0"/>
          <w:sz w:val="32"/>
          <w:szCs w:val="32"/>
          <w:lang w:val="en-US" w:eastAsia="zh-CN"/>
        </w:rPr>
        <w:t>0</w:t>
      </w:r>
      <w:r>
        <w:rPr>
          <w:rFonts w:ascii="Times New Roman" w:eastAsia="仿宋_GB2312"/>
          <w:b w:val="0"/>
          <w:sz w:val="32"/>
          <w:szCs w:val="32"/>
        </w:rPr>
        <w:t>%。</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组织对</w:t>
      </w:r>
      <w:r>
        <w:rPr>
          <w:rFonts w:hint="eastAsia" w:ascii="Times New Roman" w:eastAsia="仿宋_GB2312"/>
          <w:b w:val="0"/>
          <w:sz w:val="32"/>
          <w:szCs w:val="32"/>
          <w:lang w:val="en-US" w:eastAsia="zh-CN"/>
        </w:rPr>
        <w:t>商荣祺一次性抚恤金</w:t>
      </w:r>
      <w:r>
        <w:rPr>
          <w:rFonts w:ascii="Times New Roman" w:eastAsia="仿宋_GB2312"/>
          <w:b w:val="0"/>
          <w:sz w:val="32"/>
          <w:szCs w:val="32"/>
        </w:rPr>
        <w:t>等</w:t>
      </w:r>
      <w:r>
        <w:rPr>
          <w:rFonts w:hint="eastAsia" w:ascii="Times New Roman" w:eastAsia="仿宋_GB2312"/>
          <w:b w:val="0"/>
          <w:sz w:val="32"/>
          <w:szCs w:val="32"/>
          <w:lang w:val="en-US" w:eastAsia="zh-CN"/>
        </w:rPr>
        <w:t>2</w:t>
      </w:r>
      <w:r>
        <w:rPr>
          <w:rFonts w:ascii="Times New Roman" w:eastAsia="仿宋_GB2312"/>
          <w:b w:val="0"/>
          <w:sz w:val="32"/>
          <w:szCs w:val="32"/>
        </w:rPr>
        <w:t>个项目开展了</w:t>
      </w:r>
      <w:r>
        <w:rPr>
          <w:rFonts w:hint="eastAsia" w:ascii="Times New Roman" w:eastAsia="仿宋_GB2312"/>
          <w:b w:val="0"/>
          <w:sz w:val="32"/>
          <w:szCs w:val="32"/>
          <w:lang w:eastAsia="zh-CN"/>
        </w:rPr>
        <w:t>单位</w:t>
      </w:r>
      <w:r>
        <w:rPr>
          <w:rFonts w:ascii="Times New Roman" w:eastAsia="仿宋_GB2312"/>
          <w:b w:val="0"/>
          <w:sz w:val="32"/>
          <w:szCs w:val="32"/>
        </w:rPr>
        <w:t>重点评价，涉及一般公共预算支出</w:t>
      </w:r>
      <w:r>
        <w:rPr>
          <w:rFonts w:hint="eastAsia" w:ascii="仿宋_GB2312" w:eastAsia="仿宋_GB2312"/>
          <w:sz w:val="32"/>
          <w:szCs w:val="32"/>
          <w:lang w:val="en-US" w:eastAsia="zh-CN"/>
        </w:rPr>
        <w:t>24.23</w:t>
      </w:r>
      <w:r>
        <w:rPr>
          <w:rFonts w:ascii="Times New Roman" w:eastAsia="仿宋_GB2312"/>
          <w:b w:val="0"/>
          <w:sz w:val="32"/>
          <w:szCs w:val="32"/>
        </w:rPr>
        <w:t>万元，政府性基金预算支出</w:t>
      </w:r>
      <w:r>
        <w:rPr>
          <w:rFonts w:hint="eastAsia" w:ascii="Times New Roman" w:eastAsia="仿宋_GB2312"/>
          <w:b w:val="0"/>
          <w:sz w:val="32"/>
          <w:szCs w:val="32"/>
          <w:lang w:val="en-US" w:eastAsia="zh-CN"/>
        </w:rPr>
        <w:t>0</w:t>
      </w:r>
      <w:r>
        <w:rPr>
          <w:rFonts w:ascii="Times New Roman" w:eastAsia="仿宋_GB2312"/>
          <w:b w:val="0"/>
          <w:sz w:val="32"/>
          <w:szCs w:val="32"/>
        </w:rPr>
        <w:t>万元，国有资本经营预算支出</w:t>
      </w:r>
      <w:r>
        <w:rPr>
          <w:rFonts w:hint="eastAsia" w:ascii="Times New Roman" w:eastAsia="仿宋_GB2312"/>
          <w:b w:val="0"/>
          <w:sz w:val="32"/>
          <w:szCs w:val="32"/>
          <w:lang w:val="en-US" w:eastAsia="zh-CN"/>
        </w:rPr>
        <w:t>0</w:t>
      </w:r>
      <w:r>
        <w:rPr>
          <w:rFonts w:ascii="Times New Roman" w:eastAsia="仿宋_GB2312"/>
          <w:b w:val="0"/>
          <w:sz w:val="32"/>
          <w:szCs w:val="32"/>
        </w:rPr>
        <w:t>万元，从评价情况来看，</w:t>
      </w:r>
      <w:r>
        <w:rPr>
          <w:rFonts w:hint="eastAsia" w:ascii="Times New Roman" w:eastAsia="仿宋_GB2312"/>
          <w:b w:val="0"/>
          <w:sz w:val="32"/>
          <w:szCs w:val="32"/>
          <w:lang w:val="en-US" w:eastAsia="zh-CN"/>
        </w:rPr>
        <w:t>项目设立规范，绩效目标合理，绩效指标明确，2个项目绩效目标全部实现指标预算设置</w:t>
      </w:r>
      <w:r>
        <w:rPr>
          <w:rFonts w:ascii="Times New Roman" w:eastAsia="仿宋_GB2312"/>
          <w:b w:val="0"/>
          <w:sz w:val="32"/>
          <w:szCs w:val="32"/>
        </w:rPr>
        <w:t>。</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w:t>
      </w:r>
      <w:r>
        <w:rPr>
          <w:rFonts w:hint="eastAsia" w:ascii="Times New Roman" w:eastAsia="仿宋_GB2312"/>
          <w:b/>
          <w:sz w:val="32"/>
          <w:szCs w:val="32"/>
          <w:lang w:eastAsia="zh-CN"/>
        </w:rPr>
        <w:t>单位</w:t>
      </w:r>
      <w:r>
        <w:rPr>
          <w:rFonts w:ascii="Times New Roman" w:eastAsia="仿宋_GB2312"/>
          <w:b/>
          <w:sz w:val="32"/>
          <w:szCs w:val="32"/>
        </w:rPr>
        <w:t>决算中项目绩效自评结果</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本单位在今年</w:t>
      </w:r>
      <w:r>
        <w:rPr>
          <w:rFonts w:hint="eastAsia" w:ascii="Times New Roman" w:eastAsia="仿宋_GB2312"/>
          <w:b w:val="0"/>
          <w:sz w:val="32"/>
          <w:szCs w:val="32"/>
          <w:lang w:eastAsia="zh-CN"/>
        </w:rPr>
        <w:t>单位</w:t>
      </w:r>
      <w:r>
        <w:rPr>
          <w:rFonts w:ascii="Times New Roman" w:eastAsia="仿宋_GB2312"/>
          <w:b w:val="0"/>
          <w:sz w:val="32"/>
          <w:szCs w:val="32"/>
        </w:rPr>
        <w:t>决算公开中反映</w:t>
      </w:r>
      <w:r>
        <w:rPr>
          <w:rFonts w:hint="eastAsia" w:ascii="Times New Roman" w:eastAsia="仿宋_GB2312"/>
          <w:b w:val="0"/>
          <w:sz w:val="32"/>
          <w:szCs w:val="32"/>
          <w:lang w:val="en-US" w:eastAsia="zh-CN"/>
        </w:rPr>
        <w:t>商荣祺一次性抚恤金</w:t>
      </w:r>
      <w:r>
        <w:rPr>
          <w:rFonts w:ascii="Times New Roman" w:eastAsia="仿宋_GB2312"/>
          <w:b w:val="0"/>
          <w:sz w:val="32"/>
          <w:szCs w:val="32"/>
        </w:rPr>
        <w:t>等</w:t>
      </w:r>
      <w:r>
        <w:rPr>
          <w:rFonts w:hint="eastAsia" w:ascii="Times New Roman" w:eastAsia="仿宋_GB2312"/>
          <w:b w:val="0"/>
          <w:sz w:val="32"/>
          <w:szCs w:val="32"/>
          <w:lang w:val="en-US" w:eastAsia="zh-CN"/>
        </w:rPr>
        <w:t>2</w:t>
      </w:r>
      <w:r>
        <w:rPr>
          <w:rFonts w:ascii="Times New Roman" w:eastAsia="仿宋_GB2312"/>
          <w:b w:val="0"/>
          <w:sz w:val="32"/>
          <w:szCs w:val="32"/>
        </w:rPr>
        <w:t>个项目绩效自评结果。</w:t>
      </w:r>
    </w:p>
    <w:p>
      <w:pPr>
        <w:widowControl/>
        <w:spacing w:before="0" w:beforeLines="0" w:beforeAutospacing="0" w:after="0" w:afterLines="0" w:afterAutospacing="0" w:line="360" w:lineRule="auto"/>
        <w:ind w:firstLine="640" w:firstLineChars="200"/>
        <w:jc w:val="left"/>
        <w:rPr>
          <w:rFonts w:hint="default" w:ascii="Times New Roman" w:eastAsia="仿宋_GB2312"/>
          <w:sz w:val="32"/>
          <w:szCs w:val="32"/>
          <w:lang w:val="en-US" w:eastAsia="zh-CN"/>
        </w:rPr>
      </w:pPr>
      <w:r>
        <w:rPr>
          <w:rFonts w:ascii="Times New Roman" w:eastAsia="仿宋_GB2312"/>
          <w:b w:val="0"/>
          <w:sz w:val="32"/>
          <w:szCs w:val="32"/>
        </w:rPr>
        <w:t>项目绩效自评情况：根据年初设定的绩效目标，项目绩效自评得分为</w:t>
      </w:r>
      <w:r>
        <w:rPr>
          <w:rFonts w:hint="eastAsia" w:ascii="Times New Roman" w:eastAsia="仿宋_GB2312"/>
          <w:b w:val="0"/>
          <w:sz w:val="32"/>
          <w:szCs w:val="32"/>
          <w:lang w:val="en-US" w:eastAsia="zh-CN"/>
        </w:rPr>
        <w:t>100</w:t>
      </w:r>
      <w:r>
        <w:rPr>
          <w:rFonts w:ascii="Times New Roman" w:eastAsia="仿宋_GB2312"/>
          <w:b w:val="0"/>
          <w:sz w:val="32"/>
          <w:szCs w:val="32"/>
        </w:rPr>
        <w:t>分（绩效自评表附后）。全年预算数为</w:t>
      </w:r>
      <w:r>
        <w:rPr>
          <w:rFonts w:hint="eastAsia" w:ascii="Times New Roman" w:eastAsia="仿宋_GB2312"/>
          <w:b w:val="0"/>
          <w:sz w:val="32"/>
          <w:szCs w:val="32"/>
          <w:lang w:val="en-US" w:eastAsia="zh-CN"/>
        </w:rPr>
        <w:t>23.94</w:t>
      </w:r>
      <w:r>
        <w:rPr>
          <w:rFonts w:ascii="Times New Roman" w:eastAsia="仿宋_GB2312"/>
          <w:b w:val="0"/>
          <w:sz w:val="32"/>
          <w:szCs w:val="32"/>
        </w:rPr>
        <w:t>万元，执行数为</w:t>
      </w:r>
      <w:r>
        <w:rPr>
          <w:rFonts w:hint="eastAsia" w:ascii="Times New Roman" w:eastAsia="仿宋_GB2312"/>
          <w:b w:val="0"/>
          <w:sz w:val="32"/>
          <w:szCs w:val="32"/>
          <w:lang w:val="en-US" w:eastAsia="zh-CN"/>
        </w:rPr>
        <w:t>23.94</w:t>
      </w:r>
      <w:r>
        <w:rPr>
          <w:rFonts w:ascii="Times New Roman" w:eastAsia="仿宋_GB2312"/>
          <w:b w:val="0"/>
          <w:sz w:val="32"/>
          <w:szCs w:val="32"/>
        </w:rPr>
        <w:t>万元，完成预算的</w:t>
      </w:r>
      <w:r>
        <w:rPr>
          <w:rFonts w:hint="eastAsia" w:ascii="Times New Roman" w:eastAsia="仿宋_GB2312"/>
          <w:b w:val="0"/>
          <w:sz w:val="32"/>
          <w:szCs w:val="32"/>
          <w:lang w:val="en-US" w:eastAsia="zh-CN"/>
        </w:rPr>
        <w:t>100</w:t>
      </w:r>
      <w:r>
        <w:rPr>
          <w:rFonts w:ascii="Times New Roman" w:eastAsia="仿宋_GB2312"/>
          <w:b w:val="0"/>
          <w:sz w:val="32"/>
          <w:szCs w:val="32"/>
        </w:rPr>
        <w:t>%。项目绩效目标完成情况：</w:t>
      </w:r>
      <w:r>
        <w:rPr>
          <w:rFonts w:hint="eastAsia" w:ascii="Times New Roman" w:eastAsia="仿宋_GB2312"/>
          <w:b w:val="0"/>
          <w:sz w:val="32"/>
          <w:szCs w:val="32"/>
          <w:lang w:val="en-US" w:eastAsia="zh-CN"/>
        </w:rPr>
        <w:t>通过项目实施，完成了设定的各项绩效目标，完成了商荣祺一次性抚恤金发放</w:t>
      </w:r>
      <w:r>
        <w:rPr>
          <w:rFonts w:ascii="Times New Roman" w:eastAsia="仿宋_GB2312"/>
          <w:b w:val="0"/>
          <w:sz w:val="32"/>
          <w:szCs w:val="32"/>
        </w:rPr>
        <w:t>。</w:t>
      </w:r>
      <w:r>
        <w:rPr>
          <w:rFonts w:hint="eastAsia" w:ascii="Times New Roman" w:eastAsia="仿宋_GB2312"/>
          <w:b w:val="0"/>
          <w:sz w:val="32"/>
          <w:szCs w:val="32"/>
          <w:lang w:val="en-US" w:eastAsia="zh-CN"/>
        </w:rPr>
        <w:t>未发现问题。</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w:t>
      </w:r>
      <w:r>
        <w:rPr>
          <w:rFonts w:hint="eastAsia" w:ascii="Times New Roman" w:eastAsia="仿宋_GB2312"/>
          <w:b/>
          <w:sz w:val="32"/>
          <w:szCs w:val="32"/>
          <w:lang w:eastAsia="zh-CN"/>
        </w:rPr>
        <w:t>单位</w:t>
      </w:r>
      <w:r>
        <w:rPr>
          <w:rFonts w:ascii="Times New Roman" w:eastAsia="仿宋_GB2312"/>
          <w:b/>
          <w:sz w:val="32"/>
          <w:szCs w:val="32"/>
        </w:rPr>
        <w:t>评价项目绩效评价结果（如有）</w:t>
      </w:r>
    </w:p>
    <w:p>
      <w:pPr>
        <w:widowControl/>
        <w:spacing w:before="0" w:beforeLines="0" w:beforeAutospacing="0" w:after="0" w:afterLines="0" w:afterAutospacing="0" w:line="360" w:lineRule="auto"/>
        <w:ind w:firstLine="640" w:firstLineChars="200"/>
        <w:jc w:val="left"/>
        <w:rPr>
          <w:rFonts w:hint="default" w:ascii="Times New Roman" w:eastAsia="仿宋_GB2312"/>
          <w:sz w:val="32"/>
          <w:szCs w:val="32"/>
          <w:lang w:val="en-US" w:eastAsia="zh-CN"/>
        </w:rPr>
      </w:pPr>
      <w:r>
        <w:rPr>
          <w:rFonts w:hint="eastAsia" w:ascii="Times New Roman" w:eastAsia="仿宋_GB2312"/>
          <w:sz w:val="32"/>
          <w:szCs w:val="32"/>
          <w:lang w:val="en-US" w:eastAsia="zh-CN"/>
        </w:rPr>
        <w:t>全部评价等级为优，占比100%。</w:t>
      </w:r>
    </w:p>
    <w:p>
      <w:pPr>
        <w:widowControl/>
        <w:spacing w:before="0" w:beforeLines="0" w:beforeAutospacing="0" w:after="0" w:afterLines="0" w:afterAutospacing="0" w:line="360" w:lineRule="auto"/>
        <w:ind w:firstLine="640" w:firstLineChars="200"/>
        <w:jc w:val="left"/>
        <w:rPr>
          <w:rFonts w:ascii="Times New Roman" w:eastAsia="黑体"/>
          <w:sz w:val="32"/>
          <w:szCs w:val="32"/>
        </w:rPr>
      </w:pPr>
      <w:r>
        <w:rPr>
          <w:rFonts w:ascii="Times New Roman" w:eastAsia="黑体"/>
          <w:b w:val="0"/>
          <w:sz w:val="32"/>
          <w:szCs w:val="32"/>
        </w:rPr>
        <w:t>十、其他需要说明的情况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1.本单位2024年度政府性基金预算财政拨款收入支出决算表（公开07表）、国有资本经营预算财政拨款支出决算表（公开08表）、财政拨款“三公”经费支出决算表（公开09表）无相应收支，故空表列示。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2.由于决算公开表格中金额数值应当保留两位小数，公开数据为四舍五入计算结果，个别数据合计项与分项之和存在小数点后差额，特此说明。</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第四部分名词解释</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一、财政拨款收入：</w:t>
      </w:r>
      <w:r>
        <w:rPr>
          <w:rFonts w:ascii="Times New Roman" w:eastAsia="仿宋_GB2312"/>
          <w:b w:val="0"/>
          <w:sz w:val="32"/>
          <w:szCs w:val="32"/>
        </w:rPr>
        <w:t>指单位从同级财政部门取得的财政预算资金。</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二、事业收入：</w:t>
      </w:r>
      <w:r>
        <w:rPr>
          <w:rFonts w:ascii="Times New Roman" w:eastAsia="仿宋_GB2312"/>
          <w:b w:val="0"/>
          <w:sz w:val="32"/>
          <w:szCs w:val="32"/>
        </w:rPr>
        <w:t>指事业单位开展专业业务活动及辅助活动取得的收入。</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三、经营收入：</w:t>
      </w:r>
      <w:r>
        <w:rPr>
          <w:rFonts w:ascii="Times New Roman" w:eastAsia="仿宋_GB2312"/>
          <w:b w:val="0"/>
          <w:sz w:val="32"/>
          <w:szCs w:val="32"/>
        </w:rPr>
        <w:t>指事业单位在专业业务活动及其辅助活动之外开展非独立核算经营活动取得的收入。</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四、其他收入：</w:t>
      </w:r>
      <w:r>
        <w:rPr>
          <w:rFonts w:ascii="Times New Roman" w:eastAsia="仿宋_GB2312"/>
          <w:b w:val="0"/>
          <w:sz w:val="32"/>
          <w:szCs w:val="32"/>
        </w:rPr>
        <w:t>指单位取得的除上述收入以外的各项收入。主要是事业单位固定资产出租收入、存款利息收入等。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五、使用非财政拨款结余（含专用结余）：</w:t>
      </w:r>
      <w:r>
        <w:rPr>
          <w:rFonts w:ascii="Times New Roman" w:eastAsia="仿宋_GB2312"/>
          <w:b w:val="0"/>
          <w:sz w:val="32"/>
          <w:szCs w:val="32"/>
        </w:rPr>
        <w:t>指事业单位按照预算管理要求使用非财政拨款结余弥补收支差额的金额，以及使用专用结余安排支出的金额。</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六、年初结转和结余：</w:t>
      </w:r>
      <w:r>
        <w:rPr>
          <w:rFonts w:ascii="Times New Roman" w:eastAsia="仿宋_GB2312"/>
          <w:b w:val="0"/>
          <w:sz w:val="32"/>
          <w:szCs w:val="32"/>
        </w:rPr>
        <w:t>指单位以前年度尚未完成、结转到本年仍按原规定用途继续使用的资金，或项目已完成等产生的结余资金。</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七、结余分配：</w:t>
      </w:r>
      <w:r>
        <w:rPr>
          <w:rFonts w:ascii="Times New Roman" w:eastAsia="仿宋_GB2312"/>
          <w:b w:val="0"/>
          <w:sz w:val="32"/>
          <w:szCs w:val="32"/>
        </w:rPr>
        <w:t>指事业单位按照会计制度规定缴纳的所得税、提取的专用结余以及转入非财政拨款结余的金额等。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八、年末结转和结余：</w:t>
      </w:r>
      <w:r>
        <w:rPr>
          <w:rFonts w:ascii="Times New Roman" w:eastAsia="仿宋_GB2312"/>
          <w:b w:val="0"/>
          <w:sz w:val="32"/>
          <w:szCs w:val="32"/>
        </w:rPr>
        <w:t>指单位按有关规定结转到下年或以后年度继续使用的资金，或项目已完成等产生的结余资金。</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九、基本支出：</w:t>
      </w:r>
      <w:r>
        <w:rPr>
          <w:rFonts w:ascii="Times New Roman" w:eastAsia="仿宋_GB2312"/>
          <w:b w:val="0"/>
          <w:sz w:val="32"/>
          <w:szCs w:val="32"/>
        </w:rPr>
        <w:t>指为保障机构正常运转、完成日常工作任务而发生的人员支出和公用支出。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十、项目支出：</w:t>
      </w:r>
      <w:r>
        <w:rPr>
          <w:rFonts w:ascii="Times New Roman" w:eastAsia="仿宋_GB2312"/>
          <w:b w:val="0"/>
          <w:sz w:val="32"/>
          <w:szCs w:val="32"/>
        </w:rPr>
        <w:t>指在基本支出之外为完成特定行政任务和事业发展目标所发生的支出。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十一、经营支出：</w:t>
      </w:r>
      <w:r>
        <w:rPr>
          <w:rFonts w:ascii="Times New Roman" w:eastAsia="仿宋_GB2312"/>
          <w:b w:val="0"/>
          <w:sz w:val="32"/>
          <w:szCs w:val="32"/>
        </w:rPr>
        <w:t>指事业单位在专业业务活动及其辅助活动之外开展非独立核算经营活动发生的支出。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十二、基本建设支出：</w:t>
      </w:r>
      <w:r>
        <w:rPr>
          <w:rFonts w:ascii="Times New Roman" w:eastAsia="仿宋_GB2312"/>
          <w:b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十三、其他资本性支出：</w:t>
      </w:r>
      <w:r>
        <w:rPr>
          <w:rFonts w:ascii="Times New Roman" w:eastAsia="仿宋_GB2312"/>
          <w:b w:val="0"/>
          <w:sz w:val="32"/>
          <w:szCs w:val="32"/>
        </w:rPr>
        <w:t>填列由各级非发展与改革部门集中安排的用于购置固定资产、战备性和应急性储备、土地和无形资产，以及购建基础设施、大型修缮和财政支持企业更新改造所发生的支出。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十四、“三公”经费：</w:t>
      </w:r>
      <w:r>
        <w:rPr>
          <w:rFonts w:ascii="Times New Roman" w:eastAsia="仿宋_GB2312"/>
          <w:b w:val="0"/>
          <w:sz w:val="32"/>
          <w:szCs w:val="32"/>
        </w:rPr>
        <w:t>指</w:t>
      </w:r>
      <w:r>
        <w:rPr>
          <w:rFonts w:hint="eastAsia" w:ascii="Times New Roman" w:eastAsia="仿宋_GB2312"/>
          <w:b w:val="0"/>
          <w:sz w:val="32"/>
          <w:szCs w:val="32"/>
          <w:lang w:eastAsia="zh-CN"/>
        </w:rPr>
        <w:t>单位</w:t>
      </w:r>
      <w:r>
        <w:rPr>
          <w:rFonts w:ascii="Times New Roman" w:eastAsia="仿宋_GB2312"/>
          <w:b w:val="0"/>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十五、其他交通费用：</w:t>
      </w:r>
      <w:r>
        <w:rPr>
          <w:rFonts w:ascii="Times New Roman" w:eastAsia="仿宋_GB2312"/>
          <w:b w:val="0"/>
          <w:sz w:val="32"/>
          <w:szCs w:val="32"/>
        </w:rPr>
        <w:t>填列单位除公务用车运行维护费以外的其他交通费用。如公务交通补贴、租车费用、出租车费用，飞机、船舶等燃料费、维修费、保险费等。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十六、公务用车购置：</w:t>
      </w:r>
      <w:r>
        <w:rPr>
          <w:rFonts w:ascii="Times New Roman" w:eastAsia="仿宋_GB2312"/>
          <w:b w:val="0"/>
          <w:sz w:val="32"/>
          <w:szCs w:val="32"/>
        </w:rPr>
        <w:t>填列单位公务用车车辆购置支出（含车辆购置税、牌照费）。</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十七、其他交通工具购置：</w:t>
      </w:r>
      <w:r>
        <w:rPr>
          <w:rFonts w:ascii="Times New Roman" w:eastAsia="仿宋_GB2312"/>
          <w:b w:val="0"/>
          <w:sz w:val="32"/>
          <w:szCs w:val="32"/>
        </w:rPr>
        <w:t>填列单位除公务用车外的其他各类交通工具（如船舶、飞机等）购置支出（含车辆购置税、牌照费）。</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十八、机关运行经费：</w:t>
      </w:r>
      <w:r>
        <w:rPr>
          <w:rFonts w:ascii="Times New Roman" w:eastAsia="仿宋_GB2312"/>
          <w:b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C7BA3EB-BE3C-4165-AEAC-95171B5C702B}"/>
  </w:font>
  <w:font w:name="黑体">
    <w:panose1 w:val="02010600030101010101"/>
    <w:charset w:val="86"/>
    <w:family w:val="auto"/>
    <w:pitch w:val="default"/>
    <w:sig w:usb0="800002BF" w:usb1="38CF7CFA" w:usb2="00000016" w:usb3="00000000" w:csb0="00040001" w:csb1="00000000"/>
    <w:embedRegular r:id="rId2" w:fontKey="{2534480F-7D6D-4329-90B1-B7ED953F7AD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D5F006DE-F30A-4E56-A97E-23388B8E2C5F}"/>
  </w:font>
  <w:font w:name="仿宋">
    <w:panose1 w:val="02010609060101010101"/>
    <w:charset w:val="86"/>
    <w:family w:val="modern"/>
    <w:pitch w:val="default"/>
    <w:sig w:usb0="800002BF" w:usb1="38CF7CFA" w:usb2="00000016" w:usb3="00000000" w:csb0="00040001" w:csb1="00000000"/>
    <w:embedRegular r:id="rId4" w:fontKey="{5D9559BE-72BB-4C82-99EE-F1A685AD1E80}"/>
  </w:font>
  <w:font w:name="Calibri Light">
    <w:altName w:val="Calibri"/>
    <w:panose1 w:val="020F0302020204030204"/>
    <w:charset w:val="00"/>
    <w:family w:val="auto"/>
    <w:pitch w:val="default"/>
    <w:sig w:usb0="00000000" w:usb1="00000000"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embedRegular r:id="rId5" w:fontKey="{8F6CEB8B-9037-4DD4-AD17-DAAFF4D6519A}"/>
  </w:font>
  <w:font w:name="方正小标宋_GBK">
    <w:panose1 w:val="02000000000000000000"/>
    <w:charset w:val="86"/>
    <w:family w:val="script"/>
    <w:pitch w:val="default"/>
    <w:sig w:usb0="A00002BF" w:usb1="38CF7CFA" w:usb2="00082016" w:usb3="00000000" w:csb0="00040001" w:csb1="00000000"/>
    <w:embedRegular r:id="rId6" w:fontKey="{D9C885F0-AAB8-4520-80A5-3686715A6F98}"/>
  </w:font>
  <w:font w:name="仿宋_GB2312">
    <w:panose1 w:val="02010609030101010101"/>
    <w:charset w:val="86"/>
    <w:family w:val="auto"/>
    <w:pitch w:val="default"/>
    <w:sig w:usb0="00000001" w:usb1="080E0000" w:usb2="00000000" w:usb3="00000000" w:csb0="00040000" w:csb1="00000000"/>
    <w:embedRegular r:id="rId7" w:fontKey="{67343F81-3F09-4A7F-8C55-C60279DBD1A7}"/>
  </w:font>
  <w:font w:name="ArialUnicodeMS">
    <w:altName w:val="Malgun Gothic"/>
    <w:panose1 w:val="00000000000000000000"/>
    <w:charset w:val="81"/>
    <w:family w:val="auto"/>
    <w:pitch w:val="default"/>
    <w:sig w:usb0="00000000" w:usb1="00000000" w:usb2="00000010" w:usb3="00000000" w:csb0="00080001" w:csb1="00000000"/>
    <w:embedRegular r:id="rId8" w:fontKey="{95D9AD3B-A329-4F6B-A884-ED77A8ECEC67}"/>
  </w:font>
  <w:font w:name="方正仿宋_GB2312">
    <w:panose1 w:val="02000000000000000000"/>
    <w:charset w:val="86"/>
    <w:family w:val="auto"/>
    <w:pitch w:val="default"/>
    <w:sig w:usb0="A00002BF" w:usb1="184F6CFA" w:usb2="00000012" w:usb3="00000000" w:csb0="00040001" w:csb1="00000000"/>
    <w:embedRegular r:id="rId9" w:fontKey="{849DD0B7-E2D1-451F-B088-F5A416BFF048}"/>
  </w:font>
  <w:font w:name="Malgun Gothic">
    <w:panose1 w:val="020B0503020000020004"/>
    <w:charset w:val="81"/>
    <w:family w:val="auto"/>
    <w:pitch w:val="default"/>
    <w:sig w:usb0="900002AF" w:usb1="01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zMsImhkaWQiOiIzZDE0MTg0NDZhNWZiZTY0ZTEyOTJmNzgxMWVjODMzYiIsInVzZXJDb3VudCI6NH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CF6CDB"/>
    <w:rsid w:val="06FC7C2A"/>
    <w:rsid w:val="07533AFE"/>
    <w:rsid w:val="07AC18F2"/>
    <w:rsid w:val="07B3657A"/>
    <w:rsid w:val="07C857D0"/>
    <w:rsid w:val="083F3A0A"/>
    <w:rsid w:val="08AB5AAF"/>
    <w:rsid w:val="09012C64"/>
    <w:rsid w:val="093B2E99"/>
    <w:rsid w:val="095D7943"/>
    <w:rsid w:val="09C006C6"/>
    <w:rsid w:val="09C371D5"/>
    <w:rsid w:val="0A10621F"/>
    <w:rsid w:val="0A464C4F"/>
    <w:rsid w:val="0A6729A3"/>
    <w:rsid w:val="0A694877"/>
    <w:rsid w:val="0AA954BE"/>
    <w:rsid w:val="0AE70639"/>
    <w:rsid w:val="0B4F5E6D"/>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477534"/>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611B0F"/>
    <w:rsid w:val="2AC1762B"/>
    <w:rsid w:val="2AE845D0"/>
    <w:rsid w:val="2B4975FB"/>
    <w:rsid w:val="2B695031"/>
    <w:rsid w:val="2B735A8F"/>
    <w:rsid w:val="2BA7478D"/>
    <w:rsid w:val="2BB038DB"/>
    <w:rsid w:val="2BB761E0"/>
    <w:rsid w:val="2BB812F9"/>
    <w:rsid w:val="2BE35C27"/>
    <w:rsid w:val="2BFA504B"/>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330424"/>
    <w:rsid w:val="36FE3ABA"/>
    <w:rsid w:val="37072BDE"/>
    <w:rsid w:val="37455334"/>
    <w:rsid w:val="37527C32"/>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8626D0"/>
    <w:rsid w:val="3D953A6B"/>
    <w:rsid w:val="3DBB5979"/>
    <w:rsid w:val="3DD56F21"/>
    <w:rsid w:val="3DEF6699"/>
    <w:rsid w:val="3E1057AF"/>
    <w:rsid w:val="3E6C0DFA"/>
    <w:rsid w:val="3E740322"/>
    <w:rsid w:val="3E7F4380"/>
    <w:rsid w:val="3E8D171B"/>
    <w:rsid w:val="3EA5630D"/>
    <w:rsid w:val="3EBA731B"/>
    <w:rsid w:val="3EE33949"/>
    <w:rsid w:val="3EFB5800"/>
    <w:rsid w:val="3F3B4E59"/>
    <w:rsid w:val="3F6E677C"/>
    <w:rsid w:val="3F712F46"/>
    <w:rsid w:val="3FBC0EF7"/>
    <w:rsid w:val="3FCD2AB9"/>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592743"/>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6232437"/>
    <w:rsid w:val="56541A75"/>
    <w:rsid w:val="568832FC"/>
    <w:rsid w:val="568C4181"/>
    <w:rsid w:val="570725A9"/>
    <w:rsid w:val="5714693E"/>
    <w:rsid w:val="571D0C9C"/>
    <w:rsid w:val="573A16CE"/>
    <w:rsid w:val="579C7F80"/>
    <w:rsid w:val="57B30D7C"/>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6CB5E2D"/>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C0C698C"/>
    <w:rsid w:val="6C222401"/>
    <w:rsid w:val="6C56267F"/>
    <w:rsid w:val="6C826EF9"/>
    <w:rsid w:val="6CAE4C93"/>
    <w:rsid w:val="6CB14F16"/>
    <w:rsid w:val="6CEC2069"/>
    <w:rsid w:val="6D0B1869"/>
    <w:rsid w:val="6D65402D"/>
    <w:rsid w:val="6D683822"/>
    <w:rsid w:val="6D8D136C"/>
    <w:rsid w:val="6DBF2759"/>
    <w:rsid w:val="6DC96F36"/>
    <w:rsid w:val="6DCC5E58"/>
    <w:rsid w:val="6DFA3EBF"/>
    <w:rsid w:val="6E3E63D2"/>
    <w:rsid w:val="6E5F7BE6"/>
    <w:rsid w:val="6E6918C6"/>
    <w:rsid w:val="6EEB4AC4"/>
    <w:rsid w:val="6F212DD6"/>
    <w:rsid w:val="6F3B5912"/>
    <w:rsid w:val="6FA14A81"/>
    <w:rsid w:val="6FA3261F"/>
    <w:rsid w:val="6FB44BAA"/>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6A729D"/>
    <w:rsid w:val="73177841"/>
    <w:rsid w:val="733774FE"/>
    <w:rsid w:val="73617E1B"/>
    <w:rsid w:val="736D7653"/>
    <w:rsid w:val="738035CB"/>
    <w:rsid w:val="73852C46"/>
    <w:rsid w:val="7396335C"/>
    <w:rsid w:val="73F46595"/>
    <w:rsid w:val="73F47FAE"/>
    <w:rsid w:val="74283FA2"/>
    <w:rsid w:val="742C135B"/>
    <w:rsid w:val="74463733"/>
    <w:rsid w:val="748A2F40"/>
    <w:rsid w:val="74D84FF7"/>
    <w:rsid w:val="74F85778"/>
    <w:rsid w:val="75272439"/>
    <w:rsid w:val="758F1E9B"/>
    <w:rsid w:val="75CE266B"/>
    <w:rsid w:val="76120141"/>
    <w:rsid w:val="768216BE"/>
    <w:rsid w:val="76C23B43"/>
    <w:rsid w:val="76FD6F97"/>
    <w:rsid w:val="770218E8"/>
    <w:rsid w:val="779469CE"/>
    <w:rsid w:val="77C875A5"/>
    <w:rsid w:val="78A27DF6"/>
    <w:rsid w:val="79285B3A"/>
    <w:rsid w:val="7940035E"/>
    <w:rsid w:val="79490B03"/>
    <w:rsid w:val="79625CA9"/>
    <w:rsid w:val="79A91196"/>
    <w:rsid w:val="7A0B32D3"/>
    <w:rsid w:val="7AC13CD3"/>
    <w:rsid w:val="7AE10264"/>
    <w:rsid w:val="7AE4248E"/>
    <w:rsid w:val="7B4A207F"/>
    <w:rsid w:val="7B936F45"/>
    <w:rsid w:val="7BA47419"/>
    <w:rsid w:val="7BB10D45"/>
    <w:rsid w:val="7BB44151"/>
    <w:rsid w:val="7C656A39"/>
    <w:rsid w:val="7CB93996"/>
    <w:rsid w:val="7CBE0F99"/>
    <w:rsid w:val="7D4E45F1"/>
    <w:rsid w:val="7DFB6D82"/>
    <w:rsid w:val="7E1D71D1"/>
    <w:rsid w:val="7E246254"/>
    <w:rsid w:val="7E553215"/>
    <w:rsid w:val="7E6D090F"/>
    <w:rsid w:val="7ECC66B2"/>
    <w:rsid w:val="7F2914C3"/>
    <w:rsid w:val="7F5F2ED6"/>
    <w:rsid w:val="7FA837EF"/>
    <w:rsid w:val="7FC36955"/>
    <w:rsid w:val="7FE903A0"/>
    <w:rsid w:val="7FF07065"/>
    <w:rsid w:val="7FF97946"/>
    <w:rsid w:val="7FFE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1 </a:t>
            </a:r>
            <a:r>
              <a:rPr lang="zh-CN" altLang="en-US"/>
              <a:t>： </a:t>
            </a:r>
            <a:r>
              <a:rPr lang="en-US" altLang="zh-CN"/>
              <a:t>2023-2024</a:t>
            </a:r>
            <a:r>
              <a:rPr lang="zh-CN" altLang="en-US"/>
              <a:t>年收支总计对比图（万元）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90.1</c:v>
                </c:pt>
                <c:pt idx="1">
                  <c:v>104.71</c:v>
                </c:pt>
              </c:numCache>
            </c:numRef>
          </c:val>
        </c:ser>
        <c:dLbls>
          <c:showLegendKey val="0"/>
          <c:showVal val="1"/>
          <c:showCatName val="0"/>
          <c:showSerName val="0"/>
          <c:showPercent val="0"/>
          <c:showBubbleSize val="0"/>
        </c:dLbls>
        <c:gapWidth val="246"/>
        <c:overlap val="-28"/>
        <c:axId val="817088452"/>
        <c:axId val="587069473"/>
      </c:barChart>
      <c:catAx>
        <c:axId val="8170884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069473"/>
        <c:crosses val="autoZero"/>
        <c:auto val="1"/>
        <c:lblAlgn val="ctr"/>
        <c:lblOffset val="100"/>
        <c:noMultiLvlLbl val="0"/>
      </c:catAx>
      <c:valAx>
        <c:axId val="58706947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70884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2 </a:t>
            </a:r>
            <a:r>
              <a:rPr lang="zh-CN" altLang="en-US"/>
              <a:t>：收入决算构成情况图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manualLayout>
                  <c:x val="0.320125539403024"/>
                  <c:y val="0.72690713982147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08045516407558"/>
                  <c:y val="0.63914683382912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405411836540074"/>
                  <c:y val="0.171855078623054"/>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37059073523162"/>
                    </c:manualLayout>
                  </c15:layout>
                </c:ext>
              </c:extLst>
            </c:dLbl>
            <c:dLbl>
              <c:idx val="3"/>
              <c:layout>
                <c:manualLayout>
                  <c:x val="-0.286905148238858"/>
                  <c:y val="0.270250743731381"/>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709732256694"/>
                    </c:manualLayout>
                  </c15:layout>
                </c:ext>
              </c:extLst>
            </c:dLbl>
            <c:dLbl>
              <c:idx val="4"/>
              <c:layout>
                <c:manualLayout>
                  <c:x val="-0.298985360795255"/>
                  <c:y val="0.4491606459838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211403720706"/>
                      <c:h val="0.154908627284318"/>
                    </c:manualLayout>
                  </c15:layout>
                </c:ext>
              </c:extLst>
            </c:dLbl>
            <c:dLbl>
              <c:idx val="5"/>
              <c:layout>
                <c:manualLayout>
                  <c:x val="-0.288475575878384"/>
                  <c:y val="0.124165958351015"/>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922226944326"/>
                    </c:manualLayout>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1"/>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1047147.46</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zh-CN" altLang="en-US" b="1"/>
              <a:t>图 </a:t>
            </a:r>
            <a:r>
              <a:rPr lang="en-US" altLang="zh-CN" b="1"/>
              <a:t>3 </a:t>
            </a:r>
            <a:r>
              <a:rPr lang="zh-CN" altLang="en-US" b="1"/>
              <a:t>：支出决算构成情况图</a:t>
            </a:r>
            <a:endParaRPr lang="zh-CN" altLang="en-US" b="1"/>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346218893452525"/>
                  <c:y val="0.7154696132596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57095916888137"/>
                  <c:y val="0.097938376540627"/>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92703551582508"/>
                  <c:y val="0.26689332766680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315235684561946"/>
                  <c:y val="0.468316617084613"/>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73558967655045"/>
                  <c:y val="0.71821036974079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804856.86</c:v>
                </c:pt>
                <c:pt idx="1">
                  <c:v>242290.6</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4 </a:t>
            </a:r>
            <a:r>
              <a:rPr lang="zh-CN" altLang="en-US"/>
              <a:t>：</a:t>
            </a:r>
            <a:r>
              <a:rPr lang="en-US" altLang="zh-CN"/>
              <a:t>2023-2024</a:t>
            </a:r>
            <a:r>
              <a:rPr lang="zh-CN" altLang="en-US"/>
              <a:t>年财政拨款收支对比图（万元）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90.1</c:v>
                </c:pt>
                <c:pt idx="1">
                  <c:v>90.1</c:v>
                </c:pt>
                <c:pt idx="2">
                  <c:v>90.1</c:v>
                </c:pt>
                <c:pt idx="3">
                  <c:v>90.1</c:v>
                </c:pt>
                <c:pt idx="4">
                  <c:v>0</c:v>
                </c:pt>
                <c:pt idx="5">
                  <c:v>0</c:v>
                </c:pt>
                <c:pt idx="6">
                  <c:v>0</c:v>
                </c:pt>
                <c:pt idx="7">
                  <c:v>0</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104.71</c:v>
                </c:pt>
                <c:pt idx="1">
                  <c:v>104.71</c:v>
                </c:pt>
                <c:pt idx="2">
                  <c:v>104.71</c:v>
                </c:pt>
                <c:pt idx="3">
                  <c:v>104.71</c:v>
                </c:pt>
                <c:pt idx="4">
                  <c:v>0</c:v>
                </c:pt>
                <c:pt idx="5">
                  <c:v>0</c:v>
                </c:pt>
                <c:pt idx="6">
                  <c:v>0</c:v>
                </c:pt>
                <c:pt idx="7">
                  <c:v>0</c:v>
                </c:pt>
              </c:numCache>
            </c:numRef>
          </c:val>
        </c:ser>
        <c:dLbls>
          <c:showLegendKey val="0"/>
          <c:showVal val="1"/>
          <c:showCatName val="0"/>
          <c:showSerName val="0"/>
          <c:showPercent val="0"/>
          <c:showBubbleSize val="0"/>
        </c:dLbls>
        <c:gapWidth val="246"/>
        <c:overlap val="-28"/>
        <c:axId val="40225855"/>
        <c:axId val="660958640"/>
      </c:barChart>
      <c:catAx>
        <c:axId val="40225855"/>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0958640"/>
        <c:crosses val="autoZero"/>
        <c:auto val="1"/>
        <c:lblAlgn val="ctr"/>
        <c:lblOffset val="100"/>
        <c:noMultiLvlLbl val="0"/>
      </c:catAx>
      <c:valAx>
        <c:axId val="66095864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2258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5 :</a:t>
            </a:r>
            <a:r>
              <a:rPr lang="zh-CN" altLang="en-US"/>
              <a:t>财政拨款收支预算对比图（万元）</a:t>
            </a:r>
            <a:endParaRPr lang="zh-CN" altLang="en-US"/>
          </a:p>
        </c:rich>
      </c:tx>
      <c:layout/>
      <c:overlay val="0"/>
      <c:spPr>
        <a:noFill/>
        <a:ln>
          <a:noFill/>
        </a:ln>
        <a:effectLst/>
      </c:spPr>
    </c:title>
    <c:autoTitleDeleted val="0"/>
    <c:plotArea>
      <c:layout>
        <c:manualLayout>
          <c:layoutTarget val="inner"/>
          <c:xMode val="edge"/>
          <c:yMode val="edge"/>
          <c:x val="0.17641942498188"/>
          <c:y val="0.160433489162771"/>
          <c:w val="0.795796086011114"/>
          <c:h val="0.474330641733957"/>
        </c:manualLayout>
      </c:layout>
      <c:barChart>
        <c:barDir val="col"/>
        <c:grouping val="clustered"/>
        <c:varyColors val="0"/>
        <c:ser>
          <c:idx val="0"/>
          <c:order val="0"/>
          <c:tx>
            <c:strRef>
              <c:f>Sheet1!$B$1</c:f>
              <c:strCache>
                <c:ptCount val="1"/>
                <c:pt idx="0">
                  <c:v>年初预算数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80.52</c:v>
                </c:pt>
                <c:pt idx="1">
                  <c:v>80.52</c:v>
                </c:pt>
                <c:pt idx="2">
                  <c:v>80.52</c:v>
                </c:pt>
                <c:pt idx="3">
                  <c:v>80.52</c:v>
                </c:pt>
                <c:pt idx="4">
                  <c:v>0</c:v>
                </c:pt>
                <c:pt idx="5">
                  <c:v>0</c:v>
                </c:pt>
                <c:pt idx="6">
                  <c:v>0</c:v>
                </c:pt>
                <c:pt idx="7">
                  <c:v>0</c:v>
                </c:pt>
              </c:numCache>
            </c:numRef>
          </c:val>
        </c:ser>
        <c:ser>
          <c:idx val="1"/>
          <c:order val="1"/>
          <c:tx>
            <c:strRef>
              <c:f>Sheet1!$C$1</c:f>
              <c:strCache>
                <c:ptCount val="1"/>
                <c:pt idx="0">
                  <c:v>决算数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104.71</c:v>
                </c:pt>
                <c:pt idx="1">
                  <c:v>104.71</c:v>
                </c:pt>
                <c:pt idx="2">
                  <c:v>104.71</c:v>
                </c:pt>
                <c:pt idx="3">
                  <c:v>104.71</c:v>
                </c:pt>
                <c:pt idx="4">
                  <c:v>0</c:v>
                </c:pt>
                <c:pt idx="5">
                  <c:v>0</c:v>
                </c:pt>
                <c:pt idx="6">
                  <c:v>0</c:v>
                </c:pt>
                <c:pt idx="7">
                  <c:v>0</c:v>
                </c:pt>
              </c:numCache>
            </c:numRef>
          </c:val>
        </c:ser>
        <c:dLbls>
          <c:showLegendKey val="0"/>
          <c:showVal val="1"/>
          <c:showCatName val="0"/>
          <c:showSerName val="0"/>
          <c:showPercent val="0"/>
          <c:showBubbleSize val="0"/>
        </c:dLbls>
        <c:gapWidth val="150"/>
        <c:axId val="136214206"/>
        <c:axId val="897256872"/>
      </c:barChart>
      <c:catAx>
        <c:axId val="13621420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7256872"/>
        <c:crosses val="autoZero"/>
        <c:auto val="1"/>
        <c:lblAlgn val="ctr"/>
        <c:lblOffset val="100"/>
        <c:noMultiLvlLbl val="0"/>
      </c:catAx>
      <c:valAx>
        <c:axId val="89725687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621420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图</a:t>
            </a:r>
            <a:r>
              <a:rPr lang="en-US" altLang="zh-CN"/>
              <a:t>6  : </a:t>
            </a:r>
            <a:r>
              <a:rPr lang="zh-CN" altLang="en-US"/>
              <a:t>财政拨款支出决算构成情况图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Pt>
            <c:idx val="11"/>
            <c:bubble3D val="0"/>
            <c:spPr>
              <a:solidFill>
                <a:schemeClr val="accent6">
                  <a:lumMod val="60000"/>
                </a:schemeClr>
              </a:solidFill>
              <a:ln>
                <a:solidFill>
                  <a:schemeClr val="bg1"/>
                </a:solidFill>
              </a:ln>
              <a:effectLst/>
            </c:spPr>
          </c:dPt>
          <c:dPt>
            <c:idx val="12"/>
            <c:bubble3D val="0"/>
            <c:spPr>
              <a:solidFill>
                <a:schemeClr val="accent1">
                  <a:lumMod val="80000"/>
                  <a:lumOff val="20000"/>
                </a:schemeClr>
              </a:solidFill>
              <a:ln>
                <a:solidFill>
                  <a:schemeClr val="bg1"/>
                </a:solidFill>
              </a:ln>
              <a:effectLst/>
            </c:spPr>
          </c:dPt>
          <c:dPt>
            <c:idx val="13"/>
            <c:bubble3D val="0"/>
            <c:spPr>
              <a:solidFill>
                <a:schemeClr val="accent2">
                  <a:lumMod val="80000"/>
                  <a:lumOff val="20000"/>
                </a:schemeClr>
              </a:solidFill>
              <a:ln>
                <a:solidFill>
                  <a:schemeClr val="bg1"/>
                </a:solidFill>
              </a:ln>
              <a:effectLst/>
            </c:spPr>
          </c:dPt>
          <c:dPt>
            <c:idx val="14"/>
            <c:bubble3D val="0"/>
            <c:spPr>
              <a:solidFill>
                <a:schemeClr val="accent3">
                  <a:lumMod val="80000"/>
                  <a:lumOff val="20000"/>
                </a:schemeClr>
              </a:solidFill>
              <a:ln>
                <a:solidFill>
                  <a:schemeClr val="bg1"/>
                </a:solidFill>
              </a:ln>
              <a:effectLst/>
            </c:spPr>
          </c:dPt>
          <c:dPt>
            <c:idx val="15"/>
            <c:bubble3D val="0"/>
            <c:spPr>
              <a:solidFill>
                <a:schemeClr val="accent4">
                  <a:lumMod val="80000"/>
                  <a:lumOff val="20000"/>
                </a:schemeClr>
              </a:solidFill>
              <a:ln>
                <a:solidFill>
                  <a:schemeClr val="bg1"/>
                </a:solidFill>
              </a:ln>
              <a:effectLst/>
            </c:spPr>
          </c:dPt>
          <c:dPt>
            <c:idx val="16"/>
            <c:bubble3D val="0"/>
            <c:spPr>
              <a:solidFill>
                <a:schemeClr val="accent5">
                  <a:lumMod val="80000"/>
                  <a:lumOff val="20000"/>
                </a:schemeClr>
              </a:solidFill>
              <a:ln>
                <a:solidFill>
                  <a:schemeClr val="bg1"/>
                </a:solidFill>
              </a:ln>
              <a:effectLst/>
            </c:spPr>
          </c:dPt>
          <c:dPt>
            <c:idx val="17"/>
            <c:bubble3D val="0"/>
            <c:spPr>
              <a:solidFill>
                <a:schemeClr val="accent6">
                  <a:lumMod val="80000"/>
                  <a:lumOff val="20000"/>
                </a:schemeClr>
              </a:solidFill>
              <a:ln>
                <a:solidFill>
                  <a:schemeClr val="bg1"/>
                </a:solidFill>
              </a:ln>
              <a:effectLst/>
            </c:spPr>
          </c:dPt>
          <c:dPt>
            <c:idx val="18"/>
            <c:bubble3D val="0"/>
            <c:spPr>
              <a:solidFill>
                <a:schemeClr val="accent1">
                  <a:lumMod val="80000"/>
                </a:schemeClr>
              </a:solidFill>
              <a:ln>
                <a:solidFill>
                  <a:schemeClr val="bg1"/>
                </a:solidFill>
              </a:ln>
              <a:effectLst/>
            </c:spPr>
          </c:dPt>
          <c:dPt>
            <c:idx val="19"/>
            <c:bubble3D val="0"/>
            <c:spPr>
              <a:solidFill>
                <a:schemeClr val="accent2">
                  <a:lumMod val="80000"/>
                </a:schemeClr>
              </a:solidFill>
              <a:ln>
                <a:solidFill>
                  <a:schemeClr val="bg1"/>
                </a:solidFill>
              </a:ln>
              <a:effectLst/>
            </c:spPr>
          </c:dPt>
          <c:dPt>
            <c:idx val="20"/>
            <c:bubble3D val="0"/>
            <c:spPr>
              <a:solidFill>
                <a:schemeClr val="accent3">
                  <a:lumMod val="80000"/>
                </a:schemeClr>
              </a:solidFill>
              <a:ln>
                <a:solidFill>
                  <a:schemeClr val="bg1"/>
                </a:solidFill>
              </a:ln>
              <a:effectLst/>
            </c:spPr>
          </c:dPt>
          <c:dPt>
            <c:idx val="21"/>
            <c:bubble3D val="0"/>
            <c:spPr>
              <a:solidFill>
                <a:schemeClr val="accent4">
                  <a:lumMod val="80000"/>
                </a:schemeClr>
              </a:solidFill>
              <a:ln>
                <a:solidFill>
                  <a:schemeClr val="bg1"/>
                </a:solidFill>
              </a:ln>
              <a:effectLst/>
            </c:spPr>
          </c:dPt>
          <c:dPt>
            <c:idx val="22"/>
            <c:bubble3D val="0"/>
            <c:spPr>
              <a:solidFill>
                <a:schemeClr val="accent5">
                  <a:lumMod val="80000"/>
                </a:schemeClr>
              </a:solidFill>
              <a:ln>
                <a:solidFill>
                  <a:schemeClr val="bg1"/>
                </a:solidFill>
              </a:ln>
              <a:effectLst/>
            </c:spPr>
          </c:dPt>
          <c:dPt>
            <c:idx val="23"/>
            <c:bubble3D val="0"/>
            <c:spPr>
              <a:solidFill>
                <a:schemeClr val="accent6">
                  <a:lumMod val="80000"/>
                </a:schemeClr>
              </a:solidFill>
              <a:ln>
                <a:solidFill>
                  <a:schemeClr val="bg1"/>
                </a:solidFill>
              </a:ln>
              <a:effectLst/>
            </c:spPr>
          </c:dPt>
          <c:dPt>
            <c:idx val="24"/>
            <c:bubble3D val="0"/>
            <c:spPr>
              <a:solidFill>
                <a:schemeClr val="accent1">
                  <a:lumMod val="60000"/>
                  <a:lumOff val="40000"/>
                </a:schemeClr>
              </a:solidFill>
              <a:ln>
                <a:solidFill>
                  <a:schemeClr val="bg1"/>
                </a:solidFill>
              </a:ln>
              <a:effectLst/>
            </c:spPr>
          </c:dPt>
          <c:dPt>
            <c:idx val="25"/>
            <c:bubble3D val="0"/>
            <c:spPr>
              <a:solidFill>
                <a:schemeClr val="accent2">
                  <a:lumMod val="60000"/>
                  <a:lumOff val="40000"/>
                </a:schemeClr>
              </a:solidFill>
              <a:ln>
                <a:solidFill>
                  <a:schemeClr val="bg1"/>
                </a:solidFill>
              </a:ln>
              <a:effectLst/>
            </c:spPr>
          </c:dPt>
          <c:dLbls>
            <c:delete val="1"/>
          </c:dLbls>
          <c:cat>
            <c:strRef>
              <c:f>Sheet1!$A$2:$A$27</c:f>
              <c:strCache>
                <c:ptCount val="26"/>
                <c:pt idx="0">
                  <c:v>一般公共服务支出</c:v>
                </c:pt>
                <c:pt idx="1">
                  <c:v>外交支出</c:v>
                </c:pt>
                <c:pt idx="2">
                  <c:v>国防支出</c:v>
                </c:pt>
                <c:pt idx="3">
                  <c:v>公共安全支出</c:v>
                </c:pt>
                <c:pt idx="4">
                  <c:v>教育支出</c:v>
                </c:pt>
                <c:pt idx="5">
                  <c:v>科学技术支出</c:v>
                </c:pt>
                <c:pt idx="6">
                  <c:v>文化旅游体育与传媒支出</c:v>
                </c:pt>
                <c:pt idx="7">
                  <c:v>社会保障和就业支出</c:v>
                </c:pt>
                <c:pt idx="8">
                  <c:v>卫生健康支出</c:v>
                </c:pt>
                <c:pt idx="9">
                  <c:v>节能环保支出</c:v>
                </c:pt>
                <c:pt idx="10">
                  <c:v>城乡社区支出</c:v>
                </c:pt>
                <c:pt idx="11">
                  <c:v>农林水支出</c:v>
                </c:pt>
                <c:pt idx="12">
                  <c:v>交通运输支出</c:v>
                </c:pt>
                <c:pt idx="13">
                  <c:v>资源勘探工业信息等支出</c:v>
                </c:pt>
                <c:pt idx="14">
                  <c:v>商业服务业等支出</c:v>
                </c:pt>
                <c:pt idx="15">
                  <c:v>金融支出</c:v>
                </c:pt>
                <c:pt idx="16">
                  <c:v>援助其他地区支出</c:v>
                </c:pt>
                <c:pt idx="17">
                  <c:v>自然资源海洋气象等支出</c:v>
                </c:pt>
                <c:pt idx="18">
                  <c:v>住房保障支出</c:v>
                </c:pt>
                <c:pt idx="19">
                  <c:v>粮油物资储备支出</c:v>
                </c:pt>
                <c:pt idx="20">
                  <c:v>国有资本经营预算支出</c:v>
                </c:pt>
                <c:pt idx="21">
                  <c:v>灾害防治及应急管理支出</c:v>
                </c:pt>
                <c:pt idx="22">
                  <c:v>其他支出</c:v>
                </c:pt>
                <c:pt idx="23">
                  <c:v>债务还本支出</c:v>
                </c:pt>
                <c:pt idx="24">
                  <c:v>债务付息支出</c:v>
                </c:pt>
                <c:pt idx="25">
                  <c:v>抗疫特别国债安排的支出</c:v>
                </c:pt>
              </c:strCache>
            </c:strRef>
          </c:cat>
          <c:val>
            <c:numRef>
              <c:f>Sheet1!$B$2:$B$27</c:f>
              <c:numCache>
                <c:formatCode>General</c:formatCode>
                <c:ptCount val="26"/>
                <c:pt idx="0">
                  <c:v>46.87</c:v>
                </c:pt>
                <c:pt idx="1">
                  <c:v>0</c:v>
                </c:pt>
                <c:pt idx="2">
                  <c:v>0</c:v>
                </c:pt>
                <c:pt idx="3">
                  <c:v>0</c:v>
                </c:pt>
                <c:pt idx="4">
                  <c:v>0</c:v>
                </c:pt>
                <c:pt idx="5">
                  <c:v>0</c:v>
                </c:pt>
                <c:pt idx="6">
                  <c:v>0</c:v>
                </c:pt>
                <c:pt idx="7">
                  <c:v>50.7</c:v>
                </c:pt>
                <c:pt idx="8">
                  <c:v>2.59</c:v>
                </c:pt>
                <c:pt idx="9">
                  <c:v>0</c:v>
                </c:pt>
                <c:pt idx="10">
                  <c:v>0</c:v>
                </c:pt>
                <c:pt idx="11">
                  <c:v>0</c:v>
                </c:pt>
                <c:pt idx="12">
                  <c:v>0</c:v>
                </c:pt>
                <c:pt idx="13">
                  <c:v>0</c:v>
                </c:pt>
                <c:pt idx="14">
                  <c:v>0</c:v>
                </c:pt>
                <c:pt idx="15">
                  <c:v>0</c:v>
                </c:pt>
                <c:pt idx="16">
                  <c:v>0</c:v>
                </c:pt>
                <c:pt idx="17">
                  <c:v>0</c:v>
                </c:pt>
                <c:pt idx="18">
                  <c:v>4.56</c:v>
                </c:pt>
                <c:pt idx="19">
                  <c:v>0</c:v>
                </c:pt>
                <c:pt idx="20">
                  <c:v>0</c:v>
                </c:pt>
                <c:pt idx="21">
                  <c:v>0</c:v>
                </c:pt>
                <c:pt idx="22">
                  <c:v>0</c:v>
                </c:pt>
                <c:pt idx="23">
                  <c:v>0</c:v>
                </c:pt>
                <c:pt idx="24">
                  <c:v>0</c:v>
                </c:pt>
                <c:pt idx="2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tags>
    <s:tag s:spid="_x0000_s1026">
      <s:item s:name="KSO_DOCER_RESOURCE_TRACE_INFO" s:val="{&quot;id&quot;:&quot;&quot;,&quot;origin&quot;:0,&quot;type&quot;:&quot;wordart&quot;,&quot;user&quot;:&quot;292216292&quot;}"/>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25</Pages>
  <Words>611</Words>
  <Characters>2169</Characters>
  <Lines>86</Lines>
  <Paragraphs>24</Paragraphs>
  <TotalTime>31</TotalTime>
  <ScaleCrop>false</ScaleCrop>
  <LinksUpToDate>false</LinksUpToDate>
  <CharactersWithSpaces>2170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2023-08-04T07:55:00Z</dcterms:created>
  <dc:creator>王明新TIAD</dc:creator>
  <cp:lastModifiedBy>Administrator</cp:lastModifiedBy>
  <cp:lastPrinted>2023-08-04T01:00:00Z</cp:lastPrinted>
  <dcterms:modified xsi:type="dcterms:W3CDTF">2025-09-18T09:18:00Z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D3CB2AB5540A47438BEE835246B969AB_13</vt:lpwstr>
  </property>
  <property fmtid="{D5CDD505-2E9C-101B-9397-08002B2CF9AE}" pid="4" name="KSOTemplateUUID">
    <vt:lpwstr>v1.0_mb_S7ajbG3IpAnL1wSthNCxfw==</vt:lpwstr>
  </property>
  <property fmtid="{D5CDD505-2E9C-101B-9397-08002B2CF9AE}" pid="5" name="KSOTemplateDocerSaveRecord">
    <vt:lpwstr>eyJoZGlkIjoiYjA3YzVjY2RhYzM1OWI4MmYzZjdlYWUzZWM2YTQyNTYiLCJ1c2VySWQiOiIxNTIwMzY1OTkzIn0=</vt:lpwstr>
  </property>
</Properties>
</file>