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350</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：宁晋县科技和工业信息化局</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宁晋县科技和工业信息化局</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宁晋县科技和工业信息化局(单位名称，加盖公章）</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部门概况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部门概况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(一)主要职能。 1、贯彻落实创新驱动发展战略方针，拟定科技发展、引进国外智力规划和政策并组织实施，起草有关科技方面的规范性文件。 2、统筹推进全县创新体系建设和科学体制改革，会同有管部门健全技术创新激励机制，优化科研体系建设，指导科研改革发展，推动企业科技创新能力建设，承担推进科技军民融合发展相关工作，推进县重大科技决策咨询制度建设，拟定科学普及和科学传播规划、政策。 3、牵头建立统一的县级科技管理平台和科研项目资金协调、评估、监管机制。会同有关部门提出优化配置科技资源的政策措施建议，推动多元化科技投入体系建设，协调管理县级财政科技计划（专项、基金等）并监督实施。 4、拟订重大科技创新基地建设规划并监督实施，推动科研条件保障、科技平台建设和科技资源开放共享。拟订基础研究规划、政策并组织实施，组织协调县重大基础研究和应用基础研究。 5、编制县科技项目规划并监督实施，统筹关键共性技术、前沿引领技术、现代工程技术、颠覆性技术研发和创新，牵头组织重大技术攻关和成果应用示范。 6、组织拟订高新技术发展及产业化、科技促进农业农村和社会发展的规划、政策和措施。组织开展重点领域技术发展需求分析，提出重大任务并监督实施。指导高新技术产业开发区、农业科技园区等科技园区建设。 7、牵头技术转移体系建设，拟订科技成果转移转化和促进产学研结合的相关政策措施并监督实施。指导科技服务业、技术市场和科技中介组织发展。 8、统筹区域科技创新体系建设，指导区域创新发展、科技资源合理布局和协同创新能力建设。” 9、负责科技监督评价体系建设和相关科技评估管理，指导科技评价机制改革，统筹科研诚信建设。组织实施创新调查和科技报告制度，指导全县科技保密工作。 10、拟订国际科技合作与创新能力开放合作的规划、政策和措施，组织开展国际科技合作交流。指导相关部门和乡镇区、街道对外科技合作交流工作,组织科技援外和科技援宁相关事宜 11、负责引进国外智力工作。拟订县重点引进外国专家总体规划、计划并组织实施，建立外国高层次人才吸引集聚机制和重点外国专家联系服务机制。拟订出国(境)培训总体规划、政策和年度计划并监督实施。 12、会同有关部门拟订科技人才队伍建设规划和政策，建立健全科技人才评价和激励机制，组织实施科技人才计划，推动高端科技创新人才队伍建设。 13、负责科学技术奖励相关工作。 14、提出全县新型工业化发展战略和政策，协调解决新 型工业化进程中的重大问题，拟订并组织实施全县工业的发展规 划，推进产业结构战略性调整和优化升级，推进信息化和工业化融合。 15、制定并组织实施全县工业行业规划、计划和产业政策，提出优化产业布局、结构的政策建议，推进现代产业体系建设，起草地方性管理办法，组织实施行业技术规范和标准，指导行业质量管理工作。 16、监测分析全县工业运行态势，统计并发布相关信息，进行预测预警和信息引导;协调解决行业运行发展中的有关问题并提出政策建议;负责工业用电监测;负责工业应急管理、产业安全有关工作。 17、负责提出全县工业固定资产投资规模和方向(含利用外资和境外投资)，国家、省、市、县财政性建设资金安排的意见，按照规定权限，审批、核准、备案县规划内和年度计划规模内工业固定资产投资项目,负责工业企业技术改造投资项目核准、备案工作，并对上述工业固定资产投资项目招投标活动实施监督。 18、负责对中小企业和民营经济促进工作进行指导、综合协调和监督检查，会同有关部门拟订促进中小企业发展和民营经济发展的相关政策和措施并组织实施,协调解决有关重大问题。 19、贯彻落实国家政策和标准，拟订高新技术产业中涉及生物医药、新材料、信息产业等规划并组织实施;指导行业技术创新和技术进步，以先进适用技术改造提升传统产业;推进实施有关国家、省、市、县科技重大专项，推进相关科研成果产业化，推动全县软件业、信息服务业和新兴产业发展。 20、负责全县振兴装备制造业的组织协调，贯彻执行国 家重大技术装备发展和自主创新规划、政策，依托国家、省、市、县重点工程建设协调有关重大专项的实施,推进重大技术装备国产化，指导引进重大技术装备的消化创新。 21、拟订并组织实施全县工业能源节约和资源综合利用促进政策，参与拟订能源节约和资源综合利用促进规划，组织协调相关重大示范工程和新产品、新技术、新设备、新材料的推广应用。 22、推进全县工业体制改革和管理创新，提高行业综合素质和核心竞争力，指导工业行业加强安全生产管理，负责民爆行业生产流通的监督管理和安全生产工作。 23、开展工业、中小企业的对外合作与交流。 24、承担履行《禁止化学武器公约》的组织协调工作 25、承担盐业行业管理工作。 26、负责所属企业的管理和稳定工作。 27、完成县委、县政府交办的其他任务。 （二） 县科技和工业信息化局设下列内设机构: 1、办公室。协调机关政务工作;负责文电、会务、档案等机关日常运转工作;承担信息、保密机要、督查督办、信访、安全、后勤保障等工作;承办人大代表建议、政协提案;承担政务公开、宣传报道、新闻发布等工作;承担机关和所属事业单位的人事、机构编制工作;组织开展培训教育工作。负责机关和所属单位的党建和离退休干部工作。负责机关规范性文件合法性审核。 2、科技创新股。负责科技创新综合工作，拟订科技创新发展战略、规划并协调实施。组织开展技术预测，承担重大科技决策咨询制度运行相关工作。协调推进京津冀协同创新。实施创新调查制度，承担科技统计相关工作。承担宁晋县科技创新工作领导小组办公室具体工作。承担科技监督评价体系建设和科技评估管理相关工作，提出科技评价机制改革的政策措施建议并监督实施。组织县级科技计划(专项、基金)的绩效评价。统筹开展对重大科技规划和科技政策落实、项目和经费管理、专业机构履职、平台基地建设、科技奖励评审等监督检查。承担科研诚信建设工作。承担推进创新体系建设和科技体制改革工作，拟订科技创新政策措施。组织起草有关科技方面的规范性文件，开展普法宣传，提出激励企业技术创新的政策建议。拟订科研机构改革发展与布局的规划并监督实施，组织开展科研机构创新绩效管理。统筹推进科普、软科学工作。承担科技军民融合发展、科技安全和科技保密相关工作。承担区域科技创新体系建设工作，研究提出促进区域科技创新发展的相关政策措施建议。组织县域创新驱动发展工作，负责推进创新型县建设相关工作。指导科技成果转移转化示范区建设，负责重点目标任务的督导落实。负责科技会商相关工作。承担建立县级科技管理平台和科研项目资金协调、评估、监管机制相关工作，协调提出科技资源合理配置的政策措施建议，承担县科技计划(专项、基金等)协调管理工作。提出年度科技计划的总体设计、专项布局和经费预算建议。牵头组织县级科技计划项目申报指南编制、项目评审，指导项目管理专业机构建设，实施科技报告制度。建设管理县科技管理信息系统和科技专家库。拟订全县促进科技与金融结合的政策措施并组织实施。编制本部门经费预决算并监督预算执行。承担宁晋县国防科技动员办公室日常工作。承接国家、省、市科技重大专项在宁晋实施相关工作。承担重点实验室、技术创新中心、产业技术研究院、新型研发机构等重大科技创新基地建设及相关工作，拟定科研条件保障规划政策并监督实施。指导全县基础研究工作。组织推动科研基础性工作，推进重大科研基础设施、大型科研仪器、科学数据、生物资源等科技资源开放共享，组织实施科技基础资源调查。拟订相关领域高新技术发展及产业化的规划和政策，组织开展相关领域技术发展需求分析，提出重大任务并监督实施推动重大关键技术攻关。指导科技型中小企业创新发展。组织高新技术企业认定的申报、推荐工作，指导高新技术产业开发区建设。推动高新技术产业化相关技术服务体系建设、科技服务业和科技中介组织发展。拟订社会发展领域科技创新的规划和政策，组织开展相关领域技术发展需求分析，提出重大任务并监督实施，推动重大关键技术攻关。促进生物技术发展及产业化，推动绿色技术创新，协调科技应对气候变化工作。拟订科技促进农业农村发展的规划和政策，组织开展相关领域技术发展需求分析，提出重大任务并监督实施，推动重大关键技术攻关。指导农村科技进步和农业科技园区工作，推动科技扶贫工作和农村科技社会化服务体系建设。拟订引进国外智力规划和政策并组织实施。落实外国专家管理办法，承担重点外国专家服务工作。组织实施引进外国智力项目。组织在国(境)内外开展国际人才交流活动。负责与外国官方机构及其他组织建立人才交流与合作关系,负责引智工作站建设相关工作。承办出国(境)培训工作，拟订出国(境)培训规划、政策和年度计划并组织实施。负责“燕赵友谊奖”、“外专百人计划”相关工作。按照有关分类规定，管理、审核、发放外国人来华工作许可证。拟定国际、国内科技合作与交流及创新能力开放合作的规划、政策和措施并推动落实，组织开展相关领域国际、国内科技合作需求分析，研究提出重大任务并监督实施。指导相关部门和乡镇区、街道对外科技合作与交流工作。组织科技援外和科技援宁相关事宜。承办涉港澳台的科技合作与交流有关工作。拟定科技奖励政策和办法并组织实施，承担科学技术奖励相关工作。提出促进科技成果转移转化、促进产学研深度融合、科技知识产权创造相关政策措施建议。拟订科技成果管理相关政策措施建议，指导、监督科技成果评价，提出重大科技成果转化任务并监督实施。承担技术转移体系工作，拟订促进技术市场发展政策，指导技术市场规范和发展。拟定全县科技人才队伍建设的政策措施并组织实施,负责组织科技管理干部培训工作。负责组织院士联谊工作。 3、规划发展股.围绕宁晋县工业转型升级和高质量发展综合分析研究全县新型工业化的发展战略，提出政策措施建议;组织拟订全县工业产业政策并监督执行，提出推进产业结构调整产业聚集、工业与相关产业融合发展及管理创新的政策建议;负责工</w:t>
      </w:r>
      <w:r>
        <w:rPr>
          <w:rFonts w:ascii="Times New Roman" w:eastAsia="仿宋_GB2312"/>
          <w:b w:val="0"/>
          <w:sz w:val="32"/>
          <w:szCs w:val="32"/>
        </w:rPr>
        <w:t>业政策研究软课题管理;承担重要文件和综合性文稿起草工作。组织拟订全县工业发展战略、规划;负责组织工业企业技术改造投资项目核准、备案工作，推进全县现代产业体系建设;提出全县工业固定资产投资规模和方向(含利用外资和境外投资)国家、省、市、县财政性资金，经批准后实施。组织实施国家工业行业技术规范和标准，指导行业质量管理工作;推进实施有关国家、省、市科技重大专项，推动技术创新和产学研相结合;协调指导与制造业相关的生产性服务业发展，推进制造业商业模式创新和业态创新;承担促进全县工业设计发展相关工作，负责执订并组织实施工业设计发展规划及相关政策措施;提出工业文化遗产保护与利用、工业旅游的政策建议，促进工业文化发展。提出原材料工业重点技术改造项目贴息资金意见，承办需国家和省市、县平衡建设条件的原材料工业固定资产投资前期项目(含利用外资项目)的申报和审批工作;提出装备制造技术改造项目资金意见;提出消费品重点技术改造项目贴息资金意见，承办需国家和省、市、县平衡建设条件的消费品工业固定资产投资前期项目(含利用外资项目)的申报和审批工作。 4、工业管理股。负责指导中小企业促进工作，推进中小管理工作;研究拟订并组织实施消费品工业发展战略、规划;摄出消费品工业结构调整目标、产业布局意见。县级药品储备管理工作。编制全县食盐行业发展规划和产业政策，负责全县盐行业经济运行工作，并指导安全生产管理工作;完善食盐专营制度加强全县食盐生产批发企业资质管理和生产批发区域管理;牵头协调处置全县食盐供应紧急突发事件;会同相关部门建设全县食盐电子追溯体系;牵头工业盐生产、销售企业的管理工作;负责食盐定点生产企业、批发企业信用体系建设;负责盐业基建技改项目的审核、审批、检查、验收。 5、运行监测股。监测分析工业日常运行，分析全县工业运行态势和国内外工业形势，研究提出有关政策措施;统计并发布相关信息，进行预测预警和信息引导;协调解决行业运行发展中的有关问题;负责全县工业用电运行监测协调工作，指导工业用电需求侧管理工作;承担应急管理、产业安全相关工作。承担县政府减轻企业负担领导小组办公室日常工作。负责全县民营经济的宏观指导、综合协调和考核工作;会同有关部门拟订促进民营经济的发展规划并组织实施，协调解决相关问题，推动中小企业聚集发展;组织申报中小企业发展专项资金并组织实施;负责中小企业统计网络建设、运行监测和统计分析;承担县民营经济领导小组办公室的日常工作。拟订并组织实施全县工业能源节约和资源综合利用、促进政策，组织和指导工业节能装备(产品制造、企业节能管理;组织协调相关重大示范工程和新产品、新设备、新材料的推广应用;研究制定工业“三废”资源的综合利用政策及项目推广;指导推进工业绿色发展和绿色制造工作。承担电子信息产品制造行业管理工作，并指导安全生产管理工作:指导软件业发展;研究拟订电子信息产品制造业、软件和信息服务业发展战略、规划和重点专项规划;编制行业投资指南，承办需国家和省、市、县平衡建设条件的电子信息产品制造业、软件与信息服务业固定资产投资前期项目(含利用外资项目)的申报工作;提出电子信息产品制造业、软件与信息服务业专项资金安排建议;组织实施信息技术服务、系统集成及服务的技术规范和标准;指导协调信息安全技术、产品研发及产业化。统筹推进全县工业领域信息化发展;研究拟订信息化和工业化融合发展、规划、标准和政策措施;指导推进工业领域数字化、网络化、智能化;推动建立信息化和工业化融合绩效评估制度;统筹指导工业领域信息安全;研究拟订工业信息安全和信息安全产业发展战略、规划、政策和标准;指导做好重要工业领域工控系统信息安全保障工作。承担对外经济技术交流与合作、技术引进与有关事宜的综合协调工作;指导和推动工业企业、民营企业开展国际化经营和海外投资,协调解决外商投资工业企业运行过程中的有关问题。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宁晋县科技和工业信息化局(本级)</w:t>
            </w:r>
          </w:p>
        </w:tc>
        <w:tc>
          <w:tcPr>
            <w:tcW w:w="2445"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部门（单位）：宁晋县科技和工业信息化局</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476.14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部门（单位）：宁晋县科技和工业信息化局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1,370.03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1,370.03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政府办公厅（室）及相关机构事务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476.14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476.14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227.37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222.03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222.03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5.34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科技条件与服务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243.77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243.77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2060502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技术创新服务体系</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238.00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2060599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其他科技条件与服务支出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科学技术普及</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2060704</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学术交流活动</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79.31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79.31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69.96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69.96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42.52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42.52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就业补助</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2080705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公益性岗位补贴</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0.72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4.08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伤残抚恤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退役安置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2080905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军队转业干部安置</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13.17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资源勘探工业信息等支出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776.67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776.67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工业和信息产业监管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343.90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343.90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2150517</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产业发展</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343.90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343.90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21508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支持中小企业发展和管理支出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432.77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432.77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2150805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中小企业发展专项</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99.68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99.68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2150899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其他支持中小企业发展和管理支出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333.09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333.09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21.26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部门（单位）：宁晋县科技和工业信息化局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326.66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1,043.36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476.14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254.11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227.37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科技条件与服务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243.77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243.77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技术创新服务体系</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238.00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其他科技条件与服务支出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科学技术普及</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2060704</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学术交流活动</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79.31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71.64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69.96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69.96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就业补助</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2080705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公益性岗位补贴</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伤残抚恤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退役安置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2080905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军队转业干部安置</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13.17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资源勘探工业信息等支出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776.67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776.67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工业和信息产业监管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2150517</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产业发展</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支持中小企业发展和管理支出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432.77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432.77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中小企业发展专项</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2150899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其他支持中小企业发展和管理支出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333.09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333.09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部门（单位）：宁晋县科技和工业信息化局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3.48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476.14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476.14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79.31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79.31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13.17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13.17</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776.67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776.67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21.26</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21.26</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1,370.03</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8"/>
        <w:gridCol w:w="3405"/>
        <w:gridCol w:w="959"/>
        <w:gridCol w:w="520"/>
        <w:gridCol w:w="544"/>
        <w:gridCol w:w="37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编制部门（单位）：宁晋县科技和工业信息化局</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1,370.03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326.66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476.14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227.37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222.03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科技条件与服务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243.77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技术创新服务体系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238.00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2060599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其他科技条件与服务支出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科学技术普及</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2060704</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学术交流活动</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71.64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69.96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27.44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就业补助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2080705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公益性岗位补贴</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伤残抚恤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退役安置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2080905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军队转业干部安置</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11.73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资源勘探工业信息等支出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776.67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工业和信息产业监管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2150517</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产业发展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343.90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支持中小企业发展和管理支出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432.77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中小企业发展专项</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2150899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其他支持中小企业发展和管理支出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333.09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21.26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部门（单位）：宁晋县科技和工业信息化局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258.68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23.78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118.63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3.46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41.21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14.43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23.23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27.44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4.50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11.73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0.75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21.26</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44.20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0.62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42.52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3.68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7.00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302.88</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部门（单位）：宁晋县科技和工业信息化局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部门（单位）：宁晋县科技和工业信息化局</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部门（单位）：宁晋县科技和工业信息化局</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2.00</w:t>
            </w: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2.00</w:t>
            </w: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2.00</w:t>
            </w: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1.99</w:t>
            </w: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1.99</w:t>
            </w: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1.99</w:t>
            </w: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本部门2024年度收、支总计（含结转和结余）均为1,370.03万元。与2023年度决算相比，收支各减少1,625.89万元，下降54.3%，主要原因是项目支出减少。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1,370.03万元，其中：财政拨款收入1,370.03万元，占100.0%​；上级补助收入0.00万元，占0.0%；事业收入0.00万元，占0.0%；经营收入0.00万元，占0.0%；附属单位上缴收入0.00万元，占0.0%；其他收入0.00万元，占0.0%。</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本部门2024年度本年支出合计1,370.03万元，其中：基本支出326.66万元，占23.8%；项目支出1,043.36万元，占76.2%；上缴上级支出0.00万元，占0.0%；经营支出0.00万元，占0.0%；对附属单位补助支出0.00万元，占0.0%。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本部门2024年度财政拨款收、支总计（含结转和结余）均为1,370.03万元。与2023年度相比，财政拨款收支各减少1,625.89万元，降低54.3%，主要原因是项目支出减少。</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本部门2024年度财政拨款本年收入1,370.03万元,比上年减少1,625.89万元，降低54.3%，主要原因是项目支出减少；本年支出1,370.03万元，比上年减少1,625.89万元，降低54.3%，主要原因是项目支出减少。具体情况如下：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一般公共预算财政拨款本年收入1,370.03​​万元,比上年减少1,625.89万元，降低54.3%，主要原因是项目支出减少；本年支出1,370.03​​ 万元，比上年减少1,625.89万元，降低54.3%，主要原因是项目支出减少。</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政府性基金预算财政拨款本年收入0.00万元，比上年增加0.00万元，增长0.00%，主要原因是无政府性基金预算财政收入；本年支出0.00万元，比上年增加0.00万元，增长0.00%，主要原因是无政府性基金预算财政收入。</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无国有资本经营预算财政收入；本年支出0.00万元，比上年增加0.00万元，增长0.00%，主要原因是无国有资本经营预算财政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本部门2024年度财政拨款本年收入1,370.03万元，完成年初预算的59.3%，比年初预算减少940.19万元，决算数小于预算数主要原因是项目支出减少 ；本年支出1,370.03万元，完成年初预算的59.3%，比年初预算减少940.19万元，决算数小于预算数主要原因是项目支出减少 。具体情况如下：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一般公共预算财政拨款本年收入完成年初预算的63.4%，比年初预算减少790.19万元，主要原因是项目支出减少；支出完成年初预算的63.4%，比年初预算减少790.19万元，主要原因是项目支出减少。</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0.0%，比年初预算减少150.00万元，主要原因是无政府性基金预算财政收入；支出完成年初预算的0.0%，比年初预算减少150.00万元，主要原因是无政府性基金预算财政收入。</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 %，比年初预算增加0.00万元，主要原因是无国有资本经营预算财政收入；支出完成年初预算的0.0%，比年初预算增加0.00万元，主要原因是无国有资本经营预算财政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2024年度财政拨款支出1,370.03万元，主要用于以下方面：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3.48万元，占​0.3​%，主要用于保障部门正常运行等支出；外交（类）支出​​0.00万元，占0.0​​​%，主要用于无外交（类）等支出；国防（类）支出​0.00​万元，占​​0.0​%，主要用于无国防（类）等支出；公共安全类（类）支出​​0.00万元，占0.0​​%，主要用于无公共安全类（类）等支出；教育（类）支出​​0.00​万元，占0.0​​%，主要用于无教育（类）等支出；科学技术（类）支出​​476.14万元，占​​34.8​%，主要用于无科学技术（类）等支出；文化旅游体育与传媒（类）支出​​0.00万元，占0.0​​​%，主要用于无文化旅游体育与传媒（类）等支出；社会保障和就业 （类）支出79.31​​​万元，占​​5.8​%，主要用于人员工资及生活补贴（类）等支出；卫生健康（类）支出​​13.17万元，占​​1.0%，主要用于财政对职工基本医疗保险基金的补助等支出；节能环保（类）支出​​0.00​万元，占0.0​​%，主要用于无节能环保（类）等支出；城乡社区（类）支出0.00​​万元，占0.0​%，主要用于无城乡社区（类）等支出；农林水（类）支出0.00​万元，占​​0.0%，主要用于无农林水（类）等支出；交通运输（类）支出0.00​​​万元，占​​0.0​%，主要用于无交通运输（类）等支出；资源勘探信息等（类）支出​776.67​万元，占​​56.7%，主要用于用于企业的信息化管理补助等支出；商业服务业等（类）支出0.00​万元，占​​0.0​%，主要用于无商业服务业等（类）等支出；金融（类）支出​​0.00​万元，占0.0​​​%，主要用于无金融（类）等支出；援助其他地区（类）支出​​0.00​万元，占​​0.0​%，主要用于无援助其他地区（类）等支出；自然资源海洋气象等（类）支出0.00​​万元，占​​0.0%，主要用于无自然资源海洋气象等（类）等支出；住房保障（类）支出21.26​​​万元，占1.6​​​%，主要用于财政对职工住房公积金的补助等支出；粮油物资储备（类）支出​​0.00万元，占​​0.0​%，主要用于无粮油物资储备（类）等支出；国有资本经营预算支出​​0.00万元，占0.0​​%，主要用于无国有资本经营预算等支出；害防治及应急管理（类）支出0.00​万元，占0.0​%，主要用于无害防治及应急管理（类）等支出；其他（类）支出​0.00万元，占​0.0​%，主要用于无其他（类）等支出；债务还本（类）支出​​0.00万元，占0.0​​​%，主要用于无债务还本（类）等支出；债务付息（类）支出0.00​​万元，占0.0​%，主要用于无债务付息（类）等支出；抗疫特别国债安排的支出​​0.00万元，占​​0.0​%，主要用于无抗疫特别国债安排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政府性基金预算财政拨款等支出；外交（类）支出0.00​​​​万元，占0.0​​​​​​%，主要用于无政府性基金预算财政拨款等支出；国防（类）支出0.00​​​万元，占​​​​0.0​​%，主要用于无政府性基金预算财政拨款等支出；公共安全类（类）支出​​​​0.00万元，占0.0%，主要用于无政府性基金预算财政拨款等支出；教育（类）支出0.00​​​​​​万元，占​​0.0​​​​%，主要用于无政府性基金预算财政拨款等支出；科学技术（类）支出0.00​​​​​​万元，占​​​​0.0%，主要用于无政府性基金预算财政拨款等支出；文化旅游体育与传媒（类）支出​​​​0.00万元，占​​0.0​​​​%，主要用于无政府性基金预算财政拨款等支出；社会保障和就业 （类）支出​​​0.00万元，占​​​​0.0​​%，主要用于无政府性基金预算财政拨款等支出；卫生健康（类）支出​​​​​​0.00万元，占​​​​0.0​​%，主要用于无政府性基金预算财政拨款等支出；节能环保（类）支出0.00​​​​​​万元，占​​0.0​​​​%，主要用于无政府性基金预算财政拨款等支出；城乡社区（类）支出​​0.00万元，占0.0​​%，主要用于无政府性基金预算财政拨款等支出；农林水（类）支出​​0.00万元，占​​​​​0.0%，主要用于无政府性基金预算财政拨款等支出；交通运输（类）支出0.00​​​​​​万元，占0.0​​​​​​%，主要用于无政府性基金预算财政拨款等支出；资源勘探信息等（类）支出0.00​​​​​万元，占​​​​0.0%，主要用于无政府性基金预算财政拨款等支出；商业服务业等（类）支出0.00​​万元，占0.0​​​​%，主要用于无政府性基金预算财政拨款等支出；金融（类）支出​​​​0.00​​万元，占​​0.0​​​​%，主要用于无政府性基金预算财政拨款等支出；援助其他地区（类）支出​​​​0.00万元，占​​​​0.0​​%，主要用于无政府性基金预算财政拨款等支出；自然资源海洋气象等（类）支出​​0.00​​​​万元，占​​​​0.0%，主要用于无政府性基金预算财政拨款等支出；住房保障（类）支出​​0.00​​​​万元，占​​​​0.0​​%，主要用于无政府性基金预算财政拨款等支出；粮油物资储备（类）支出​​​​0.00万元，占0.0​​​​%，主要用于无政府性基金预算财政拨款等支出；国有资本经营预算支出​​​​0.00​​万元，占​​0.0%，主要用于无政府性基金预算财政拨款等支出；害防治及应急管理（类）支出​​0.00​​​万元，占0.0​​​​​%，主要用于无政府性基金预算财政拨款等支出；其他（类）支出​​​​0.00​​万元，占​​​0.0​​%，主要用于无政府性基金预算财政拨款等支出；债务还本（类）支出​​​​0.00​​万元，占0.0​​​​​​%，主要用于无政府性基金预算财政拨款等支出；债务付息（类）支出​​0.00​​​​万元，占​​​​0.0%，主要用于无政府性基金预算财政拨款等支出；抗疫特别国债安排的支出​​​​0.00万元，占​​​​0.00​​%，主要用于无政府性基金预算财政拨款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国有资本经营预算财政拨款等支出；外交（类）支出0.00​​​​​​​​​万元，占​​0.0​​​​​​​%，主要用于无国有资本经营预算财政拨款等支出；国防（类）支出0.00​​万元，占​​​​​​0.0%，主要用于无国有资本经营预算财政拨款等支出；公共安全（类）支出​​​​​​0.00万元，占​​​​​0.0%，主要用于无国有资本经营预算财政拨款等支出；教育（类）支出​​0.00​​​​​​​万元，占​​​​0.0%，主要用于无国有资本经营预算财政拨款等支出；科学技术（类）支出​​0.00​​​​​​​万元，占0.0​​​​​​%，主要用于无国有资本经营预算财政拨款等支出；文化旅游体育与传媒（类）支出​​​​​​0.00万元，占​​​​0.0​​​​​%，主要用于无国有资本经营预算财政拨款等支出；社会保障和就业 （类）支出0.00​​​​​​​​​​​万元，占​​​​​​0.0​​​%，主要用于无国有资本经营预算财政拨款等支出；卫生健康（类）支出​​​​​​​​​0.00万元，占0.0​​​​​​​​​%，主要用于无国有资本经营预算财政拨款等支出；节能环保（类）支出0.00​​万元，占​​​​0.0%，主要用于无国有资本经营预算财政拨款等支出；城乡社区（类）支出​​​​0.00万元，占​​0.0%，主要用于无国有资本经营预算财政拨款等支出；农林水（类）支出​​​​0.00​​​​万元，占0.0​​​​​​​​​​%，主要用于无国有资本经营预算财政拨款等支出；交通运输（类）支出0.00​​​​​​​​​万元，占​​0.0%，主要用于无国有资本经营预算财政拨款等支出；资源勘探信息等（类）支出​​0.00万元，占0.0​​​​​​​​​%，主要用于无国有资本经营预算财政拨款等支出；商业服务业等（类）支出​​0.00万元，占​​​0.0​​​​​​​%，主要用于无国有资本经营预算财政拨款等支出；金融（类）支出​​​​​​0.00​​​万元，占​​​​0.0%，主要用于无国有资本经营预算财政拨款等支出；援助其他地区（类）支出​​​​​​0.00​​​万元，占0.0​​​​​​​​​%，主要用于无国有资本经营预算财政拨款等支出；自然资源海洋气象等（类）支出​​​​0.00​​​​​万元，占​​​​​​0.0​​​%，主要用于无国有资本经营预算财政拨款等支出；住房保障（类）支出​​​​0.00​​​​​万元，占​​​​​​​0.0%，主要用于无国有资本经营预算财政拨款等支出；粮油物资储备（类）支出​​​​​​0.00万元，占​​0.0​​​​​​​%，主要用于无国有资本经营预算财政拨款等支出；国有资本经营预算支出​​​​​​0.00万元，占​​​​0.0%，主要用于无国有资本经营预算财政拨款等支出；害防治及应急管理（类）支出0.00​​​​万元，占​​0.0%，主要用于无国有资本经营预算财政拨款等支出；其他（类）支出​​​​​​0.00​​​万元，占0.0​​​​​%，主要用于无国有资本经营预算财政拨款等支出；债务还本（类）支出​​​​​​0.00万元，占0.0​​%，主要用于无国有资本经营预算财政拨款等支出；债务付息（类）支出​​​​0.00万元，占​​​​​​0.0​​​%，主要用于无国有资本经营预算财政拨款等支出；抗疫特别国债安排的支出0.00​​​​​​​​​万元，占0.0​​​​​​%，主要用于无国有资本经营预算财政拨款等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2024年度财政拨款基本支出326.66万元，其中：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302.88​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公用经费​​23.78​万元，主要包括办公费、印刷费、咨询费、手续费、水费、电费、邮电费、取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三公”经费财政拨款支出预算为2.00万元，支出决算为1.99万元，完成预算的99.5%，较预算减少0.01万元，降低0.5%，主要原因是运行维护费支出减少；较2023年度决算增加0.37万元，增长22.8%，主要原因是运行维护费支出增加</w:t>
      </w:r>
      <w:bookmarkStart w:id="0" w:name="_GoBack"/>
      <w:bookmarkEnd w:id="0"/>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部门2024年度因公出国（境）费支出预算为0.00万元,支出决算0.00万元。完成预算的0.0%。因公出国（境）费支出较预算增加0.00万元，增长0.0%,主要原因是无因公出国（境）费；较上年增加0.00万元，增长0.00%,主要原因是无因公出国（境）费。因公出国（境）团组0个、共0人、参加其他单位组织的因公出国（境）团组0个、共0人/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部门2024年度公务用车购置及运行维护费预算为2.00万元，支出决算1.99万元，完成预算的99.5%,较预算减少0.01万元，降低0.5%,主要原因是运行维护费支出减少；较上年增加0.37万元，增长22.8%,主要原因是运行维护费支出增加。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本部门2024年度公务用车购置量0辆，发生“公务用车购置”经费支出0.00 万元。公务用车购置费支出较预算增加0.00万元，增长0.0%,主要原因是无公务用车购置费支出；较上年增加0.00万元，增长0.00%,主要原因是无公务用车购置费支出。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公务用车运行维护费支出1.99万元：</w:t>
      </w:r>
      <w:r>
        <w:rPr>
          <w:rFonts w:ascii="Times New Roman" w:eastAsia="仿宋_GB2312"/>
          <w:b w:val="0"/>
          <w:sz w:val="32"/>
          <w:szCs w:val="32"/>
        </w:rPr>
        <w:t>本部门2024年度单位公务用车保有量1辆，发生运行维护费支出1.99万元。公车运行维护费支出较预算减少0.01万元，降低0.5%,主要原因是公务用车运行维护费支出减少；较上年增加0.37万元，增长22.8%，主要原因是公务用车运行维护费支出增加。</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0.00万元，支出决算0.00万元，完成预算的0.0%。公务接待费支出较预算增加0.00万元，增长0.0%,主要原因是无公务接待费支出；较上年度增加0.00万元，增长0.00%,主要原因是无公务接待费支出。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本部门2024年度机关运行经费支出23.78万元，较2023年度增加4.18万元，增长21.3%。主要原因是人员调入增加。</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1辆，比上年增加0辆，主要是与上年持平。其中，副部（省）级及以上领导用车0辆，主要负责人用车0辆，机要通信用车0辆，应急保障用车1辆，执法执勤用车0辆，特种专业技术用车0辆，离退休干部用车0辆，其他用车0辆，其他用车主要是无其他用车。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1,370.03万元（决算金额）。其中，一般公共预算项目40个，涉及资金1,370.03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组织对等个项目开展了部门重点评价，涉及一般公共预算支出万元，政府性基金预算支出万元，国有资本经营预算支出万元，从评价情况来看，。</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本部门在今年部门决算公开中反映</w:t>
      </w:r>
      <w:r>
        <w:rPr>
          <w:rFonts w:hint="eastAsia" w:ascii="Times New Roman" w:eastAsia="仿宋_GB2312"/>
          <w:b w:val="0"/>
          <w:sz w:val="32"/>
          <w:szCs w:val="32"/>
        </w:rPr>
        <w:t>024年转业士官人员经费</w:t>
      </w:r>
      <w:r>
        <w:rPr>
          <w:rFonts w:ascii="Times New Roman" w:eastAsia="仿宋_GB2312"/>
          <w:b w:val="0"/>
          <w:sz w:val="32"/>
          <w:szCs w:val="32"/>
        </w:rPr>
        <w:t>项目等</w:t>
      </w:r>
      <w:r>
        <w:rPr>
          <w:rFonts w:hint="eastAsia" w:ascii="Times New Roman" w:eastAsia="仿宋_GB2312"/>
          <w:b w:val="0"/>
          <w:sz w:val="32"/>
          <w:szCs w:val="32"/>
          <w:lang w:val="en-US" w:eastAsia="zh-CN"/>
        </w:rPr>
        <w:t>43</w:t>
      </w:r>
      <w:r>
        <w:rPr>
          <w:rFonts w:ascii="Times New Roman" w:eastAsia="仿宋_GB2312"/>
          <w:b w:val="0"/>
          <w:sz w:val="32"/>
          <w:szCs w:val="32"/>
        </w:rPr>
        <w:t>个项目绩效自评结果。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项目绩效自评情况：根据年初设定的绩效目标，</w:t>
      </w:r>
      <w:r>
        <w:rPr>
          <w:rFonts w:hint="eastAsia" w:ascii="Times New Roman" w:eastAsia="仿宋_GB2312"/>
          <w:b w:val="0"/>
          <w:sz w:val="32"/>
          <w:szCs w:val="32"/>
        </w:rPr>
        <w:t>2024年转业士官人员经费</w:t>
      </w:r>
      <w:r>
        <w:rPr>
          <w:rFonts w:ascii="Times New Roman" w:eastAsia="仿宋_GB2312"/>
          <w:b w:val="0"/>
          <w:sz w:val="32"/>
          <w:szCs w:val="32"/>
        </w:rPr>
        <w:t>项目自评得分为</w:t>
      </w:r>
      <w:r>
        <w:rPr>
          <w:rFonts w:hint="eastAsia" w:ascii="Times New Roman" w:eastAsia="仿宋_GB2312"/>
          <w:b w:val="0"/>
          <w:sz w:val="32"/>
          <w:szCs w:val="32"/>
          <w:lang w:val="en-US" w:eastAsia="zh-CN"/>
        </w:rPr>
        <w:t>100</w:t>
      </w:r>
      <w:r>
        <w:rPr>
          <w:rFonts w:ascii="Times New Roman" w:eastAsia="仿宋_GB2312"/>
          <w:b w:val="0"/>
          <w:sz w:val="32"/>
          <w:szCs w:val="32"/>
        </w:rPr>
        <w:t>分</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823"/>
        <w:gridCol w:w="1052"/>
        <w:gridCol w:w="959"/>
        <w:gridCol w:w="959"/>
        <w:gridCol w:w="448"/>
        <w:gridCol w:w="481"/>
        <w:gridCol w:w="467"/>
        <w:gridCol w:w="1027"/>
        <w:gridCol w:w="1033"/>
        <w:gridCol w:w="590"/>
        <w:gridCol w:w="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4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082"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2024年转业士官人员经费</w:t>
            </w:r>
          </w:p>
        </w:tc>
        <w:tc>
          <w:tcPr>
            <w:tcW w:w="51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241"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本级</w:t>
            </w:r>
          </w:p>
        </w:tc>
        <w:tc>
          <w:tcPr>
            <w:tcW w:w="51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1108"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350001 - 宁晋县科技和工业信息化局本级</w:t>
            </w:r>
          </w:p>
        </w:tc>
        <w:tc>
          <w:tcPr>
            <w:tcW w:w="317"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263" w:type="pct"/>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restar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009"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273" w:type="pct"/>
            <w:gridSpan w:val="3"/>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618" w:type="pct"/>
            <w:gridSpan w:val="4"/>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580"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4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56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4.546420</w:t>
            </w:r>
          </w:p>
        </w:tc>
        <w:tc>
          <w:tcPr>
            <w:tcW w:w="51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75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4.546420</w:t>
            </w:r>
          </w:p>
        </w:tc>
        <w:tc>
          <w:tcPr>
            <w:tcW w:w="51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110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4.546420</w:t>
            </w:r>
          </w:p>
        </w:tc>
        <w:tc>
          <w:tcPr>
            <w:tcW w:w="580" w:type="pct"/>
            <w:gridSpan w:val="2"/>
            <w:vMerge w:val="restart"/>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4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56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4.546420</w:t>
            </w:r>
          </w:p>
        </w:tc>
        <w:tc>
          <w:tcPr>
            <w:tcW w:w="51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5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4.546420</w:t>
            </w:r>
          </w:p>
        </w:tc>
        <w:tc>
          <w:tcPr>
            <w:tcW w:w="51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0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4.546420</w:t>
            </w:r>
          </w:p>
        </w:tc>
        <w:tc>
          <w:tcPr>
            <w:tcW w:w="580"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44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56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5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1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08"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80"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041" w:type="pct"/>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859"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580"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041"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保证人员生活保障</w:t>
            </w:r>
          </w:p>
        </w:tc>
        <w:tc>
          <w:tcPr>
            <w:tcW w:w="1859" w:type="pct"/>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580"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43"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56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51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51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24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1062" w:type="pct"/>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55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317"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263"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1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1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4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60"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250"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552"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55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6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56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发放资金金额</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发放资金金额</w:t>
            </w:r>
          </w:p>
        </w:tc>
        <w:tc>
          <w:tcPr>
            <w:tcW w:w="24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63"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服务质量</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服务质量</w:t>
            </w:r>
          </w:p>
        </w:tc>
        <w:tc>
          <w:tcPr>
            <w:tcW w:w="24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2"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63"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24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6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2"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63"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56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经费控制数</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经费控制数</w:t>
            </w:r>
          </w:p>
        </w:tc>
        <w:tc>
          <w:tcPr>
            <w:tcW w:w="24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6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2"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63"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56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生活幸福感</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生活幸福感</w:t>
            </w:r>
          </w:p>
        </w:tc>
        <w:tc>
          <w:tcPr>
            <w:tcW w:w="24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6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2"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63"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56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51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241"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2"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7"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63"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566"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516"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516"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E9EFF6"/>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0"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552"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556"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3"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039" w:type="pct"/>
            <w:gridSpan w:val="10"/>
            <w:tcBorders>
              <w:top w:val="nil"/>
              <w:left w:val="nil"/>
              <w:bottom w:val="single" w:color="B0C4DE" w:sz="4" w:space="0"/>
              <w:right w:val="single" w:color="B0C4DE" w:sz="4" w:space="0"/>
            </w:tcBorders>
            <w:shd w:val="clear" w:color="auto" w:fill="E9EFF6"/>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7"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482" w:type="pct"/>
            <w:gridSpan w:val="11"/>
            <w:vMerge w:val="restart"/>
            <w:tcBorders>
              <w:top w:val="nil"/>
              <w:left w:val="nil"/>
              <w:bottom w:val="single" w:color="B0C4DE" w:sz="4" w:space="0"/>
              <w:right w:val="single" w:color="B0C4DE"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82" w:type="pct"/>
            <w:gridSpan w:val="11"/>
            <w:vMerge w:val="continue"/>
            <w:tcBorders>
              <w:top w:val="nil"/>
              <w:left w:val="nil"/>
              <w:bottom w:val="single" w:color="B0C4DE" w:sz="4" w:space="0"/>
              <w:right w:val="single" w:color="B0C4DE"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7"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525" w:type="pct"/>
            <w:gridSpan w:val="3"/>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李雅洁</w:t>
            </w:r>
          </w:p>
        </w:tc>
        <w:tc>
          <w:tcPr>
            <w:tcW w:w="516"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440" w:type="pct"/>
            <w:gridSpan w:val="7"/>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5884335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7"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4482" w:type="pct"/>
            <w:gridSpan w:val="11"/>
            <w:vMerge w:val="restart"/>
            <w:tcBorders>
              <w:top w:val="nil"/>
              <w:left w:val="nil"/>
              <w:bottom w:val="single" w:color="B0C4DE" w:sz="4" w:space="0"/>
              <w:right w:val="single" w:color="B0C4DE"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82" w:type="pct"/>
            <w:gridSpan w:val="11"/>
            <w:vMerge w:val="continue"/>
            <w:tcBorders>
              <w:top w:val="nil"/>
              <w:left w:val="nil"/>
              <w:bottom w:val="single" w:color="B0C4DE" w:sz="4" w:space="0"/>
              <w:right w:val="single" w:color="B0C4DE"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82" w:type="pct"/>
            <w:gridSpan w:val="11"/>
            <w:vMerge w:val="continue"/>
            <w:tcBorders>
              <w:top w:val="nil"/>
              <w:left w:val="nil"/>
              <w:bottom w:val="single" w:color="B0C4DE" w:sz="4" w:space="0"/>
              <w:right w:val="single" w:color="B0C4DE"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7"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482" w:type="pct"/>
            <w:gridSpan w:val="11"/>
            <w:vMerge w:val="continue"/>
            <w:tcBorders>
              <w:top w:val="nil"/>
              <w:left w:val="nil"/>
              <w:bottom w:val="nil"/>
              <w:right w:val="single" w:color="B0C4DE" w:sz="4" w:space="0"/>
            </w:tcBorders>
            <w:shd w:val="clear" w:color="auto" w:fill="auto"/>
            <w:vAlign w:val="top"/>
          </w:tcPr>
          <w:p>
            <w:pPr>
              <w:rPr>
                <w:rFonts w:hint="eastAsia" w:ascii="宋体" w:hAnsi="宋体" w:eastAsia="宋体" w:cs="宋体"/>
                <w:i w:val="0"/>
                <w:iCs w:val="0"/>
                <w:color w:val="000000"/>
                <w:sz w:val="22"/>
                <w:szCs w:val="22"/>
                <w:u w:val="none"/>
              </w:rPr>
            </w:pPr>
          </w:p>
        </w:tc>
      </w:tr>
    </w:tbl>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rPr>
      </w:pPr>
      <w:r>
        <w:rPr>
          <w:rFonts w:ascii="Times New Roman" w:eastAsia="仿宋_GB2312"/>
          <w:b w:val="0"/>
          <w:sz w:val="32"/>
          <w:szCs w:val="32"/>
        </w:rPr>
        <w:t>根据年初设定的绩效目标，</w:t>
      </w:r>
      <w:r>
        <w:rPr>
          <w:rFonts w:hint="eastAsia" w:ascii="Times New Roman" w:eastAsia="仿宋_GB2312"/>
          <w:b w:val="0"/>
          <w:sz w:val="32"/>
          <w:szCs w:val="32"/>
        </w:rPr>
        <w:t>2024年公益岗人员经费</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688"/>
        <w:gridCol w:w="866"/>
        <w:gridCol w:w="1299"/>
        <w:gridCol w:w="1805"/>
        <w:gridCol w:w="397"/>
        <w:gridCol w:w="423"/>
        <w:gridCol w:w="410"/>
        <w:gridCol w:w="876"/>
        <w:gridCol w:w="821"/>
        <w:gridCol w:w="506"/>
        <w:gridCol w:w="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3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089"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2024年公益岗人员经费</w:t>
            </w:r>
          </w:p>
        </w:tc>
        <w:tc>
          <w:tcPr>
            <w:tcW w:w="964"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290"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本级</w:t>
            </w:r>
          </w:p>
        </w:tc>
        <w:tc>
          <w:tcPr>
            <w:tcW w:w="36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817"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350001 - 宁晋县科技和工业信息化局本级</w:t>
            </w:r>
          </w:p>
        </w:tc>
        <w:tc>
          <w:tcPr>
            <w:tcW w:w="423"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296" w:type="pct"/>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restar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745"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925" w:type="pct"/>
            <w:gridSpan w:val="3"/>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184" w:type="pct"/>
            <w:gridSpan w:val="4"/>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719" w:type="pct"/>
            <w:gridSpan w:val="2"/>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418"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0.720000</w:t>
            </w:r>
          </w:p>
        </w:tc>
        <w:tc>
          <w:tcPr>
            <w:tcW w:w="67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1254"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0.720000</w:t>
            </w:r>
          </w:p>
        </w:tc>
        <w:tc>
          <w:tcPr>
            <w:tcW w:w="36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81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0.720000</w:t>
            </w:r>
          </w:p>
        </w:tc>
        <w:tc>
          <w:tcPr>
            <w:tcW w:w="719" w:type="pct"/>
            <w:gridSpan w:val="2"/>
            <w:vMerge w:val="restart"/>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418"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0.720000</w:t>
            </w:r>
          </w:p>
        </w:tc>
        <w:tc>
          <w:tcPr>
            <w:tcW w:w="67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254"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0.720000</w:t>
            </w:r>
          </w:p>
        </w:tc>
        <w:tc>
          <w:tcPr>
            <w:tcW w:w="36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1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0.720000</w:t>
            </w:r>
          </w:p>
        </w:tc>
        <w:tc>
          <w:tcPr>
            <w:tcW w:w="719"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22"/>
                <w:szCs w:val="22"/>
                <w:u w:val="none"/>
              </w:rPr>
            </w:pPr>
          </w:p>
        </w:tc>
        <w:tc>
          <w:tcPr>
            <w:tcW w:w="326"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418"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254"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17"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19" w:type="pct"/>
            <w:gridSpan w:val="2"/>
            <w:vMerge w:val="continue"/>
            <w:tcBorders>
              <w:top w:val="nil"/>
              <w:left w:val="nil"/>
              <w:bottom w:val="single" w:color="B0C4DE" w:sz="4" w:space="0"/>
              <w:right w:val="single" w:color="B0C4DE" w:sz="4" w:space="0"/>
            </w:tcBorders>
            <w:shd w:val="clear" w:color="auto" w:fill="auto"/>
            <w:noWrap/>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379" w:type="pct"/>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475" w:type="pct"/>
            <w:gridSpan w:val="5"/>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719" w:type="pct"/>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379"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1475" w:type="pct"/>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719" w:type="pct"/>
            <w:gridSpan w:val="2"/>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32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418"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670"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96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290"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792" w:type="pct"/>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391"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423"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29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8"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670"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96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90"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88"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78"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425"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391"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23"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29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发放补助人数</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发放补助人数</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资金发放率</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资金发放率</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发放及时性</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发放及时性</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补贴发放标准</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补贴发放标准</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经济发展</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经济发展</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对社会经济发展的影响</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对社会经济发展的影响</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促进生态文明建设，推动绿色发展</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促进生态文明建设，推动绿色发展和绿色生活方式</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可持续性服务</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可持续性服务</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670"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64"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290"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5"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1"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418" w:type="pct"/>
            <w:tcBorders>
              <w:top w:val="nil"/>
              <w:left w:val="nil"/>
              <w:bottom w:val="nil"/>
              <w:right w:val="nil"/>
            </w:tcBorders>
            <w:shd w:val="clear" w:color="auto" w:fill="E9EFF6"/>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670"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964"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290" w:type="pct"/>
            <w:tcBorders>
              <w:top w:val="nil"/>
              <w:left w:val="nil"/>
              <w:bottom w:val="nil"/>
              <w:right w:val="nil"/>
            </w:tcBorders>
            <w:shd w:val="clear" w:color="auto" w:fill="E9EFF6"/>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8"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178"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425"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391"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423" w:type="pct"/>
            <w:tcBorders>
              <w:top w:val="nil"/>
              <w:left w:val="nil"/>
              <w:bottom w:val="nil"/>
              <w:right w:val="nil"/>
            </w:tcBorders>
            <w:shd w:val="clear" w:color="auto" w:fill="E9EFF6"/>
            <w:noWrap/>
            <w:vAlign w:val="top"/>
          </w:tcPr>
          <w:p>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326"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248" w:type="pct"/>
            <w:gridSpan w:val="10"/>
            <w:tcBorders>
              <w:top w:val="nil"/>
              <w:left w:val="nil"/>
              <w:bottom w:val="single" w:color="B0C4DE" w:sz="4" w:space="0"/>
              <w:right w:val="single" w:color="B0C4DE" w:sz="4" w:space="0"/>
            </w:tcBorders>
            <w:shd w:val="clear" w:color="auto" w:fill="E9EFF6"/>
            <w:noWrap/>
            <w:vAlign w:val="top"/>
          </w:tcPr>
          <w:p>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4575" w:type="pct"/>
            <w:gridSpan w:val="11"/>
            <w:vMerge w:val="restart"/>
            <w:tcBorders>
              <w:top w:val="nil"/>
              <w:left w:val="nil"/>
              <w:bottom w:val="single" w:color="B0C4DE" w:sz="4" w:space="0"/>
              <w:right w:val="single" w:color="B0C4DE"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75" w:type="pct"/>
            <w:gridSpan w:val="11"/>
            <w:vMerge w:val="continue"/>
            <w:tcBorders>
              <w:top w:val="nil"/>
              <w:left w:val="nil"/>
              <w:bottom w:val="single" w:color="B0C4DE" w:sz="4" w:space="0"/>
              <w:right w:val="single" w:color="B0C4DE"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24"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1415" w:type="pct"/>
            <w:gridSpan w:val="3"/>
            <w:tcBorders>
              <w:top w:val="single" w:color="B0C4DE" w:sz="4" w:space="0"/>
              <w:left w:val="single" w:color="B0C4DE" w:sz="4" w:space="0"/>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李雅洁</w:t>
            </w:r>
          </w:p>
        </w:tc>
        <w:tc>
          <w:tcPr>
            <w:tcW w:w="964" w:type="pc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2195" w:type="pct"/>
            <w:gridSpan w:val="7"/>
            <w:tcBorders>
              <w:top w:val="nil"/>
              <w:left w:val="nil"/>
              <w:bottom w:val="single" w:color="B0C4DE" w:sz="4" w:space="0"/>
              <w:right w:val="single" w:color="B0C4DE"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5884335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424" w:type="pct"/>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说明:</w:t>
            </w:r>
          </w:p>
        </w:tc>
        <w:tc>
          <w:tcPr>
            <w:tcW w:w="4575" w:type="pct"/>
            <w:gridSpan w:val="11"/>
            <w:vMerge w:val="restart"/>
            <w:tcBorders>
              <w:top w:val="nil"/>
              <w:left w:val="nil"/>
              <w:bottom w:val="single" w:color="B0C4DE" w:sz="4" w:space="0"/>
              <w:right w:val="single" w:color="B0C4DE"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1.自评总分由各单项指标的自评得分合计而成，满分为100分。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2.实际完成值，即填写某项指标截止预算年度末的完成情况，可量化的实际完成值，应填写具体数值和单位；单项指标完成情况，根据下拉菜单选择“完成”或“未完成”。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3.当年预算未执行，年终预算调减为0或财政收回全部资金的项目，以及当年重复申报或细化为其他项目的，预算数填0，到位数、执行数、指标完成情况、自评得分等其他内容不再填报，直接保存提交。</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4.当年预算项目未执行，年终结转下年的项目，资金执行数填0，绩效指标填“未完成”，自评得分填0；当年预算项目部分执行，剩余资金结转下年的项目，资金执行数、指标完成情况如实填写，自评得分应小于100分。</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7.实际完成值与预期指标值在描述上应当具有对应关系，比如某培训项目数量指标预期指标值为≥50人次，实际完成值应当填写实际完成多少人次，不能填完成培训多少场次、培训多少人等。</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8.单项指标完成情况与实际完成值应当具有逻辑关系，当实际完成值达到预期指标值时，单项指标完成情况才能填“完成”，否则填“未完成”。</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9.当“单项指标完成情况”填“未完成”时，自评得分应小于指标分值。</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10.由于年初指标值设定明显偏低，造成实际完成值高于预期指标值较多的（偏离度达到30%及以上），应按照偏离度适度调减自评得分。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75" w:type="pct"/>
            <w:gridSpan w:val="11"/>
            <w:vMerge w:val="continue"/>
            <w:tcBorders>
              <w:top w:val="nil"/>
              <w:left w:val="nil"/>
              <w:bottom w:val="single" w:color="B0C4DE" w:sz="4" w:space="0"/>
              <w:right w:val="single" w:color="B0C4DE"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75" w:type="pct"/>
            <w:gridSpan w:val="11"/>
            <w:vMerge w:val="continue"/>
            <w:tcBorders>
              <w:top w:val="nil"/>
              <w:left w:val="nil"/>
              <w:bottom w:val="single" w:color="B0C4DE" w:sz="4" w:space="0"/>
              <w:right w:val="single" w:color="B0C4DE"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24" w:type="pct"/>
            <w:vMerge w:val="continue"/>
            <w:tcBorders>
              <w:top w:val="nil"/>
              <w:left w:val="nil"/>
              <w:bottom w:val="nil"/>
              <w:right w:val="nil"/>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4575" w:type="pct"/>
            <w:gridSpan w:val="11"/>
            <w:vMerge w:val="continue"/>
            <w:tcBorders>
              <w:top w:val="nil"/>
              <w:left w:val="nil"/>
              <w:bottom w:val="single" w:color="B0C4DE" w:sz="4" w:space="0"/>
              <w:right w:val="single" w:color="B0C4DE" w:sz="4" w:space="0"/>
            </w:tcBorders>
            <w:shd w:val="clear" w:color="auto" w:fill="auto"/>
            <w:vAlign w:val="top"/>
          </w:tcPr>
          <w:p>
            <w:pPr>
              <w:rPr>
                <w:rFonts w:hint="eastAsia" w:ascii="宋体" w:hAnsi="宋体" w:eastAsia="宋体" w:cs="宋体"/>
                <w:i w:val="0"/>
                <w:iCs w:val="0"/>
                <w:color w:val="000000"/>
                <w:sz w:val="22"/>
                <w:szCs w:val="22"/>
                <w:u w:val="none"/>
              </w:rPr>
            </w:pPr>
          </w:p>
        </w:tc>
      </w:tr>
    </w:tbl>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rPr>
      </w:pP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仿宋_GB2312" w:hAnsi="Times New Roman" w:eastAsia="仿宋_GB2312" w:cs="DengXian-Regular"/>
          <w:sz w:val="32"/>
          <w:szCs w:val="32"/>
          <w:lang w:eastAsia="zh-CN"/>
        </w:rPr>
        <w:t>我部门评价项目绩效评价结果为优</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1.本部门2024年度政府性基金预算财政拨款收入支出决算表（公开07表）、国有资本经营预算财政拨款支出决算表（公开08表）无相应收支，故空表列示。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D823443-7357-4A54-8036-7855CDAE35B7}"/>
  </w:font>
  <w:font w:name="黑体">
    <w:panose1 w:val="02010609060101010101"/>
    <w:charset w:val="86"/>
    <w:family w:val="auto"/>
    <w:pitch w:val="default"/>
    <w:sig w:usb0="800002BF" w:usb1="38CF7CFA" w:usb2="00000016" w:usb3="00000000" w:csb0="00040001" w:csb1="00000000"/>
    <w:embedRegular r:id="rId2" w:fontKey="{78AECC86-8A30-4090-B3A3-92D72F7E8E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845C4A5E-91B3-48CE-AE1A-7A3C3E668663}"/>
  </w:font>
  <w:font w:name="仿宋">
    <w:panose1 w:val="02010609060101010101"/>
    <w:charset w:val="86"/>
    <w:family w:val="modern"/>
    <w:pitch w:val="default"/>
    <w:sig w:usb0="800002BF" w:usb1="38CF7CFA" w:usb2="00000016" w:usb3="00000000" w:csb0="00040001" w:csb1="00000000"/>
    <w:embedRegular r:id="rId4" w:fontKey="{0DA4170D-FADF-4D96-A19B-A5B060354929}"/>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6DE8A8EE-E083-4BFC-9E6E-3BCCDBD9DD26}"/>
  </w:font>
  <w:font w:name="方正小标宋_GBK">
    <w:panose1 w:val="02000000000000000000"/>
    <w:charset w:val="86"/>
    <w:family w:val="script"/>
    <w:pitch w:val="default"/>
    <w:sig w:usb0="A00002BF" w:usb1="38CF7CFA" w:usb2="00082016" w:usb3="00000000" w:csb0="00040001" w:csb1="00000000"/>
    <w:embedRegular r:id="rId6" w:fontKey="{6FF20B8A-4516-4EC9-8CEB-7079294DF07C}"/>
  </w:font>
  <w:font w:name="仿宋_GB2312">
    <w:panose1 w:val="02010609030101010101"/>
    <w:charset w:val="86"/>
    <w:family w:val="auto"/>
    <w:pitch w:val="default"/>
    <w:sig w:usb0="00000001" w:usb1="080E0000" w:usb2="00000000" w:usb3="00000000" w:csb0="00040000" w:csb1="00000000"/>
    <w:embedRegular r:id="rId7" w:fontKey="{BDA16CA0-0F1E-4ABA-BCE6-CD05282E85FF}"/>
  </w:font>
  <w:font w:name="ArialUnicodeMS">
    <w:altName w:val="Malgun Gothic"/>
    <w:panose1 w:val="00000000000000000000"/>
    <w:charset w:val="81"/>
    <w:family w:val="auto"/>
    <w:pitch w:val="default"/>
    <w:sig w:usb0="00000000" w:usb1="00000000" w:usb2="00000010" w:usb3="00000000" w:csb0="00080001" w:csb1="00000000"/>
    <w:embedRegular r:id="rId8" w:fontKey="{26153282-54FF-4879-81D4-F8E76CBEB395}"/>
  </w:font>
  <w:font w:name="方正仿宋_GB2312">
    <w:panose1 w:val="02000000000000000000"/>
    <w:charset w:val="86"/>
    <w:family w:val="auto"/>
    <w:pitch w:val="default"/>
    <w:sig w:usb0="A00002BF" w:usb1="184F6CFA" w:usb2="00000012" w:usb3="00000000" w:csb0="00040001" w:csb1="00000000"/>
    <w:embedRegular r:id="rId9" w:fontKey="{DC7D3B61-5ADE-4192-BE68-19105319DEF3}"/>
  </w:font>
  <w:font w:name="DengXian-Regular">
    <w:altName w:val="宋体"/>
    <w:panose1 w:val="00000000000000000000"/>
    <w:charset w:val="86"/>
    <w:family w:val="auto"/>
    <w:pitch w:val="default"/>
    <w:sig w:usb0="00000000" w:usb1="00000000" w:usb2="00000010" w:usb3="00000000" w:csb0="00040001" w:csb1="00000000"/>
    <w:embedRegular r:id="rId10" w:fontKey="{EEB357E6-E9A6-41EE-98A0-696BE9504393}"/>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EsImhkaWQiOiIyMmJmNDdmZDRlYmJlMmE5YTMxNDQ5ZWY0MTA3Nzk2YyIsInVzZXJDb3VudCI6Mn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BA1824"/>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E91BC5"/>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2995.91</c:v>
                </c:pt>
                <c:pt idx="1">
                  <c:v>1370.03</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13700250.59</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3266601.25</c:v>
                </c:pt>
                <c:pt idx="1">
                  <c:v>10433649.34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2995.91</c:v>
                </c:pt>
                <c:pt idx="1">
                  <c:v>2995.91</c:v>
                </c:pt>
                <c:pt idx="2">
                  <c:v>2995.91</c:v>
                </c:pt>
                <c:pt idx="3">
                  <c:v>2995.91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1370.03</c:v>
                </c:pt>
                <c:pt idx="1">
                  <c:v>1370.03</c:v>
                </c:pt>
                <c:pt idx="2">
                  <c:v>1370.03</c:v>
                </c:pt>
                <c:pt idx="3">
                  <c:v>1370.03</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2310.22</c:v>
                </c:pt>
                <c:pt idx="1">
                  <c:v>2310.22</c:v>
                </c:pt>
                <c:pt idx="2">
                  <c:v>2160.22</c:v>
                </c:pt>
                <c:pt idx="3">
                  <c:v>2160.22</c:v>
                </c:pt>
                <c:pt idx="4">
                  <c:v>150</c:v>
                </c:pt>
                <c:pt idx="5">
                  <c:v>150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1370.03</c:v>
                </c:pt>
                <c:pt idx="1">
                  <c:v>1370.03</c:v>
                </c:pt>
                <c:pt idx="2">
                  <c:v>1370.03</c:v>
                </c:pt>
                <c:pt idx="3">
                  <c:v>1370.03</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3.48</c:v>
                </c:pt>
                <c:pt idx="1">
                  <c:v>0</c:v>
                </c:pt>
                <c:pt idx="2">
                  <c:v>0</c:v>
                </c:pt>
                <c:pt idx="3">
                  <c:v>0</c:v>
                </c:pt>
                <c:pt idx="4">
                  <c:v>0</c:v>
                </c:pt>
                <c:pt idx="5">
                  <c:v>476.14</c:v>
                </c:pt>
                <c:pt idx="6">
                  <c:v>0</c:v>
                </c:pt>
                <c:pt idx="7">
                  <c:v>79.31</c:v>
                </c:pt>
                <c:pt idx="8">
                  <c:v>13.17</c:v>
                </c:pt>
                <c:pt idx="9">
                  <c:v>0</c:v>
                </c:pt>
                <c:pt idx="10">
                  <c:v>0</c:v>
                </c:pt>
                <c:pt idx="11">
                  <c:v>0</c:v>
                </c:pt>
                <c:pt idx="12">
                  <c:v>0</c:v>
                </c:pt>
                <c:pt idx="13">
                  <c:v>776.67</c:v>
                </c:pt>
                <c:pt idx="14">
                  <c:v>0</c:v>
                </c:pt>
                <c:pt idx="15">
                  <c:v>0</c:v>
                </c:pt>
                <c:pt idx="16">
                  <c:v>0</c:v>
                </c:pt>
                <c:pt idx="17">
                  <c:v>0</c:v>
                </c:pt>
                <c:pt idx="18">
                  <c:v>21.26</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60</Pages>
  <Words>19977</Words>
  <Characters>24311</Characters>
  <Lines>86</Lines>
  <Paragraphs>24</Paragraphs>
  <TotalTime>1</TotalTime>
  <ScaleCrop>false</ScaleCrop>
  <LinksUpToDate>false</LinksUpToDate>
  <CharactersWithSpaces>24900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cp:lastModifiedBy>
  <cp:lastPrinted>2023-08-04T01:00:00Z</cp:lastPrinted>
  <dcterms:modified xsi:type="dcterms:W3CDTF">2025-09-23T09:19:24Z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