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41200E">
      <w:pPr>
        <w:jc w:val="center"/>
        <w:rPr>
          <w:rFonts w:hint="eastAsia" w:ascii="仿宋" w:hAnsi="仿宋" w:eastAsia="仿宋" w:cs="仿宋"/>
          <w:sz w:val="30"/>
          <w:szCs w:val="30"/>
        </w:rPr>
      </w:pPr>
      <w:r>
        <w:rPr>
          <w:rFonts w:hint="eastAsia" w:ascii="仿宋" w:hAnsi="仿宋" w:eastAsia="仿宋" w:cs="仿宋"/>
          <w:sz w:val="30"/>
          <w:szCs w:val="30"/>
        </w:rPr>
        <w:t>宁晋县换马店镇人民政府20</w:t>
      </w:r>
      <w:r>
        <w:rPr>
          <w:rFonts w:hint="eastAsia" w:ascii="仿宋" w:hAnsi="仿宋" w:eastAsia="仿宋" w:cs="仿宋"/>
          <w:sz w:val="30"/>
          <w:szCs w:val="30"/>
          <w:lang w:val="en-US" w:eastAsia="zh-CN"/>
        </w:rPr>
        <w:t>21</w:t>
      </w:r>
      <w:r>
        <w:rPr>
          <w:rFonts w:hint="eastAsia" w:ascii="仿宋" w:hAnsi="仿宋" w:eastAsia="仿宋" w:cs="仿宋"/>
          <w:sz w:val="30"/>
          <w:szCs w:val="30"/>
        </w:rPr>
        <w:t>年部门预算信息公开</w:t>
      </w:r>
    </w:p>
    <w:p w14:paraId="300CFA68">
      <w:pPr>
        <w:ind w:firstLine="600" w:firstLineChars="200"/>
        <w:rPr>
          <w:rFonts w:hint="eastAsia" w:ascii="仿宋" w:hAnsi="仿宋" w:eastAsia="仿宋" w:cs="仿宋"/>
          <w:sz w:val="30"/>
          <w:szCs w:val="30"/>
        </w:rPr>
      </w:pPr>
      <w:r>
        <w:rPr>
          <w:rFonts w:hint="eastAsia" w:ascii="仿宋" w:hAnsi="仿宋" w:eastAsia="仿宋" w:cs="仿宋"/>
          <w:sz w:val="30"/>
          <w:szCs w:val="30"/>
        </w:rPr>
        <w:t>按照</w:t>
      </w:r>
      <w:r>
        <w:rPr>
          <w:rFonts w:hint="eastAsia" w:ascii="仿宋" w:hAnsi="仿宋" w:eastAsia="仿宋" w:cs="仿宋"/>
          <w:sz w:val="30"/>
          <w:szCs w:val="30"/>
          <w:lang w:eastAsia="zh-CN"/>
        </w:rPr>
        <w:t>《中华人民共和国预算法》</w:t>
      </w:r>
      <w:r>
        <w:rPr>
          <w:rFonts w:hint="eastAsia" w:ascii="仿宋" w:hAnsi="仿宋" w:eastAsia="仿宋" w:cs="仿宋"/>
          <w:sz w:val="30"/>
          <w:szCs w:val="30"/>
        </w:rPr>
        <w:t>、《地方预决算公开操作规程》和《河北省省级预算公开办法》规定，现将20</w:t>
      </w:r>
      <w:r>
        <w:rPr>
          <w:rFonts w:hint="eastAsia" w:ascii="仿宋" w:hAnsi="仿宋" w:eastAsia="仿宋" w:cs="仿宋"/>
          <w:sz w:val="30"/>
          <w:szCs w:val="30"/>
          <w:lang w:val="en-US" w:eastAsia="zh-CN"/>
        </w:rPr>
        <w:t>21</w:t>
      </w:r>
      <w:r>
        <w:rPr>
          <w:rFonts w:hint="eastAsia" w:ascii="仿宋" w:hAnsi="仿宋" w:eastAsia="仿宋" w:cs="仿宋"/>
          <w:sz w:val="30"/>
          <w:szCs w:val="30"/>
        </w:rPr>
        <w:t>年部门预算公开如下：</w:t>
      </w:r>
    </w:p>
    <w:p w14:paraId="415137C9">
      <w:pPr>
        <w:ind w:firstLine="640"/>
        <w:rPr>
          <w:rFonts w:hint="eastAsia" w:ascii="仿宋" w:hAnsi="仿宋" w:eastAsia="仿宋" w:cs="仿宋"/>
          <w:sz w:val="30"/>
          <w:szCs w:val="30"/>
        </w:rPr>
      </w:pPr>
      <w:r>
        <w:rPr>
          <w:rFonts w:hint="eastAsia" w:ascii="仿宋" w:hAnsi="仿宋" w:eastAsia="仿宋" w:cs="仿宋"/>
          <w:sz w:val="30"/>
          <w:szCs w:val="30"/>
        </w:rPr>
        <w:t>一、部门职责及机构设置情况</w:t>
      </w:r>
    </w:p>
    <w:p w14:paraId="4F736573">
      <w:pPr>
        <w:spacing w:line="560" w:lineRule="exact"/>
        <w:ind w:firstLine="602" w:firstLineChars="200"/>
        <w:rPr>
          <w:rFonts w:hint="eastAsia" w:ascii="仿宋" w:hAnsi="仿宋" w:eastAsia="仿宋" w:cs="仿宋"/>
          <w:sz w:val="30"/>
          <w:szCs w:val="30"/>
        </w:rPr>
      </w:pPr>
      <w:r>
        <w:rPr>
          <w:rFonts w:hint="eastAsia" w:ascii="仿宋" w:hAnsi="仿宋" w:eastAsia="仿宋" w:cs="仿宋"/>
          <w:b/>
          <w:sz w:val="30"/>
          <w:szCs w:val="30"/>
        </w:rPr>
        <w:t xml:space="preserve">    部门职责：</w:t>
      </w:r>
      <w:r>
        <w:rPr>
          <w:rFonts w:hint="eastAsia" w:ascii="仿宋" w:hAnsi="仿宋" w:eastAsia="仿宋" w:cs="仿宋"/>
          <w:sz w:val="30"/>
          <w:szCs w:val="30"/>
        </w:rPr>
        <w:t>镇党委的主要职责：贯彻落实党的路线、方针、政策和上级党组织的指示、决定，执行镇党党代会决议；抓好自身建设和所属党组织的指示、决定，执行镇党代会决议；找好自身建设和所属党组织的思想、组织和作风建设；领导镇经济建设，制定经济和社会发展规划并组织实施；领导本镇政权机关和群众组织，支持和保证他们依照国家法律、法规及各自章程充分行使职权；领导本镇的</w:t>
      </w:r>
      <w:r>
        <w:rPr>
          <w:rFonts w:hint="eastAsia" w:ascii="仿宋" w:hAnsi="仿宋" w:eastAsia="仿宋" w:cs="仿宋"/>
          <w:sz w:val="30"/>
          <w:szCs w:val="30"/>
          <w:lang w:eastAsia="zh-CN"/>
        </w:rPr>
        <w:t>社会主义民主法治建设</w:t>
      </w:r>
      <w:r>
        <w:rPr>
          <w:rFonts w:hint="eastAsia" w:ascii="仿宋" w:hAnsi="仿宋" w:eastAsia="仿宋" w:cs="仿宋"/>
          <w:sz w:val="30"/>
          <w:szCs w:val="30"/>
        </w:rPr>
        <w:t>和精神文明建设，做好社会治安综合治理及</w:t>
      </w:r>
      <w:r>
        <w:rPr>
          <w:rFonts w:hint="eastAsia" w:ascii="仿宋" w:hAnsi="仿宋" w:eastAsia="仿宋" w:cs="仿宋"/>
          <w:sz w:val="30"/>
          <w:szCs w:val="30"/>
          <w:lang w:eastAsia="zh-CN"/>
        </w:rPr>
        <w:t>卫生计生</w:t>
      </w:r>
      <w:r>
        <w:rPr>
          <w:rFonts w:hint="eastAsia" w:ascii="仿宋" w:hAnsi="仿宋" w:eastAsia="仿宋" w:cs="仿宋"/>
          <w:sz w:val="30"/>
          <w:szCs w:val="30"/>
        </w:rPr>
        <w:t>工作；负责上级有关部门派驻镇单位的党组织建设，监督、支持和协调上级有关部门派驻镇单位的工作；按照干部管理权限，负责对干部教育、培养、选拔、考核和监督工作；领导农村基层党组织建设和农村基层工作；完成上级党组织交办的其他任务。</w:t>
      </w:r>
    </w:p>
    <w:p w14:paraId="314B965A">
      <w:pPr>
        <w:spacing w:line="56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镇政府的主要职责：贯彻落实党的路线、方针和政策；执行本级人民代表大会的决议和上级国家行政机关的决定和命令，发布决定和命令；执行本行政区域内的经济和社会发展计划，组织和领导经济建设，发展农村经济；制定和组织实施乡村建设规划，加强公共设施的建设和管理，发展各项服务事业；加强水利建设、土地使用管理和环境综合整治，合理开发、利用自然资源，保护耕地，改善生态环境和生活环境；开展政务公开建设和社会主义民主与法制教育，加强社会治安综合治理，调节民事纠纷，维护社会秩序；推行计划生育，控制人口增长，保护妇女、儿童和老年人的合法权益；管理民政行政工作，发展社会福利事业，做好就业和社会保障工作，办理兵役事项；管理镇财政，执行本级预算；管理和发展教育、科学技术、文化、卫生等事业，提高公民素质；加强食品安全、安全生产管理；管理和发展本行政区域内的公共事业；保护国家、集体和公民应有的人身权利、民主权利和其他权利；指导加强村委会建设，充分发挥村委会作用，提高其服务工作水平；办理上级政府交办的其他事项。</w:t>
      </w:r>
    </w:p>
    <w:p w14:paraId="4E08EE4F">
      <w:pPr>
        <w:autoSpaceDE w:val="0"/>
        <w:autoSpaceDN w:val="0"/>
        <w:adjustRightInd w:val="0"/>
        <w:ind w:firstLine="602" w:firstLineChars="200"/>
        <w:jc w:val="left"/>
        <w:rPr>
          <w:rFonts w:hint="eastAsia" w:ascii="仿宋" w:hAnsi="仿宋" w:eastAsia="仿宋" w:cs="仿宋"/>
          <w:b/>
          <w:sz w:val="30"/>
          <w:szCs w:val="30"/>
        </w:rPr>
      </w:pPr>
      <w:r>
        <w:rPr>
          <w:rFonts w:hint="eastAsia" w:ascii="仿宋" w:hAnsi="仿宋" w:eastAsia="仿宋" w:cs="仿宋"/>
          <w:b/>
          <w:sz w:val="30"/>
          <w:szCs w:val="30"/>
        </w:rPr>
        <w:t>机构设置：</w:t>
      </w:r>
    </w:p>
    <w:p w14:paraId="2974AE9D">
      <w:pPr>
        <w:jc w:val="center"/>
        <w:outlineLvl w:val="0"/>
        <w:rPr>
          <w:rFonts w:hint="eastAsia" w:ascii="仿宋" w:hAnsi="仿宋" w:eastAsia="仿宋" w:cs="仿宋"/>
          <w:sz w:val="30"/>
          <w:szCs w:val="30"/>
        </w:rPr>
      </w:pPr>
      <w:r>
        <w:rPr>
          <w:rFonts w:hint="eastAsia" w:ascii="仿宋" w:hAnsi="仿宋" w:eastAsia="仿宋" w:cs="仿宋"/>
          <w:sz w:val="30"/>
          <w:szCs w:val="30"/>
        </w:rPr>
        <w:t>部门机构设置情况</w:t>
      </w:r>
    </w:p>
    <w:tbl>
      <w:tblPr>
        <w:tblStyle w:val="6"/>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02B9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17614B2C">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单位名称</w:t>
            </w:r>
          </w:p>
        </w:tc>
        <w:tc>
          <w:tcPr>
            <w:tcW w:w="1134" w:type="dxa"/>
            <w:vMerge w:val="restart"/>
            <w:vAlign w:val="center"/>
          </w:tcPr>
          <w:p w14:paraId="04A908FF">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单位性质</w:t>
            </w:r>
          </w:p>
        </w:tc>
        <w:tc>
          <w:tcPr>
            <w:tcW w:w="1276" w:type="dxa"/>
            <w:vMerge w:val="restart"/>
            <w:vAlign w:val="center"/>
          </w:tcPr>
          <w:p w14:paraId="4296C6BD">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单位规格</w:t>
            </w:r>
          </w:p>
        </w:tc>
        <w:tc>
          <w:tcPr>
            <w:tcW w:w="2902" w:type="dxa"/>
            <w:vMerge w:val="restart"/>
            <w:vAlign w:val="center"/>
          </w:tcPr>
          <w:p w14:paraId="1D24C0BE">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经费保障形式</w:t>
            </w:r>
          </w:p>
        </w:tc>
      </w:tr>
      <w:tr w14:paraId="2375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01F4FCAB">
            <w:pPr>
              <w:spacing w:line="300" w:lineRule="exact"/>
              <w:jc w:val="left"/>
              <w:outlineLvl w:val="0"/>
              <w:rPr>
                <w:rFonts w:hint="eastAsia" w:ascii="仿宋" w:hAnsi="仿宋" w:eastAsia="仿宋" w:cs="仿宋"/>
                <w:sz w:val="30"/>
                <w:szCs w:val="30"/>
              </w:rPr>
            </w:pPr>
          </w:p>
        </w:tc>
        <w:tc>
          <w:tcPr>
            <w:tcW w:w="1134" w:type="dxa"/>
            <w:vMerge w:val="continue"/>
            <w:vAlign w:val="center"/>
          </w:tcPr>
          <w:p w14:paraId="390689FC">
            <w:pPr>
              <w:spacing w:line="300" w:lineRule="exact"/>
              <w:jc w:val="left"/>
              <w:outlineLvl w:val="0"/>
              <w:rPr>
                <w:rFonts w:hint="eastAsia" w:ascii="仿宋" w:hAnsi="仿宋" w:eastAsia="仿宋" w:cs="仿宋"/>
                <w:sz w:val="30"/>
                <w:szCs w:val="30"/>
              </w:rPr>
            </w:pPr>
          </w:p>
        </w:tc>
        <w:tc>
          <w:tcPr>
            <w:tcW w:w="1276" w:type="dxa"/>
            <w:vMerge w:val="continue"/>
            <w:vAlign w:val="center"/>
          </w:tcPr>
          <w:p w14:paraId="62120363">
            <w:pPr>
              <w:spacing w:line="300" w:lineRule="exact"/>
              <w:jc w:val="left"/>
              <w:outlineLvl w:val="0"/>
              <w:rPr>
                <w:rFonts w:hint="eastAsia" w:ascii="仿宋" w:hAnsi="仿宋" w:eastAsia="仿宋" w:cs="仿宋"/>
                <w:sz w:val="30"/>
                <w:szCs w:val="30"/>
              </w:rPr>
            </w:pPr>
          </w:p>
        </w:tc>
        <w:tc>
          <w:tcPr>
            <w:tcW w:w="2902" w:type="dxa"/>
            <w:vMerge w:val="continue"/>
            <w:vAlign w:val="center"/>
          </w:tcPr>
          <w:p w14:paraId="2CBAE363">
            <w:pPr>
              <w:spacing w:line="300" w:lineRule="exact"/>
              <w:jc w:val="left"/>
              <w:outlineLvl w:val="0"/>
              <w:rPr>
                <w:rFonts w:hint="eastAsia" w:ascii="仿宋" w:hAnsi="仿宋" w:eastAsia="仿宋" w:cs="仿宋"/>
                <w:sz w:val="30"/>
                <w:szCs w:val="30"/>
              </w:rPr>
            </w:pPr>
          </w:p>
        </w:tc>
      </w:tr>
      <w:tr w14:paraId="3511A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62C0ACE0">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党政办公室</w:t>
            </w:r>
          </w:p>
        </w:tc>
        <w:tc>
          <w:tcPr>
            <w:tcW w:w="1134" w:type="dxa"/>
            <w:vAlign w:val="center"/>
          </w:tcPr>
          <w:p w14:paraId="46B3B00D">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行政</w:t>
            </w:r>
          </w:p>
        </w:tc>
        <w:tc>
          <w:tcPr>
            <w:tcW w:w="1276" w:type="dxa"/>
            <w:vAlign w:val="center"/>
          </w:tcPr>
          <w:p w14:paraId="27F509BF">
            <w:pPr>
              <w:spacing w:line="300" w:lineRule="exact"/>
              <w:jc w:val="center"/>
              <w:rPr>
                <w:rFonts w:hint="eastAsia" w:ascii="仿宋" w:hAnsi="仿宋" w:eastAsia="仿宋" w:cs="仿宋"/>
                <w:sz w:val="30"/>
                <w:szCs w:val="30"/>
              </w:rPr>
            </w:pPr>
          </w:p>
        </w:tc>
        <w:tc>
          <w:tcPr>
            <w:tcW w:w="2902" w:type="dxa"/>
            <w:vAlign w:val="center"/>
          </w:tcPr>
          <w:p w14:paraId="2809B199">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财政拨款</w:t>
            </w:r>
          </w:p>
        </w:tc>
      </w:tr>
      <w:tr w14:paraId="248DD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7EDA087D">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社会事务办公室</w:t>
            </w:r>
          </w:p>
        </w:tc>
        <w:tc>
          <w:tcPr>
            <w:tcW w:w="1134" w:type="dxa"/>
            <w:vAlign w:val="center"/>
          </w:tcPr>
          <w:p w14:paraId="56CC8375">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行政</w:t>
            </w:r>
          </w:p>
        </w:tc>
        <w:tc>
          <w:tcPr>
            <w:tcW w:w="1276" w:type="dxa"/>
            <w:vAlign w:val="center"/>
          </w:tcPr>
          <w:p w14:paraId="4DC69EB3">
            <w:pPr>
              <w:spacing w:line="300" w:lineRule="exact"/>
              <w:jc w:val="center"/>
              <w:rPr>
                <w:rFonts w:hint="eastAsia" w:ascii="仿宋" w:hAnsi="仿宋" w:eastAsia="仿宋" w:cs="仿宋"/>
                <w:sz w:val="30"/>
                <w:szCs w:val="30"/>
              </w:rPr>
            </w:pPr>
          </w:p>
        </w:tc>
        <w:tc>
          <w:tcPr>
            <w:tcW w:w="2902" w:type="dxa"/>
            <w:vAlign w:val="center"/>
          </w:tcPr>
          <w:p w14:paraId="328DEEC5">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财政拨款</w:t>
            </w:r>
          </w:p>
        </w:tc>
      </w:tr>
      <w:tr w14:paraId="29800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4F24757A">
            <w:pPr>
              <w:spacing w:line="560" w:lineRule="exact"/>
              <w:jc w:val="center"/>
              <w:rPr>
                <w:rFonts w:hint="eastAsia" w:ascii="仿宋" w:hAnsi="仿宋" w:eastAsia="仿宋" w:cs="仿宋"/>
                <w:sz w:val="30"/>
                <w:szCs w:val="30"/>
              </w:rPr>
            </w:pPr>
            <w:r>
              <w:rPr>
                <w:rFonts w:hint="eastAsia" w:ascii="仿宋" w:hAnsi="仿宋" w:eastAsia="仿宋" w:cs="仿宋"/>
                <w:sz w:val="30"/>
                <w:szCs w:val="30"/>
              </w:rPr>
              <w:t>经济发展办公室</w:t>
            </w:r>
          </w:p>
          <w:p w14:paraId="56425CC8">
            <w:pPr>
              <w:spacing w:line="300" w:lineRule="exact"/>
              <w:jc w:val="center"/>
              <w:rPr>
                <w:rFonts w:hint="eastAsia" w:ascii="仿宋" w:hAnsi="仿宋" w:eastAsia="仿宋" w:cs="仿宋"/>
                <w:sz w:val="30"/>
                <w:szCs w:val="30"/>
              </w:rPr>
            </w:pPr>
          </w:p>
        </w:tc>
        <w:tc>
          <w:tcPr>
            <w:tcW w:w="1134" w:type="dxa"/>
            <w:vAlign w:val="center"/>
          </w:tcPr>
          <w:p w14:paraId="723FD02C">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行政</w:t>
            </w:r>
          </w:p>
        </w:tc>
        <w:tc>
          <w:tcPr>
            <w:tcW w:w="1276" w:type="dxa"/>
            <w:vAlign w:val="center"/>
          </w:tcPr>
          <w:p w14:paraId="0F9EA91E">
            <w:pPr>
              <w:spacing w:line="300" w:lineRule="exact"/>
              <w:jc w:val="center"/>
              <w:rPr>
                <w:rFonts w:hint="eastAsia" w:ascii="仿宋" w:hAnsi="仿宋" w:eastAsia="仿宋" w:cs="仿宋"/>
                <w:sz w:val="30"/>
                <w:szCs w:val="30"/>
              </w:rPr>
            </w:pPr>
          </w:p>
        </w:tc>
        <w:tc>
          <w:tcPr>
            <w:tcW w:w="2902" w:type="dxa"/>
            <w:vAlign w:val="center"/>
          </w:tcPr>
          <w:p w14:paraId="7AAD479F">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财政拨款</w:t>
            </w:r>
          </w:p>
        </w:tc>
      </w:tr>
      <w:tr w14:paraId="3B389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2913FD9F">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综合治理办公室</w:t>
            </w:r>
          </w:p>
        </w:tc>
        <w:tc>
          <w:tcPr>
            <w:tcW w:w="1134" w:type="dxa"/>
            <w:vAlign w:val="center"/>
          </w:tcPr>
          <w:p w14:paraId="088252AB">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行政</w:t>
            </w:r>
          </w:p>
        </w:tc>
        <w:tc>
          <w:tcPr>
            <w:tcW w:w="1276" w:type="dxa"/>
            <w:vAlign w:val="center"/>
          </w:tcPr>
          <w:p w14:paraId="50D90100">
            <w:pPr>
              <w:spacing w:line="300" w:lineRule="exact"/>
              <w:jc w:val="center"/>
              <w:rPr>
                <w:rFonts w:hint="eastAsia" w:ascii="仿宋" w:hAnsi="仿宋" w:eastAsia="仿宋" w:cs="仿宋"/>
                <w:sz w:val="30"/>
                <w:szCs w:val="30"/>
              </w:rPr>
            </w:pPr>
          </w:p>
        </w:tc>
        <w:tc>
          <w:tcPr>
            <w:tcW w:w="2902" w:type="dxa"/>
            <w:vAlign w:val="center"/>
          </w:tcPr>
          <w:p w14:paraId="719E44FA">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财政拨款</w:t>
            </w:r>
          </w:p>
        </w:tc>
      </w:tr>
      <w:tr w14:paraId="3718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16C90D7C">
            <w:pPr>
              <w:spacing w:line="300" w:lineRule="exact"/>
              <w:jc w:val="center"/>
              <w:rPr>
                <w:rFonts w:hint="eastAsia" w:ascii="仿宋" w:hAnsi="仿宋" w:eastAsia="仿宋" w:cs="仿宋"/>
                <w:sz w:val="30"/>
                <w:szCs w:val="30"/>
              </w:rPr>
            </w:pPr>
            <w:r>
              <w:rPr>
                <w:rFonts w:hint="eastAsia" w:ascii="仿宋" w:hAnsi="仿宋" w:eastAsia="仿宋" w:cs="仿宋"/>
                <w:sz w:val="30"/>
                <w:szCs w:val="30"/>
                <w:lang w:eastAsia="zh-CN"/>
              </w:rPr>
              <w:t>卫生计生</w:t>
            </w:r>
            <w:r>
              <w:rPr>
                <w:rFonts w:hint="eastAsia" w:ascii="仿宋" w:hAnsi="仿宋" w:eastAsia="仿宋" w:cs="仿宋"/>
                <w:sz w:val="30"/>
                <w:szCs w:val="30"/>
              </w:rPr>
              <w:t>办公室</w:t>
            </w:r>
          </w:p>
        </w:tc>
        <w:tc>
          <w:tcPr>
            <w:tcW w:w="1134" w:type="dxa"/>
            <w:vAlign w:val="center"/>
          </w:tcPr>
          <w:p w14:paraId="125DCC63">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行政事业</w:t>
            </w:r>
          </w:p>
        </w:tc>
        <w:tc>
          <w:tcPr>
            <w:tcW w:w="1276" w:type="dxa"/>
            <w:vAlign w:val="center"/>
          </w:tcPr>
          <w:p w14:paraId="73362F01">
            <w:pPr>
              <w:spacing w:line="300" w:lineRule="exact"/>
              <w:jc w:val="center"/>
              <w:rPr>
                <w:rFonts w:hint="eastAsia" w:ascii="仿宋" w:hAnsi="仿宋" w:eastAsia="仿宋" w:cs="仿宋"/>
                <w:sz w:val="30"/>
                <w:szCs w:val="30"/>
              </w:rPr>
            </w:pPr>
          </w:p>
        </w:tc>
        <w:tc>
          <w:tcPr>
            <w:tcW w:w="2902" w:type="dxa"/>
            <w:vAlign w:val="center"/>
          </w:tcPr>
          <w:p w14:paraId="44D60C48">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财政拨款</w:t>
            </w:r>
          </w:p>
        </w:tc>
      </w:tr>
      <w:tr w14:paraId="78599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10365EA8">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村镇规划建设办公室</w:t>
            </w:r>
          </w:p>
        </w:tc>
        <w:tc>
          <w:tcPr>
            <w:tcW w:w="1134" w:type="dxa"/>
            <w:vAlign w:val="center"/>
          </w:tcPr>
          <w:p w14:paraId="2905B228">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行政</w:t>
            </w:r>
          </w:p>
        </w:tc>
        <w:tc>
          <w:tcPr>
            <w:tcW w:w="1276" w:type="dxa"/>
            <w:vAlign w:val="center"/>
          </w:tcPr>
          <w:p w14:paraId="4EBA13BE">
            <w:pPr>
              <w:spacing w:line="300" w:lineRule="exact"/>
              <w:jc w:val="center"/>
              <w:rPr>
                <w:rFonts w:hint="eastAsia" w:ascii="仿宋" w:hAnsi="仿宋" w:eastAsia="仿宋" w:cs="仿宋"/>
                <w:sz w:val="30"/>
                <w:szCs w:val="30"/>
              </w:rPr>
            </w:pPr>
          </w:p>
        </w:tc>
        <w:tc>
          <w:tcPr>
            <w:tcW w:w="2902" w:type="dxa"/>
            <w:vAlign w:val="center"/>
          </w:tcPr>
          <w:p w14:paraId="6183EA63">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财政拨款</w:t>
            </w:r>
          </w:p>
        </w:tc>
      </w:tr>
    </w:tbl>
    <w:p w14:paraId="14DF20C6">
      <w:pPr>
        <w:jc w:val="center"/>
        <w:rPr>
          <w:rFonts w:hint="eastAsia" w:ascii="仿宋" w:hAnsi="仿宋" w:eastAsia="仿宋" w:cs="仿宋"/>
          <w:sz w:val="30"/>
          <w:szCs w:val="30"/>
        </w:rPr>
      </w:pPr>
    </w:p>
    <w:p w14:paraId="167F8029">
      <w:pPr>
        <w:ind w:firstLine="640"/>
        <w:rPr>
          <w:rFonts w:hint="eastAsia" w:ascii="仿宋" w:hAnsi="仿宋" w:eastAsia="仿宋" w:cs="仿宋"/>
          <w:sz w:val="30"/>
          <w:szCs w:val="30"/>
        </w:rPr>
      </w:pPr>
      <w:r>
        <w:rPr>
          <w:rFonts w:hint="eastAsia" w:ascii="仿宋" w:hAnsi="仿宋" w:eastAsia="仿宋" w:cs="仿宋"/>
          <w:sz w:val="30"/>
          <w:szCs w:val="30"/>
        </w:rPr>
        <w:t>二、部门预算安排的总体情况</w:t>
      </w:r>
    </w:p>
    <w:p w14:paraId="1AB0F34E">
      <w:pPr>
        <w:ind w:firstLine="640"/>
        <w:rPr>
          <w:rFonts w:hint="eastAsia" w:ascii="仿宋" w:hAnsi="仿宋" w:eastAsia="仿宋" w:cs="仿宋"/>
          <w:sz w:val="30"/>
          <w:szCs w:val="30"/>
        </w:rPr>
      </w:pPr>
      <w:r>
        <w:rPr>
          <w:rFonts w:hint="eastAsia" w:ascii="仿宋" w:hAnsi="仿宋" w:eastAsia="仿宋" w:cs="仿宋"/>
          <w:sz w:val="30"/>
          <w:szCs w:val="30"/>
        </w:rPr>
        <w:t>按照预算管理有关规定，目前我部门预算的编制实行综合预算制度，即全部收入和支出都反映的预算中。</w:t>
      </w:r>
    </w:p>
    <w:p w14:paraId="221E7708">
      <w:pPr>
        <w:ind w:firstLine="600" w:firstLineChars="200"/>
        <w:rPr>
          <w:rFonts w:hint="eastAsia" w:ascii="仿宋" w:hAnsi="仿宋" w:eastAsia="仿宋" w:cs="仿宋"/>
          <w:sz w:val="30"/>
          <w:szCs w:val="30"/>
        </w:rPr>
      </w:pPr>
      <w:r>
        <w:rPr>
          <w:rFonts w:hint="eastAsia" w:ascii="仿宋" w:hAnsi="仿宋" w:eastAsia="仿宋" w:cs="仿宋"/>
          <w:sz w:val="30"/>
          <w:szCs w:val="30"/>
        </w:rPr>
        <w:t xml:space="preserve">1、收入说明 </w:t>
      </w:r>
    </w:p>
    <w:p w14:paraId="0CB5D4F9">
      <w:pPr>
        <w:ind w:firstLine="600" w:firstLineChars="200"/>
        <w:rPr>
          <w:rFonts w:hint="eastAsia" w:ascii="仿宋" w:hAnsi="仿宋" w:eastAsia="仿宋" w:cs="仿宋"/>
          <w:sz w:val="30"/>
          <w:szCs w:val="30"/>
        </w:rPr>
      </w:pPr>
      <w:r>
        <w:rPr>
          <w:rFonts w:hint="eastAsia" w:ascii="仿宋" w:hAnsi="仿宋" w:eastAsia="仿宋" w:cs="仿宋"/>
          <w:sz w:val="30"/>
          <w:szCs w:val="30"/>
        </w:rPr>
        <w:t>反应本部门当年全部收入，20</w:t>
      </w:r>
      <w:r>
        <w:rPr>
          <w:rFonts w:hint="eastAsia" w:ascii="仿宋" w:hAnsi="仿宋" w:eastAsia="仿宋" w:cs="仿宋"/>
          <w:sz w:val="30"/>
          <w:szCs w:val="30"/>
          <w:lang w:val="en-US" w:eastAsia="zh-CN"/>
        </w:rPr>
        <w:t>21</w:t>
      </w:r>
      <w:r>
        <w:rPr>
          <w:rFonts w:hint="eastAsia" w:ascii="仿宋" w:hAnsi="仿宋" w:eastAsia="仿宋" w:cs="仿宋"/>
          <w:sz w:val="30"/>
          <w:szCs w:val="30"/>
        </w:rPr>
        <w:t>年预算收入</w:t>
      </w:r>
      <w:r>
        <w:rPr>
          <w:rFonts w:hint="eastAsia" w:ascii="仿宋" w:hAnsi="仿宋" w:eastAsia="仿宋" w:cs="仿宋"/>
          <w:sz w:val="30"/>
          <w:szCs w:val="30"/>
          <w:lang w:val="en-US" w:eastAsia="zh-CN"/>
        </w:rPr>
        <w:t>1532</w:t>
      </w:r>
      <w:r>
        <w:rPr>
          <w:rFonts w:hint="eastAsia" w:ascii="仿宋" w:hAnsi="仿宋" w:eastAsia="仿宋" w:cs="仿宋"/>
          <w:sz w:val="30"/>
          <w:szCs w:val="30"/>
        </w:rPr>
        <w:t>万元，</w:t>
      </w:r>
    </w:p>
    <w:p w14:paraId="4BA96CBE">
      <w:pPr>
        <w:numPr>
          <w:ilvl w:val="0"/>
          <w:numId w:val="1"/>
        </w:numPr>
        <w:ind w:firstLine="640"/>
        <w:rPr>
          <w:rFonts w:hint="eastAsia" w:ascii="仿宋" w:hAnsi="仿宋" w:eastAsia="仿宋" w:cs="仿宋"/>
          <w:sz w:val="30"/>
          <w:szCs w:val="30"/>
        </w:rPr>
      </w:pPr>
      <w:r>
        <w:rPr>
          <w:rFonts w:hint="eastAsia" w:ascii="仿宋" w:hAnsi="仿宋" w:eastAsia="仿宋" w:cs="仿宋"/>
          <w:sz w:val="30"/>
          <w:szCs w:val="30"/>
        </w:rPr>
        <w:t>支出说明</w:t>
      </w:r>
    </w:p>
    <w:p w14:paraId="35C5A8CD">
      <w:pPr>
        <w:rPr>
          <w:rFonts w:hint="eastAsia" w:ascii="仿宋" w:hAnsi="仿宋" w:eastAsia="仿宋" w:cs="仿宋"/>
          <w:sz w:val="30"/>
          <w:szCs w:val="30"/>
        </w:rPr>
      </w:pPr>
      <w:r>
        <w:rPr>
          <w:rFonts w:hint="eastAsia" w:ascii="仿宋" w:hAnsi="仿宋" w:eastAsia="仿宋" w:cs="仿宋"/>
          <w:sz w:val="30"/>
          <w:szCs w:val="30"/>
        </w:rPr>
        <w:t xml:space="preserve">     收支预算总表支出栏、基本支出表、项目支出表按经济分类和支出功能分类科目编制，反映河北省人民代表大会常务委员会办公厅年度部门预算中支出预算的总体情况。20</w:t>
      </w:r>
      <w:r>
        <w:rPr>
          <w:rFonts w:hint="eastAsia" w:ascii="仿宋" w:hAnsi="仿宋" w:eastAsia="仿宋" w:cs="仿宋"/>
          <w:sz w:val="30"/>
          <w:szCs w:val="30"/>
          <w:lang w:val="en-US" w:eastAsia="zh-CN"/>
        </w:rPr>
        <w:t>21</w:t>
      </w:r>
      <w:r>
        <w:rPr>
          <w:rFonts w:hint="eastAsia" w:ascii="仿宋" w:hAnsi="仿宋" w:eastAsia="仿宋" w:cs="仿宋"/>
          <w:sz w:val="30"/>
          <w:szCs w:val="30"/>
        </w:rPr>
        <w:t>年部门支出预算为</w:t>
      </w:r>
      <w:r>
        <w:rPr>
          <w:rFonts w:hint="eastAsia" w:ascii="仿宋" w:hAnsi="仿宋" w:eastAsia="仿宋" w:cs="仿宋"/>
          <w:sz w:val="30"/>
          <w:szCs w:val="30"/>
          <w:lang w:val="en-US" w:eastAsia="zh-CN"/>
        </w:rPr>
        <w:t>1532</w:t>
      </w:r>
      <w:r>
        <w:rPr>
          <w:rFonts w:hint="eastAsia" w:ascii="仿宋" w:hAnsi="仿宋" w:eastAsia="仿宋" w:cs="仿宋"/>
          <w:sz w:val="30"/>
          <w:szCs w:val="30"/>
        </w:rPr>
        <w:t>万元，其中基本支出</w:t>
      </w:r>
      <w:r>
        <w:rPr>
          <w:rFonts w:hint="eastAsia" w:ascii="仿宋" w:hAnsi="仿宋" w:eastAsia="仿宋" w:cs="仿宋"/>
          <w:sz w:val="30"/>
          <w:szCs w:val="30"/>
          <w:lang w:val="en-US" w:eastAsia="zh-CN"/>
        </w:rPr>
        <w:t>723.39</w:t>
      </w:r>
      <w:r>
        <w:rPr>
          <w:rFonts w:hint="eastAsia" w:ascii="仿宋" w:hAnsi="仿宋" w:eastAsia="仿宋" w:cs="仿宋"/>
          <w:sz w:val="30"/>
          <w:szCs w:val="30"/>
        </w:rPr>
        <w:t>元，包括人员经费</w:t>
      </w:r>
      <w:r>
        <w:rPr>
          <w:rFonts w:hint="eastAsia" w:ascii="仿宋" w:hAnsi="仿宋" w:eastAsia="仿宋" w:cs="仿宋"/>
          <w:sz w:val="30"/>
          <w:szCs w:val="30"/>
          <w:lang w:val="en-US" w:eastAsia="zh-CN"/>
        </w:rPr>
        <w:t>655.89</w:t>
      </w:r>
      <w:r>
        <w:rPr>
          <w:rFonts w:hint="eastAsia" w:ascii="仿宋" w:hAnsi="仿宋" w:eastAsia="仿宋" w:cs="仿宋"/>
          <w:sz w:val="30"/>
          <w:szCs w:val="30"/>
        </w:rPr>
        <w:t>万元和日常公用经费</w:t>
      </w:r>
      <w:r>
        <w:rPr>
          <w:rFonts w:hint="eastAsia" w:ascii="仿宋" w:hAnsi="仿宋" w:eastAsia="仿宋" w:cs="仿宋"/>
          <w:sz w:val="30"/>
          <w:szCs w:val="30"/>
          <w:lang w:val="en-US" w:eastAsia="zh-CN"/>
        </w:rPr>
        <w:t>67.5</w:t>
      </w:r>
      <w:r>
        <w:rPr>
          <w:rFonts w:hint="eastAsia" w:ascii="仿宋" w:hAnsi="仿宋" w:eastAsia="仿宋" w:cs="仿宋"/>
          <w:sz w:val="30"/>
          <w:szCs w:val="30"/>
        </w:rPr>
        <w:t>万元；项目支出</w:t>
      </w:r>
      <w:r>
        <w:rPr>
          <w:rFonts w:hint="eastAsia" w:ascii="仿宋" w:hAnsi="仿宋" w:eastAsia="仿宋" w:cs="仿宋"/>
          <w:sz w:val="30"/>
          <w:szCs w:val="30"/>
          <w:lang w:val="en-US" w:eastAsia="zh-CN"/>
        </w:rPr>
        <w:t>808.61</w:t>
      </w:r>
      <w:r>
        <w:rPr>
          <w:rFonts w:hint="eastAsia" w:ascii="仿宋" w:hAnsi="仿宋" w:eastAsia="仿宋" w:cs="仿宋"/>
          <w:sz w:val="30"/>
          <w:szCs w:val="30"/>
        </w:rPr>
        <w:t>万元，全部为本级支出。</w:t>
      </w:r>
    </w:p>
    <w:p w14:paraId="085BB856">
      <w:pPr>
        <w:numPr>
          <w:ilvl w:val="0"/>
          <w:numId w:val="1"/>
        </w:numPr>
        <w:ind w:firstLine="640"/>
        <w:rPr>
          <w:rFonts w:hint="eastAsia" w:ascii="仿宋" w:hAnsi="仿宋" w:eastAsia="仿宋" w:cs="仿宋"/>
          <w:sz w:val="30"/>
          <w:szCs w:val="30"/>
        </w:rPr>
      </w:pPr>
      <w:r>
        <w:rPr>
          <w:rFonts w:hint="eastAsia" w:ascii="仿宋" w:hAnsi="仿宋" w:eastAsia="仿宋" w:cs="仿宋"/>
          <w:sz w:val="30"/>
          <w:szCs w:val="30"/>
        </w:rPr>
        <w:t>比上年增减情况</w:t>
      </w:r>
    </w:p>
    <w:p w14:paraId="0A0B65F1">
      <w:pPr>
        <w:rPr>
          <w:rFonts w:hint="eastAsia" w:ascii="仿宋" w:hAnsi="仿宋" w:eastAsia="仿宋" w:cs="仿宋"/>
          <w:sz w:val="30"/>
          <w:szCs w:val="30"/>
        </w:rPr>
      </w:pPr>
      <w:r>
        <w:rPr>
          <w:rFonts w:hint="eastAsia" w:ascii="仿宋" w:hAnsi="仿宋" w:eastAsia="仿宋" w:cs="仿宋"/>
          <w:sz w:val="30"/>
          <w:szCs w:val="30"/>
        </w:rPr>
        <w:t xml:space="preserve">    20</w:t>
      </w:r>
      <w:r>
        <w:rPr>
          <w:rFonts w:hint="eastAsia" w:ascii="仿宋" w:hAnsi="仿宋" w:eastAsia="仿宋" w:cs="仿宋"/>
          <w:sz w:val="30"/>
          <w:szCs w:val="30"/>
          <w:lang w:val="en-US" w:eastAsia="zh-CN"/>
        </w:rPr>
        <w:t>21</w:t>
      </w:r>
      <w:r>
        <w:rPr>
          <w:rFonts w:hint="eastAsia" w:ascii="仿宋" w:hAnsi="仿宋" w:eastAsia="仿宋" w:cs="仿宋"/>
          <w:sz w:val="30"/>
          <w:szCs w:val="30"/>
        </w:rPr>
        <w:t>年部门预算较20</w:t>
      </w:r>
      <w:r>
        <w:rPr>
          <w:rFonts w:hint="eastAsia" w:ascii="仿宋" w:hAnsi="仿宋" w:eastAsia="仿宋" w:cs="仿宋"/>
          <w:sz w:val="30"/>
          <w:szCs w:val="30"/>
          <w:lang w:val="en-US" w:eastAsia="zh-CN"/>
        </w:rPr>
        <w:t>20</w:t>
      </w:r>
      <w:r>
        <w:rPr>
          <w:rFonts w:hint="eastAsia" w:ascii="仿宋" w:hAnsi="仿宋" w:eastAsia="仿宋" w:cs="仿宋"/>
          <w:sz w:val="30"/>
          <w:szCs w:val="30"/>
        </w:rPr>
        <w:t>年</w:t>
      </w:r>
      <w:r>
        <w:rPr>
          <w:rFonts w:hint="eastAsia" w:ascii="仿宋" w:hAnsi="仿宋" w:eastAsia="仿宋" w:cs="仿宋"/>
          <w:sz w:val="30"/>
          <w:szCs w:val="30"/>
          <w:lang w:eastAsia="zh-CN"/>
        </w:rPr>
        <w:t>减少</w:t>
      </w:r>
      <w:r>
        <w:rPr>
          <w:rFonts w:hint="eastAsia" w:ascii="仿宋" w:hAnsi="仿宋" w:eastAsia="仿宋" w:cs="仿宋"/>
          <w:sz w:val="30"/>
          <w:szCs w:val="30"/>
          <w:lang w:val="en-US" w:eastAsia="zh-CN"/>
        </w:rPr>
        <w:t>120</w:t>
      </w:r>
      <w:r>
        <w:rPr>
          <w:rFonts w:hint="eastAsia" w:ascii="仿宋" w:hAnsi="仿宋" w:eastAsia="仿宋" w:cs="仿宋"/>
          <w:sz w:val="30"/>
          <w:szCs w:val="30"/>
        </w:rPr>
        <w:t>万元，其中：基本支</w:t>
      </w:r>
      <w:r>
        <w:rPr>
          <w:rFonts w:hint="eastAsia" w:ascii="仿宋" w:hAnsi="仿宋" w:eastAsia="仿宋" w:cs="仿宋"/>
          <w:sz w:val="30"/>
          <w:szCs w:val="30"/>
          <w:lang w:eastAsia="zh-CN"/>
        </w:rPr>
        <w:t>出增加</w:t>
      </w:r>
      <w:r>
        <w:rPr>
          <w:rFonts w:hint="eastAsia" w:ascii="仿宋" w:hAnsi="仿宋" w:eastAsia="仿宋" w:cs="仿宋"/>
          <w:sz w:val="30"/>
          <w:szCs w:val="30"/>
          <w:lang w:val="en-US" w:eastAsia="zh-CN"/>
        </w:rPr>
        <w:t>9.79</w:t>
      </w:r>
      <w:r>
        <w:rPr>
          <w:rFonts w:hint="eastAsia" w:ascii="仿宋" w:hAnsi="仿宋" w:eastAsia="仿宋" w:cs="仿宋"/>
          <w:sz w:val="30"/>
          <w:szCs w:val="30"/>
        </w:rPr>
        <w:t>万元，主要是</w:t>
      </w:r>
      <w:r>
        <w:rPr>
          <w:rFonts w:hint="eastAsia" w:ascii="仿宋" w:hAnsi="仿宋" w:eastAsia="仿宋" w:cs="仿宋"/>
          <w:sz w:val="30"/>
          <w:szCs w:val="30"/>
          <w:lang w:eastAsia="zh-CN"/>
        </w:rPr>
        <w:t>增加在职人员乡镇补贴支出</w:t>
      </w:r>
      <w:r>
        <w:rPr>
          <w:rFonts w:hint="eastAsia" w:ascii="仿宋" w:hAnsi="仿宋" w:eastAsia="仿宋" w:cs="仿宋"/>
          <w:sz w:val="30"/>
          <w:szCs w:val="30"/>
        </w:rPr>
        <w:t>；项目支出</w:t>
      </w:r>
      <w:r>
        <w:rPr>
          <w:rFonts w:hint="eastAsia" w:ascii="仿宋" w:hAnsi="仿宋" w:eastAsia="仿宋" w:cs="仿宋"/>
          <w:sz w:val="30"/>
          <w:szCs w:val="30"/>
          <w:lang w:eastAsia="zh-CN"/>
        </w:rPr>
        <w:t>减少</w:t>
      </w:r>
      <w:r>
        <w:rPr>
          <w:rFonts w:hint="eastAsia" w:ascii="仿宋" w:hAnsi="仿宋" w:eastAsia="仿宋" w:cs="仿宋"/>
          <w:sz w:val="30"/>
          <w:szCs w:val="30"/>
          <w:lang w:val="en-US" w:eastAsia="zh-CN"/>
        </w:rPr>
        <w:t>130.27</w:t>
      </w:r>
      <w:r>
        <w:rPr>
          <w:rFonts w:hint="eastAsia" w:ascii="仿宋" w:hAnsi="仿宋" w:eastAsia="仿宋" w:cs="仿宋"/>
          <w:sz w:val="30"/>
          <w:szCs w:val="30"/>
        </w:rPr>
        <w:t>万元，主要是</w:t>
      </w:r>
      <w:r>
        <w:rPr>
          <w:rFonts w:hint="eastAsia" w:ascii="仿宋" w:hAnsi="仿宋" w:eastAsia="仿宋" w:cs="仿宋"/>
          <w:sz w:val="30"/>
          <w:szCs w:val="30"/>
          <w:lang w:eastAsia="zh-CN"/>
        </w:rPr>
        <w:t>减少农林水项目</w:t>
      </w:r>
      <w:r>
        <w:rPr>
          <w:rFonts w:hint="eastAsia" w:ascii="仿宋" w:hAnsi="仿宋" w:eastAsia="仿宋" w:cs="仿宋"/>
          <w:sz w:val="30"/>
          <w:szCs w:val="30"/>
        </w:rPr>
        <w:t>支出。</w:t>
      </w:r>
    </w:p>
    <w:p w14:paraId="7B68D0EE">
      <w:pPr>
        <w:autoSpaceDE w:val="0"/>
        <w:autoSpaceDN w:val="0"/>
        <w:adjustRightInd w:val="0"/>
        <w:ind w:firstLine="600" w:firstLineChars="200"/>
        <w:jc w:val="left"/>
        <w:rPr>
          <w:rFonts w:hint="eastAsia" w:ascii="仿宋" w:hAnsi="仿宋" w:eastAsia="仿宋" w:cs="仿宋"/>
          <w:sz w:val="30"/>
          <w:szCs w:val="30"/>
        </w:rPr>
      </w:pPr>
      <w:r>
        <w:rPr>
          <w:rFonts w:hint="eastAsia" w:ascii="仿宋" w:hAnsi="仿宋" w:eastAsia="仿宋" w:cs="仿宋"/>
          <w:sz w:val="30"/>
          <w:szCs w:val="30"/>
        </w:rPr>
        <w:t>三、机关运行经费安排情况</w:t>
      </w:r>
    </w:p>
    <w:p w14:paraId="3830792E">
      <w:pPr>
        <w:autoSpaceDE w:val="0"/>
        <w:autoSpaceDN w:val="0"/>
        <w:adjustRightInd w:val="0"/>
        <w:ind w:left="198" w:firstLine="600" w:firstLineChars="200"/>
        <w:jc w:val="left"/>
        <w:rPr>
          <w:rFonts w:hint="eastAsia" w:ascii="仿宋" w:hAnsi="仿宋" w:eastAsia="仿宋" w:cs="仿宋"/>
          <w:sz w:val="30"/>
          <w:szCs w:val="30"/>
        </w:rPr>
      </w:pPr>
      <w:r>
        <w:rPr>
          <w:rFonts w:hint="eastAsia" w:ascii="仿宋" w:hAnsi="仿宋" w:eastAsia="仿宋" w:cs="仿宋"/>
          <w:sz w:val="30"/>
          <w:szCs w:val="30"/>
        </w:rPr>
        <w:t>机关运行经费共计安排</w:t>
      </w:r>
      <w:r>
        <w:rPr>
          <w:rFonts w:hint="eastAsia" w:ascii="仿宋" w:hAnsi="仿宋" w:eastAsia="仿宋" w:cs="仿宋"/>
          <w:sz w:val="30"/>
          <w:szCs w:val="30"/>
          <w:lang w:val="en-US" w:eastAsia="zh-CN"/>
        </w:rPr>
        <w:t>67.5</w:t>
      </w:r>
      <w:r>
        <w:rPr>
          <w:rFonts w:hint="eastAsia" w:ascii="仿宋" w:hAnsi="仿宋" w:eastAsia="仿宋" w:cs="仿宋"/>
          <w:sz w:val="30"/>
          <w:szCs w:val="30"/>
        </w:rPr>
        <w:t>万元，主要用于保证机关正常运转的办公及印刷费、邮电费、差旅费、会议费、福利费、专用材料及一般设备购置费、办公用房水电费、办公用房取暖费、日常维修费、办公楼物业管理费、公务车运行维护费等支出。</w:t>
      </w:r>
    </w:p>
    <w:p w14:paraId="181F148C">
      <w:pPr>
        <w:autoSpaceDE w:val="0"/>
        <w:autoSpaceDN w:val="0"/>
        <w:adjustRightInd w:val="0"/>
        <w:ind w:left="198" w:firstLine="600" w:firstLineChars="200"/>
        <w:jc w:val="left"/>
        <w:rPr>
          <w:rFonts w:hint="eastAsia" w:ascii="仿宋" w:hAnsi="仿宋" w:eastAsia="仿宋" w:cs="仿宋"/>
          <w:sz w:val="30"/>
          <w:szCs w:val="30"/>
        </w:rPr>
      </w:pPr>
      <w:r>
        <w:rPr>
          <w:rFonts w:hint="eastAsia" w:ascii="仿宋" w:hAnsi="仿宋" w:eastAsia="仿宋" w:cs="仿宋"/>
          <w:sz w:val="30"/>
          <w:szCs w:val="30"/>
        </w:rPr>
        <w:t>四、财政拨款“三公”经费预算情况及增减变化原因</w:t>
      </w:r>
    </w:p>
    <w:p w14:paraId="0C853029">
      <w:pPr>
        <w:autoSpaceDE w:val="0"/>
        <w:autoSpaceDN w:val="0"/>
        <w:adjustRightInd w:val="0"/>
        <w:ind w:left="198" w:firstLine="600" w:firstLineChars="200"/>
        <w:jc w:val="left"/>
        <w:rPr>
          <w:rFonts w:hint="eastAsia" w:ascii="仿宋" w:hAnsi="仿宋" w:eastAsia="仿宋" w:cs="仿宋"/>
          <w:sz w:val="30"/>
          <w:szCs w:val="30"/>
        </w:rPr>
      </w:pPr>
      <w:r>
        <w:rPr>
          <w:rFonts w:hint="eastAsia" w:ascii="仿宋" w:hAnsi="仿宋" w:eastAsia="仿宋" w:cs="仿宋"/>
          <w:sz w:val="30"/>
          <w:szCs w:val="30"/>
        </w:rPr>
        <w:t>20</w:t>
      </w:r>
      <w:r>
        <w:rPr>
          <w:rFonts w:hint="eastAsia" w:ascii="仿宋" w:hAnsi="仿宋" w:eastAsia="仿宋" w:cs="仿宋"/>
          <w:sz w:val="30"/>
          <w:szCs w:val="30"/>
          <w:lang w:val="en-US" w:eastAsia="zh-CN"/>
        </w:rPr>
        <w:t>21</w:t>
      </w:r>
      <w:r>
        <w:rPr>
          <w:rFonts w:hint="eastAsia" w:ascii="仿宋" w:hAnsi="仿宋" w:eastAsia="仿宋" w:cs="仿宋"/>
          <w:sz w:val="30"/>
          <w:szCs w:val="30"/>
        </w:rPr>
        <w:t>年，财政拨款“三公”经费预算安排10.8万元，其中：因公出国（境）费0万元；公务用车购置及运维费</w:t>
      </w:r>
      <w:r>
        <w:rPr>
          <w:rFonts w:hint="eastAsia" w:ascii="仿宋" w:hAnsi="仿宋" w:eastAsia="仿宋" w:cs="仿宋"/>
          <w:sz w:val="30"/>
          <w:szCs w:val="30"/>
          <w:lang w:val="en-US" w:eastAsia="zh-CN"/>
        </w:rPr>
        <w:t>4.5</w:t>
      </w:r>
      <w:r>
        <w:rPr>
          <w:rFonts w:hint="eastAsia" w:ascii="仿宋" w:hAnsi="仿宋" w:eastAsia="仿宋" w:cs="仿宋"/>
          <w:sz w:val="30"/>
          <w:szCs w:val="30"/>
        </w:rPr>
        <w:t>万元（其中：公务用车购置费0万元，公务用车运行费</w:t>
      </w:r>
      <w:r>
        <w:rPr>
          <w:rFonts w:hint="eastAsia" w:ascii="仿宋" w:hAnsi="仿宋" w:eastAsia="仿宋" w:cs="仿宋"/>
          <w:sz w:val="30"/>
          <w:szCs w:val="30"/>
          <w:lang w:val="en-US" w:eastAsia="zh-CN"/>
        </w:rPr>
        <w:t>4.5</w:t>
      </w:r>
      <w:r>
        <w:rPr>
          <w:rFonts w:hint="eastAsia" w:ascii="仿宋" w:hAnsi="仿宋" w:eastAsia="仿宋" w:cs="仿宋"/>
          <w:sz w:val="30"/>
          <w:szCs w:val="30"/>
        </w:rPr>
        <w:t>万元)；公务接待费</w:t>
      </w:r>
      <w:r>
        <w:rPr>
          <w:rFonts w:hint="eastAsia" w:ascii="仿宋" w:hAnsi="仿宋" w:eastAsia="仿宋" w:cs="仿宋"/>
          <w:sz w:val="30"/>
          <w:szCs w:val="30"/>
          <w:lang w:val="en-US" w:eastAsia="zh-CN"/>
        </w:rPr>
        <w:t>0.5</w:t>
      </w:r>
      <w:r>
        <w:rPr>
          <w:rFonts w:hint="eastAsia" w:ascii="仿宋" w:hAnsi="仿宋" w:eastAsia="仿宋" w:cs="仿宋"/>
          <w:sz w:val="30"/>
          <w:szCs w:val="30"/>
        </w:rPr>
        <w:t>万元。</w:t>
      </w:r>
    </w:p>
    <w:p w14:paraId="700E9F23">
      <w:pPr>
        <w:autoSpaceDE w:val="0"/>
        <w:autoSpaceDN w:val="0"/>
        <w:adjustRightInd w:val="0"/>
        <w:ind w:left="198" w:firstLine="600" w:firstLineChars="200"/>
        <w:jc w:val="left"/>
        <w:rPr>
          <w:rFonts w:hint="eastAsia" w:ascii="仿宋" w:hAnsi="仿宋" w:eastAsia="仿宋" w:cs="仿宋"/>
          <w:sz w:val="30"/>
          <w:szCs w:val="30"/>
        </w:rPr>
      </w:pPr>
      <w:r>
        <w:rPr>
          <w:rFonts w:hint="eastAsia" w:ascii="仿宋" w:hAnsi="仿宋" w:eastAsia="仿宋" w:cs="仿宋"/>
          <w:sz w:val="30"/>
          <w:szCs w:val="30"/>
        </w:rPr>
        <w:t>五、绩效预算信息</w:t>
      </w:r>
    </w:p>
    <w:p w14:paraId="4BCBD33F">
      <w:pPr>
        <w:ind w:firstLine="602" w:firstLineChars="200"/>
        <w:jc w:val="left"/>
        <w:rPr>
          <w:rFonts w:hint="eastAsia" w:ascii="仿宋" w:hAnsi="仿宋" w:eastAsia="仿宋" w:cs="仿宋"/>
          <w:b/>
          <w:sz w:val="30"/>
          <w:szCs w:val="30"/>
        </w:rPr>
      </w:pPr>
      <w:bookmarkStart w:id="0" w:name="_Toc471398463"/>
      <w:r>
        <w:rPr>
          <w:rFonts w:hint="eastAsia" w:ascii="仿宋" w:hAnsi="仿宋" w:eastAsia="仿宋" w:cs="仿宋"/>
          <w:b/>
          <w:sz w:val="30"/>
          <w:szCs w:val="30"/>
        </w:rPr>
        <w:t>总体绩效目标：</w:t>
      </w:r>
    </w:p>
    <w:p w14:paraId="00803FC8">
      <w:pPr>
        <w:ind w:firstLine="600" w:firstLineChars="200"/>
        <w:jc w:val="left"/>
        <w:rPr>
          <w:rFonts w:hint="eastAsia" w:ascii="仿宋" w:hAnsi="仿宋" w:eastAsia="仿宋" w:cs="仿宋"/>
          <w:sz w:val="30"/>
          <w:szCs w:val="30"/>
        </w:rPr>
      </w:pPr>
      <w:r>
        <w:rPr>
          <w:rFonts w:hint="eastAsia" w:ascii="仿宋" w:hAnsi="仿宋" w:eastAsia="仿宋" w:cs="仿宋"/>
          <w:sz w:val="30"/>
          <w:szCs w:val="30"/>
        </w:rPr>
        <w:t>全面贯彻党的十九大，全面建成小康社会决胜阶段，夺取新时代中国特色社会主义伟大胜利。认真落实</w:t>
      </w:r>
      <w:r>
        <w:rPr>
          <w:rFonts w:hint="eastAsia" w:ascii="仿宋" w:hAnsi="仿宋" w:eastAsia="仿宋" w:cs="仿宋"/>
          <w:sz w:val="30"/>
          <w:szCs w:val="30"/>
          <w:lang w:eastAsia="zh-CN"/>
        </w:rPr>
        <w:t>《中华人民共和国预算法》</w:t>
      </w:r>
      <w:r>
        <w:rPr>
          <w:rFonts w:hint="eastAsia" w:ascii="仿宋" w:hAnsi="仿宋" w:eastAsia="仿宋" w:cs="仿宋"/>
          <w:sz w:val="30"/>
          <w:szCs w:val="30"/>
        </w:rPr>
        <w:t>等相关法规，紧紧围绕省市和县委、县政府决策部署，唱响“堂堂正正做人、扎扎实实干事”主旋律，继续实施积极的财政政策并加力增效，坚持协同发展、转型升级、又好又快的工作主基调，继续落实积极财政政策，充分发挥财政资源配置与调控职能，坚持依法理财、规范理财，积极推进财税改革，优化支出结构，创新投入方式，强化绩效导向，精准有效发力，着力促进稳增长、调结构、惠民生、促改革、防风险各项政策落实，为建设经济强县、美丽宁晋提供有力的财力支撑。</w:t>
      </w:r>
    </w:p>
    <w:p w14:paraId="1DA8A442">
      <w:pPr>
        <w:jc w:val="left"/>
        <w:rPr>
          <w:rFonts w:hint="eastAsia" w:ascii="仿宋" w:hAnsi="仿宋" w:eastAsia="仿宋" w:cs="仿宋"/>
          <w:b/>
          <w:sz w:val="30"/>
          <w:szCs w:val="30"/>
        </w:rPr>
      </w:pPr>
      <w:r>
        <w:rPr>
          <w:rFonts w:hint="eastAsia" w:ascii="仿宋" w:hAnsi="仿宋" w:eastAsia="仿宋" w:cs="仿宋"/>
          <w:b/>
          <w:sz w:val="30"/>
          <w:szCs w:val="30"/>
        </w:rPr>
        <w:t xml:space="preserve">    职责分类绩效目标：</w:t>
      </w:r>
    </w:p>
    <w:p w14:paraId="09C9C4C9">
      <w:pPr>
        <w:ind w:firstLine="560"/>
        <w:rPr>
          <w:rFonts w:hint="eastAsia" w:ascii="仿宋" w:hAnsi="仿宋" w:eastAsia="仿宋" w:cs="仿宋"/>
          <w:sz w:val="30"/>
          <w:szCs w:val="30"/>
        </w:rPr>
      </w:pPr>
      <w:r>
        <w:rPr>
          <w:rFonts w:hint="eastAsia" w:ascii="仿宋" w:hAnsi="仿宋" w:eastAsia="仿宋" w:cs="仿宋"/>
          <w:sz w:val="30"/>
          <w:szCs w:val="30"/>
        </w:rPr>
        <w:t>宁晋县换马店镇人民政府按职责分类绩效目标情况说明</w:t>
      </w:r>
    </w:p>
    <w:p w14:paraId="33728132">
      <w:pPr>
        <w:ind w:firstLine="560"/>
        <w:rPr>
          <w:rFonts w:hint="eastAsia" w:ascii="仿宋" w:hAnsi="仿宋" w:eastAsia="仿宋" w:cs="仿宋"/>
          <w:sz w:val="30"/>
          <w:szCs w:val="30"/>
        </w:rPr>
      </w:pPr>
      <w:r>
        <w:rPr>
          <w:rFonts w:hint="eastAsia" w:ascii="仿宋" w:hAnsi="仿宋" w:eastAsia="仿宋" w:cs="仿宋"/>
          <w:sz w:val="30"/>
          <w:szCs w:val="30"/>
        </w:rPr>
        <w:t>主要包括：依法行使重大决议权和人事任免权；对“一府两院”进行法律监督和工作监督；加强和改进代表工作；加强常委会及机关自身建设；完成县委招商引资、党建、涉法涉诉来信来访、计生、精神文明及县委交办的其他各项工作；实现职责目标的主要措施：依法组织召开“三会”；适时组织开展调研、视察和执法检查，听取并审议专项工作、询问等。</w:t>
      </w:r>
      <w:bookmarkStart w:id="3" w:name="_GoBack"/>
      <w:bookmarkEnd w:id="3"/>
    </w:p>
    <w:p w14:paraId="59996BAF">
      <w:pPr>
        <w:ind w:firstLine="560"/>
        <w:rPr>
          <w:rFonts w:hint="eastAsia" w:ascii="仿宋" w:hAnsi="仿宋" w:eastAsia="仿宋" w:cs="仿宋"/>
          <w:sz w:val="30"/>
          <w:szCs w:val="30"/>
        </w:rPr>
      </w:pPr>
      <w:r>
        <w:rPr>
          <w:rFonts w:hint="eastAsia" w:ascii="仿宋" w:hAnsi="仿宋" w:eastAsia="仿宋" w:cs="仿宋"/>
          <w:sz w:val="30"/>
          <w:szCs w:val="30"/>
        </w:rPr>
        <w:t>实现本年度规划目标的保障措施</w:t>
      </w:r>
    </w:p>
    <w:p w14:paraId="2D22DE6F">
      <w:pPr>
        <w:ind w:firstLine="600" w:firstLineChars="200"/>
        <w:jc w:val="left"/>
        <w:outlineLvl w:val="0"/>
        <w:rPr>
          <w:rFonts w:hint="eastAsia" w:ascii="仿宋" w:hAnsi="仿宋" w:eastAsia="仿宋" w:cs="仿宋"/>
          <w:sz w:val="30"/>
          <w:szCs w:val="30"/>
        </w:rPr>
      </w:pPr>
      <w:r>
        <w:rPr>
          <w:rFonts w:hint="eastAsia" w:ascii="仿宋" w:hAnsi="仿宋" w:eastAsia="仿宋" w:cs="仿宋"/>
          <w:sz w:val="30"/>
          <w:szCs w:val="30"/>
        </w:rPr>
        <w:t>实现年度发展规划主要规划主要依照宪法和监督法、代表法、组织法等法律法规，围绕县委重大决策战略部署和人民代表大会决议决策为依据和保障。其资金配置全部为县财政拨款方式。</w:t>
      </w:r>
    </w:p>
    <w:p w14:paraId="081D53E2">
      <w:pPr>
        <w:ind w:firstLine="602" w:firstLineChars="200"/>
        <w:jc w:val="left"/>
        <w:outlineLvl w:val="0"/>
        <w:rPr>
          <w:rFonts w:hint="eastAsia" w:ascii="仿宋" w:hAnsi="仿宋" w:eastAsia="仿宋" w:cs="仿宋"/>
          <w:b/>
          <w:sz w:val="30"/>
          <w:szCs w:val="30"/>
        </w:rPr>
      </w:pPr>
      <w:r>
        <w:rPr>
          <w:rFonts w:hint="eastAsia" w:ascii="仿宋" w:hAnsi="仿宋" w:eastAsia="仿宋" w:cs="仿宋"/>
          <w:b/>
          <w:sz w:val="30"/>
          <w:szCs w:val="30"/>
        </w:rPr>
        <w:t>部门职责及工作活动绩效目标指标：</w:t>
      </w:r>
    </w:p>
    <w:p w14:paraId="2D77E623">
      <w:pPr>
        <w:jc w:val="center"/>
        <w:outlineLvl w:val="0"/>
        <w:rPr>
          <w:rFonts w:hint="eastAsia" w:ascii="仿宋" w:hAnsi="仿宋" w:eastAsia="仿宋" w:cs="仿宋"/>
          <w:sz w:val="30"/>
          <w:szCs w:val="30"/>
        </w:rPr>
      </w:pPr>
    </w:p>
    <w:bookmarkEnd w:id="0"/>
    <w:p w14:paraId="37E141B0">
      <w:pPr>
        <w:jc w:val="center"/>
        <w:outlineLvl w:val="0"/>
        <w:rPr>
          <w:rFonts w:hint="eastAsia" w:ascii="仿宋" w:hAnsi="仿宋" w:eastAsia="仿宋" w:cs="仿宋"/>
          <w:sz w:val="30"/>
          <w:szCs w:val="30"/>
        </w:rPr>
      </w:pPr>
      <w:bookmarkStart w:id="1" w:name="_Toc471233074"/>
      <w:r>
        <w:rPr>
          <w:rFonts w:hint="eastAsia" w:ascii="仿宋" w:hAnsi="仿宋" w:eastAsia="仿宋" w:cs="仿宋"/>
          <w:sz w:val="30"/>
          <w:szCs w:val="30"/>
        </w:rPr>
        <w:t>部门职责-工作活动绩效目标</w:t>
      </w:r>
      <w:bookmarkEnd w:id="1"/>
    </w:p>
    <w:tbl>
      <w:tblPr>
        <w:tblStyle w:val="6"/>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95"/>
        <w:gridCol w:w="1536"/>
        <w:gridCol w:w="2459"/>
        <w:gridCol w:w="2459"/>
        <w:gridCol w:w="1321"/>
        <w:gridCol w:w="1096"/>
        <w:gridCol w:w="876"/>
        <w:gridCol w:w="1096"/>
        <w:gridCol w:w="1096"/>
      </w:tblGrid>
      <w:tr w14:paraId="66259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9770" w:type="dxa"/>
            <w:gridSpan w:val="5"/>
            <w:tcBorders>
              <w:top w:val="single" w:color="FFFFFF" w:sz="6" w:space="0"/>
              <w:left w:val="single" w:color="FFFFFF" w:sz="6" w:space="0"/>
              <w:right w:val="single" w:color="FFFFFF" w:sz="6" w:space="0"/>
            </w:tcBorders>
            <w:vAlign w:val="center"/>
          </w:tcPr>
          <w:p w14:paraId="20737982">
            <w:pPr>
              <w:spacing w:line="300" w:lineRule="exact"/>
              <w:jc w:val="left"/>
              <w:rPr>
                <w:rFonts w:hint="eastAsia" w:ascii="仿宋" w:hAnsi="仿宋" w:eastAsia="仿宋" w:cs="仿宋"/>
                <w:sz w:val="30"/>
                <w:szCs w:val="30"/>
              </w:rPr>
            </w:pPr>
            <w:r>
              <w:rPr>
                <w:rFonts w:hint="eastAsia" w:ascii="仿宋" w:hAnsi="仿宋" w:eastAsia="仿宋" w:cs="仿宋"/>
                <w:sz w:val="30"/>
                <w:szCs w:val="30"/>
              </w:rPr>
              <w:t>964宁晋县换马店镇人民政府</w:t>
            </w:r>
          </w:p>
        </w:tc>
        <w:tc>
          <w:tcPr>
            <w:tcW w:w="4164" w:type="dxa"/>
            <w:gridSpan w:val="4"/>
            <w:tcBorders>
              <w:top w:val="single" w:color="FFFFFF" w:sz="6" w:space="0"/>
              <w:left w:val="single" w:color="FFFFFF" w:sz="6" w:space="0"/>
              <w:right w:val="single" w:color="FFFFFF" w:sz="6" w:space="0"/>
            </w:tcBorders>
            <w:vAlign w:val="center"/>
          </w:tcPr>
          <w:p w14:paraId="0C7151DC">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单位：万元</w:t>
            </w:r>
          </w:p>
        </w:tc>
      </w:tr>
      <w:tr w14:paraId="1C798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995" w:type="dxa"/>
            <w:vMerge w:val="restart"/>
            <w:vAlign w:val="center"/>
          </w:tcPr>
          <w:p w14:paraId="2F917166">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职责活动</w:t>
            </w:r>
          </w:p>
        </w:tc>
        <w:tc>
          <w:tcPr>
            <w:tcW w:w="1536" w:type="dxa"/>
            <w:vMerge w:val="restart"/>
            <w:vAlign w:val="center"/>
          </w:tcPr>
          <w:p w14:paraId="63D4C5EC">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年度预算数</w:t>
            </w:r>
          </w:p>
        </w:tc>
        <w:tc>
          <w:tcPr>
            <w:tcW w:w="2459" w:type="dxa"/>
            <w:vMerge w:val="restart"/>
            <w:vAlign w:val="center"/>
          </w:tcPr>
          <w:p w14:paraId="1C642E4A">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内容描述</w:t>
            </w:r>
          </w:p>
        </w:tc>
        <w:tc>
          <w:tcPr>
            <w:tcW w:w="2459" w:type="dxa"/>
            <w:vMerge w:val="restart"/>
            <w:vAlign w:val="center"/>
          </w:tcPr>
          <w:p w14:paraId="7D53AB9B">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1321" w:type="dxa"/>
            <w:vMerge w:val="restart"/>
            <w:vAlign w:val="center"/>
          </w:tcPr>
          <w:p w14:paraId="00064ACA">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w:t>
            </w:r>
          </w:p>
        </w:tc>
        <w:tc>
          <w:tcPr>
            <w:tcW w:w="4164" w:type="dxa"/>
            <w:gridSpan w:val="4"/>
            <w:vAlign w:val="center"/>
          </w:tcPr>
          <w:p w14:paraId="57323665">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评价标准</w:t>
            </w:r>
          </w:p>
        </w:tc>
      </w:tr>
      <w:tr w14:paraId="6AA0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995" w:type="dxa"/>
            <w:vMerge w:val="continue"/>
            <w:vAlign w:val="center"/>
          </w:tcPr>
          <w:p w14:paraId="7468FB96">
            <w:pPr>
              <w:spacing w:line="300" w:lineRule="exact"/>
              <w:jc w:val="left"/>
              <w:outlineLvl w:val="0"/>
              <w:rPr>
                <w:rFonts w:hint="eastAsia" w:ascii="仿宋" w:hAnsi="仿宋" w:eastAsia="仿宋" w:cs="仿宋"/>
                <w:sz w:val="30"/>
                <w:szCs w:val="30"/>
              </w:rPr>
            </w:pPr>
          </w:p>
        </w:tc>
        <w:tc>
          <w:tcPr>
            <w:tcW w:w="1536" w:type="dxa"/>
            <w:vMerge w:val="continue"/>
            <w:vAlign w:val="center"/>
          </w:tcPr>
          <w:p w14:paraId="6C3F3283">
            <w:pPr>
              <w:spacing w:line="300" w:lineRule="exact"/>
              <w:jc w:val="left"/>
              <w:outlineLvl w:val="0"/>
              <w:rPr>
                <w:rFonts w:hint="eastAsia" w:ascii="仿宋" w:hAnsi="仿宋" w:eastAsia="仿宋" w:cs="仿宋"/>
                <w:sz w:val="30"/>
                <w:szCs w:val="30"/>
              </w:rPr>
            </w:pPr>
          </w:p>
        </w:tc>
        <w:tc>
          <w:tcPr>
            <w:tcW w:w="2459" w:type="dxa"/>
            <w:vMerge w:val="continue"/>
            <w:vAlign w:val="center"/>
          </w:tcPr>
          <w:p w14:paraId="297E2F3B">
            <w:pPr>
              <w:spacing w:line="300" w:lineRule="exact"/>
              <w:jc w:val="left"/>
              <w:outlineLvl w:val="0"/>
              <w:rPr>
                <w:rFonts w:hint="eastAsia" w:ascii="仿宋" w:hAnsi="仿宋" w:eastAsia="仿宋" w:cs="仿宋"/>
                <w:sz w:val="30"/>
                <w:szCs w:val="30"/>
              </w:rPr>
            </w:pPr>
          </w:p>
        </w:tc>
        <w:tc>
          <w:tcPr>
            <w:tcW w:w="2459" w:type="dxa"/>
            <w:vMerge w:val="continue"/>
            <w:vAlign w:val="center"/>
          </w:tcPr>
          <w:p w14:paraId="1A6F2C75">
            <w:pPr>
              <w:spacing w:line="300" w:lineRule="exact"/>
              <w:jc w:val="left"/>
              <w:outlineLvl w:val="0"/>
              <w:rPr>
                <w:rFonts w:hint="eastAsia" w:ascii="仿宋" w:hAnsi="仿宋" w:eastAsia="仿宋" w:cs="仿宋"/>
                <w:sz w:val="30"/>
                <w:szCs w:val="30"/>
              </w:rPr>
            </w:pPr>
          </w:p>
        </w:tc>
        <w:tc>
          <w:tcPr>
            <w:tcW w:w="1321" w:type="dxa"/>
            <w:vMerge w:val="continue"/>
            <w:vAlign w:val="center"/>
          </w:tcPr>
          <w:p w14:paraId="3CB28FE1">
            <w:pPr>
              <w:spacing w:line="300" w:lineRule="exact"/>
              <w:jc w:val="left"/>
              <w:outlineLvl w:val="0"/>
              <w:rPr>
                <w:rFonts w:hint="eastAsia" w:ascii="仿宋" w:hAnsi="仿宋" w:eastAsia="仿宋" w:cs="仿宋"/>
                <w:sz w:val="30"/>
                <w:szCs w:val="30"/>
              </w:rPr>
            </w:pPr>
          </w:p>
        </w:tc>
        <w:tc>
          <w:tcPr>
            <w:tcW w:w="1096" w:type="dxa"/>
            <w:vAlign w:val="center"/>
          </w:tcPr>
          <w:p w14:paraId="46F4CD4B">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优</w:t>
            </w:r>
          </w:p>
        </w:tc>
        <w:tc>
          <w:tcPr>
            <w:tcW w:w="876" w:type="dxa"/>
            <w:vAlign w:val="center"/>
          </w:tcPr>
          <w:p w14:paraId="24FF84E5">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良</w:t>
            </w:r>
          </w:p>
        </w:tc>
        <w:tc>
          <w:tcPr>
            <w:tcW w:w="1096" w:type="dxa"/>
            <w:vAlign w:val="center"/>
          </w:tcPr>
          <w:p w14:paraId="10C2F0DD">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中</w:t>
            </w:r>
          </w:p>
        </w:tc>
        <w:tc>
          <w:tcPr>
            <w:tcW w:w="1096" w:type="dxa"/>
            <w:vAlign w:val="center"/>
          </w:tcPr>
          <w:p w14:paraId="55CF3D00">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差</w:t>
            </w:r>
          </w:p>
        </w:tc>
      </w:tr>
      <w:tr w14:paraId="5F6BF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95" w:type="dxa"/>
            <w:vAlign w:val="center"/>
          </w:tcPr>
          <w:p w14:paraId="09A62553">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党政办公室</w:t>
            </w:r>
          </w:p>
        </w:tc>
        <w:tc>
          <w:tcPr>
            <w:tcW w:w="1536" w:type="dxa"/>
            <w:vAlign w:val="center"/>
          </w:tcPr>
          <w:p w14:paraId="33162819">
            <w:pPr>
              <w:spacing w:line="300" w:lineRule="exact"/>
              <w:jc w:val="left"/>
              <w:rPr>
                <w:rFonts w:hint="default" w:ascii="仿宋" w:hAnsi="仿宋" w:eastAsia="仿宋" w:cs="仿宋"/>
                <w:sz w:val="30"/>
                <w:szCs w:val="30"/>
                <w:lang w:val="en-US" w:eastAsia="zh-CN"/>
              </w:rPr>
            </w:pPr>
            <w:r>
              <w:rPr>
                <w:rFonts w:hint="eastAsia" w:ascii="仿宋" w:hAnsi="仿宋" w:eastAsia="仿宋" w:cs="仿宋"/>
                <w:b/>
                <w:bCs/>
                <w:sz w:val="30"/>
                <w:szCs w:val="30"/>
                <w:lang w:val="en-US" w:eastAsia="zh-CN"/>
              </w:rPr>
              <w:t>517</w:t>
            </w:r>
          </w:p>
        </w:tc>
        <w:tc>
          <w:tcPr>
            <w:tcW w:w="2459" w:type="dxa"/>
            <w:vAlign w:val="center"/>
          </w:tcPr>
          <w:p w14:paraId="70E21F50">
            <w:pPr>
              <w:widowControl/>
              <w:jc w:val="center"/>
              <w:textAlignment w:val="center"/>
              <w:rPr>
                <w:rFonts w:hint="eastAsia" w:ascii="仿宋" w:hAnsi="仿宋" w:eastAsia="仿宋" w:cs="仿宋"/>
                <w:sz w:val="30"/>
                <w:szCs w:val="30"/>
              </w:rPr>
            </w:pPr>
            <w:r>
              <w:rPr>
                <w:rFonts w:hint="eastAsia" w:ascii="仿宋" w:hAnsi="仿宋" w:eastAsia="仿宋" w:cs="仿宋"/>
                <w:color w:val="000000"/>
                <w:kern w:val="0"/>
                <w:sz w:val="30"/>
                <w:szCs w:val="30"/>
              </w:rPr>
              <w:t>协助党委、政府处理日常工作，负责政治学习，政务活动宣传工作和精神文明建设，做好组织、干部机构编制、认识、档案管理、政务公开工作；负责农村党组织建设工作；负责农村干部、党员教育、培训管理负责人大主席团日常事务工作</w:t>
            </w:r>
          </w:p>
        </w:tc>
        <w:tc>
          <w:tcPr>
            <w:tcW w:w="2459" w:type="dxa"/>
            <w:vAlign w:val="center"/>
          </w:tcPr>
          <w:p w14:paraId="08ADC66F">
            <w:pPr>
              <w:widowControl/>
              <w:jc w:val="center"/>
              <w:textAlignment w:val="center"/>
              <w:rPr>
                <w:rFonts w:hint="eastAsia" w:ascii="仿宋" w:hAnsi="仿宋" w:eastAsia="仿宋" w:cs="仿宋"/>
                <w:sz w:val="30"/>
                <w:szCs w:val="30"/>
              </w:rPr>
            </w:pPr>
          </w:p>
        </w:tc>
        <w:tc>
          <w:tcPr>
            <w:tcW w:w="1321" w:type="dxa"/>
            <w:vAlign w:val="center"/>
          </w:tcPr>
          <w:p w14:paraId="4C8281BC">
            <w:pPr>
              <w:widowControl/>
              <w:jc w:val="center"/>
              <w:textAlignment w:val="center"/>
              <w:rPr>
                <w:rFonts w:hint="eastAsia" w:ascii="仿宋" w:hAnsi="仿宋" w:eastAsia="仿宋" w:cs="仿宋"/>
                <w:sz w:val="30"/>
                <w:szCs w:val="30"/>
              </w:rPr>
            </w:pPr>
          </w:p>
        </w:tc>
        <w:tc>
          <w:tcPr>
            <w:tcW w:w="1096" w:type="dxa"/>
            <w:vAlign w:val="center"/>
          </w:tcPr>
          <w:p w14:paraId="4A863EE4">
            <w:pPr>
              <w:widowControl/>
              <w:jc w:val="center"/>
              <w:textAlignment w:val="center"/>
              <w:rPr>
                <w:rFonts w:hint="eastAsia" w:ascii="仿宋" w:hAnsi="仿宋" w:eastAsia="仿宋" w:cs="仿宋"/>
                <w:sz w:val="30"/>
                <w:szCs w:val="30"/>
              </w:rPr>
            </w:pPr>
          </w:p>
        </w:tc>
        <w:tc>
          <w:tcPr>
            <w:tcW w:w="876" w:type="dxa"/>
            <w:vAlign w:val="center"/>
          </w:tcPr>
          <w:p w14:paraId="11840202">
            <w:pPr>
              <w:widowControl/>
              <w:jc w:val="center"/>
              <w:textAlignment w:val="center"/>
              <w:rPr>
                <w:rFonts w:hint="eastAsia" w:ascii="仿宋" w:hAnsi="仿宋" w:eastAsia="仿宋" w:cs="仿宋"/>
                <w:sz w:val="30"/>
                <w:szCs w:val="30"/>
              </w:rPr>
            </w:pPr>
          </w:p>
        </w:tc>
        <w:tc>
          <w:tcPr>
            <w:tcW w:w="1096" w:type="dxa"/>
            <w:vAlign w:val="center"/>
          </w:tcPr>
          <w:p w14:paraId="53D5496D">
            <w:pPr>
              <w:widowControl/>
              <w:jc w:val="center"/>
              <w:textAlignment w:val="center"/>
              <w:rPr>
                <w:rFonts w:hint="eastAsia" w:ascii="仿宋" w:hAnsi="仿宋" w:eastAsia="仿宋" w:cs="仿宋"/>
                <w:sz w:val="30"/>
                <w:szCs w:val="30"/>
              </w:rPr>
            </w:pPr>
          </w:p>
        </w:tc>
        <w:tc>
          <w:tcPr>
            <w:tcW w:w="1096" w:type="dxa"/>
            <w:vAlign w:val="center"/>
          </w:tcPr>
          <w:p w14:paraId="5B8252E8">
            <w:pPr>
              <w:widowControl/>
              <w:jc w:val="center"/>
              <w:textAlignment w:val="center"/>
              <w:rPr>
                <w:rFonts w:hint="eastAsia" w:ascii="仿宋" w:hAnsi="仿宋" w:eastAsia="仿宋" w:cs="仿宋"/>
                <w:sz w:val="30"/>
                <w:szCs w:val="30"/>
              </w:rPr>
            </w:pPr>
          </w:p>
        </w:tc>
      </w:tr>
      <w:tr w14:paraId="18FF3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95" w:type="dxa"/>
            <w:vAlign w:val="center"/>
          </w:tcPr>
          <w:p w14:paraId="25B8EDE5">
            <w:pPr>
              <w:widowControl/>
              <w:jc w:val="center"/>
              <w:textAlignment w:val="center"/>
              <w:rPr>
                <w:rFonts w:hint="eastAsia" w:ascii="仿宋" w:hAnsi="仿宋" w:eastAsia="仿宋" w:cs="仿宋"/>
                <w:b/>
                <w:sz w:val="30"/>
                <w:szCs w:val="30"/>
              </w:rPr>
            </w:pPr>
            <w:r>
              <w:rPr>
                <w:rFonts w:hint="eastAsia" w:ascii="仿宋" w:hAnsi="仿宋" w:eastAsia="仿宋" w:cs="仿宋"/>
                <w:color w:val="000000"/>
                <w:kern w:val="0"/>
                <w:sz w:val="30"/>
                <w:szCs w:val="30"/>
              </w:rPr>
              <w:t>综合事务管理</w:t>
            </w:r>
          </w:p>
        </w:tc>
        <w:tc>
          <w:tcPr>
            <w:tcW w:w="1536" w:type="dxa"/>
            <w:vAlign w:val="center"/>
          </w:tcPr>
          <w:p w14:paraId="4D4CFD69">
            <w:pPr>
              <w:jc w:val="center"/>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512.5</w:t>
            </w:r>
          </w:p>
        </w:tc>
        <w:tc>
          <w:tcPr>
            <w:tcW w:w="2459" w:type="dxa"/>
            <w:vAlign w:val="center"/>
          </w:tcPr>
          <w:p w14:paraId="14551DC9">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协助党委、政府处理日常工作，负责政治学习，政务活动宣传工作和精神文明建设，做好组织、干部机构编制、认识、档案管理、政务公开工作；负责农村党组织建设工作；负责农村干部、党员教育、培训管理负责人大主席团日常事务工作</w:t>
            </w:r>
          </w:p>
        </w:tc>
        <w:tc>
          <w:tcPr>
            <w:tcW w:w="2459" w:type="dxa"/>
            <w:vAlign w:val="center"/>
          </w:tcPr>
          <w:p w14:paraId="11B1F6F5">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保障机关工作正常高效运转。</w:t>
            </w:r>
          </w:p>
        </w:tc>
        <w:tc>
          <w:tcPr>
            <w:tcW w:w="1321" w:type="dxa"/>
            <w:vAlign w:val="center"/>
          </w:tcPr>
          <w:p w14:paraId="2F9B7CC4">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综合事务工作完成率</w:t>
            </w:r>
          </w:p>
        </w:tc>
        <w:tc>
          <w:tcPr>
            <w:tcW w:w="1096" w:type="dxa"/>
            <w:vAlign w:val="center"/>
          </w:tcPr>
          <w:p w14:paraId="266DE923">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98%</w:t>
            </w:r>
          </w:p>
        </w:tc>
        <w:tc>
          <w:tcPr>
            <w:tcW w:w="876" w:type="dxa"/>
            <w:vAlign w:val="center"/>
          </w:tcPr>
          <w:p w14:paraId="3F43102A">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≥95%</w:t>
            </w:r>
          </w:p>
        </w:tc>
        <w:tc>
          <w:tcPr>
            <w:tcW w:w="1096" w:type="dxa"/>
            <w:vAlign w:val="center"/>
          </w:tcPr>
          <w:p w14:paraId="6D00E96D">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≥90%</w:t>
            </w:r>
          </w:p>
        </w:tc>
        <w:tc>
          <w:tcPr>
            <w:tcW w:w="1096" w:type="dxa"/>
            <w:vAlign w:val="center"/>
          </w:tcPr>
          <w:p w14:paraId="1BADC24D">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&lt;90%</w:t>
            </w:r>
          </w:p>
        </w:tc>
      </w:tr>
      <w:tr w14:paraId="5A94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95" w:type="dxa"/>
            <w:vAlign w:val="center"/>
          </w:tcPr>
          <w:p w14:paraId="2B90B402">
            <w:pPr>
              <w:widowControl/>
              <w:jc w:val="center"/>
              <w:textAlignment w:val="center"/>
              <w:rPr>
                <w:rFonts w:hint="eastAsia" w:ascii="仿宋" w:hAnsi="仿宋" w:eastAsia="仿宋" w:cs="仿宋"/>
                <w:b/>
                <w:sz w:val="30"/>
                <w:szCs w:val="30"/>
              </w:rPr>
            </w:pPr>
            <w:r>
              <w:rPr>
                <w:rFonts w:hint="eastAsia" w:ascii="仿宋" w:hAnsi="仿宋" w:eastAsia="仿宋" w:cs="仿宋"/>
                <w:color w:val="000000"/>
                <w:kern w:val="0"/>
                <w:sz w:val="30"/>
                <w:szCs w:val="30"/>
              </w:rPr>
              <w:t>人大会议</w:t>
            </w:r>
          </w:p>
        </w:tc>
        <w:tc>
          <w:tcPr>
            <w:tcW w:w="1536" w:type="dxa"/>
            <w:vAlign w:val="center"/>
          </w:tcPr>
          <w:p w14:paraId="1907EAE4">
            <w:pPr>
              <w:jc w:val="cente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4.5</w:t>
            </w:r>
          </w:p>
        </w:tc>
        <w:tc>
          <w:tcPr>
            <w:tcW w:w="2459" w:type="dxa"/>
            <w:vAlign w:val="center"/>
          </w:tcPr>
          <w:p w14:paraId="4F8C2C03">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协助党委、政府处理日常工作，负责政治学习，政务活动宣传工作和精神文明建设，做好组织、干部机构编制、认识、档案管理、政务公开工作；负责农村党组织建设工作；负责农村干部、党员教育、培训管理负责人大主席团日常事务工作</w:t>
            </w:r>
          </w:p>
        </w:tc>
        <w:tc>
          <w:tcPr>
            <w:tcW w:w="2459" w:type="dxa"/>
            <w:vAlign w:val="center"/>
          </w:tcPr>
          <w:p w14:paraId="476CD1D0">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完善各项会议制度，规范会议程序，提高会议质量，提高人大代表及常委会审议水平。</w:t>
            </w:r>
          </w:p>
        </w:tc>
        <w:tc>
          <w:tcPr>
            <w:tcW w:w="1321" w:type="dxa"/>
            <w:vAlign w:val="center"/>
          </w:tcPr>
          <w:p w14:paraId="45D2631A">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会议筹备及会务工作的完成率</w:t>
            </w:r>
          </w:p>
        </w:tc>
        <w:tc>
          <w:tcPr>
            <w:tcW w:w="1096" w:type="dxa"/>
            <w:vAlign w:val="center"/>
          </w:tcPr>
          <w:p w14:paraId="3774E1C9">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≥95%</w:t>
            </w:r>
          </w:p>
        </w:tc>
        <w:tc>
          <w:tcPr>
            <w:tcW w:w="876" w:type="dxa"/>
            <w:vAlign w:val="center"/>
          </w:tcPr>
          <w:p w14:paraId="0A9096BF">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≥90%</w:t>
            </w:r>
          </w:p>
        </w:tc>
        <w:tc>
          <w:tcPr>
            <w:tcW w:w="1096" w:type="dxa"/>
            <w:vAlign w:val="center"/>
          </w:tcPr>
          <w:p w14:paraId="55A1F297">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&lt;90%</w:t>
            </w:r>
          </w:p>
        </w:tc>
        <w:tc>
          <w:tcPr>
            <w:tcW w:w="1096" w:type="dxa"/>
            <w:vAlign w:val="center"/>
          </w:tcPr>
          <w:p w14:paraId="62A96084">
            <w:pPr>
              <w:jc w:val="center"/>
              <w:rPr>
                <w:rFonts w:hint="eastAsia" w:ascii="仿宋" w:hAnsi="仿宋" w:eastAsia="仿宋" w:cs="仿宋"/>
                <w:color w:val="000000"/>
                <w:kern w:val="0"/>
                <w:sz w:val="30"/>
                <w:szCs w:val="30"/>
              </w:rPr>
            </w:pPr>
          </w:p>
        </w:tc>
      </w:tr>
      <w:tr w14:paraId="0F5D1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95" w:type="dxa"/>
            <w:vAlign w:val="center"/>
          </w:tcPr>
          <w:p w14:paraId="1FEF00DC">
            <w:pPr>
              <w:widowControl/>
              <w:textAlignment w:val="center"/>
              <w:rPr>
                <w:rFonts w:hint="eastAsia" w:ascii="仿宋" w:hAnsi="仿宋" w:eastAsia="仿宋" w:cs="仿宋"/>
                <w:b/>
                <w:sz w:val="30"/>
                <w:szCs w:val="30"/>
              </w:rPr>
            </w:pPr>
            <w:r>
              <w:rPr>
                <w:rFonts w:hint="eastAsia" w:ascii="仿宋" w:hAnsi="仿宋" w:eastAsia="仿宋" w:cs="仿宋"/>
                <w:b/>
                <w:bCs/>
                <w:color w:val="000000"/>
                <w:kern w:val="0"/>
                <w:sz w:val="30"/>
                <w:szCs w:val="30"/>
              </w:rPr>
              <w:t>社会事务办公室</w:t>
            </w:r>
          </w:p>
        </w:tc>
        <w:tc>
          <w:tcPr>
            <w:tcW w:w="1536" w:type="dxa"/>
            <w:vAlign w:val="center"/>
          </w:tcPr>
          <w:p w14:paraId="74DE5124">
            <w:pPr>
              <w:jc w:val="center"/>
              <w:rPr>
                <w:rFonts w:hint="default" w:ascii="仿宋" w:hAnsi="仿宋" w:eastAsia="仿宋" w:cs="仿宋"/>
                <w:sz w:val="30"/>
                <w:szCs w:val="30"/>
                <w:lang w:val="en-US" w:eastAsia="zh-CN"/>
              </w:rPr>
            </w:pPr>
            <w:r>
              <w:rPr>
                <w:rFonts w:hint="eastAsia" w:ascii="仿宋" w:hAnsi="仿宋" w:eastAsia="仿宋" w:cs="仿宋"/>
                <w:b/>
                <w:bCs/>
                <w:sz w:val="30"/>
                <w:szCs w:val="30"/>
                <w:lang w:val="en-US" w:eastAsia="zh-CN"/>
              </w:rPr>
              <w:t>8.6</w:t>
            </w:r>
          </w:p>
        </w:tc>
        <w:tc>
          <w:tcPr>
            <w:tcW w:w="2459" w:type="dxa"/>
            <w:vAlign w:val="center"/>
          </w:tcPr>
          <w:p w14:paraId="684CCD16">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主管拥军优属、救灾救济、“五保”低保等社会福利事业工作，主管劳动力资源管理，就业服务，社会养老保险，农村合作医疗等社会保障工作，主管婚姻登记，殡葬改革和妇女儿童权益保护，负责民族、宗教、残疾人工作。负责教育、文化、卫生、食品药品、广播电视工作、推进基层政权建设和基层群众性自治组织建设和村民自治活动。</w:t>
            </w:r>
          </w:p>
        </w:tc>
        <w:tc>
          <w:tcPr>
            <w:tcW w:w="2459" w:type="dxa"/>
            <w:vAlign w:val="center"/>
          </w:tcPr>
          <w:p w14:paraId="2E2BC72B">
            <w:pPr>
              <w:widowControl/>
              <w:jc w:val="center"/>
              <w:textAlignment w:val="center"/>
              <w:rPr>
                <w:rFonts w:hint="eastAsia" w:ascii="仿宋" w:hAnsi="仿宋" w:eastAsia="仿宋" w:cs="仿宋"/>
                <w:color w:val="000000"/>
                <w:kern w:val="0"/>
                <w:sz w:val="30"/>
                <w:szCs w:val="30"/>
              </w:rPr>
            </w:pPr>
          </w:p>
          <w:p w14:paraId="5ED2BD2D">
            <w:pPr>
              <w:widowControl/>
              <w:jc w:val="center"/>
              <w:textAlignment w:val="center"/>
              <w:rPr>
                <w:rFonts w:hint="eastAsia" w:ascii="仿宋" w:hAnsi="仿宋" w:eastAsia="仿宋" w:cs="仿宋"/>
                <w:color w:val="000000"/>
                <w:kern w:val="0"/>
                <w:sz w:val="30"/>
                <w:szCs w:val="30"/>
              </w:rPr>
            </w:pPr>
          </w:p>
        </w:tc>
        <w:tc>
          <w:tcPr>
            <w:tcW w:w="1321" w:type="dxa"/>
            <w:vAlign w:val="center"/>
          </w:tcPr>
          <w:p w14:paraId="65D8992D">
            <w:pPr>
              <w:widowControl/>
              <w:jc w:val="center"/>
              <w:textAlignment w:val="center"/>
              <w:rPr>
                <w:rFonts w:hint="eastAsia" w:ascii="仿宋" w:hAnsi="仿宋" w:eastAsia="仿宋" w:cs="仿宋"/>
                <w:color w:val="000000"/>
                <w:kern w:val="0"/>
                <w:sz w:val="30"/>
                <w:szCs w:val="30"/>
              </w:rPr>
            </w:pPr>
          </w:p>
        </w:tc>
        <w:tc>
          <w:tcPr>
            <w:tcW w:w="1096" w:type="dxa"/>
            <w:vAlign w:val="center"/>
          </w:tcPr>
          <w:p w14:paraId="7E2EEDAB">
            <w:pPr>
              <w:widowControl/>
              <w:jc w:val="center"/>
              <w:textAlignment w:val="center"/>
              <w:rPr>
                <w:rFonts w:hint="eastAsia" w:ascii="仿宋" w:hAnsi="仿宋" w:eastAsia="仿宋" w:cs="仿宋"/>
                <w:color w:val="000000"/>
                <w:kern w:val="0"/>
                <w:sz w:val="30"/>
                <w:szCs w:val="30"/>
              </w:rPr>
            </w:pPr>
          </w:p>
        </w:tc>
        <w:tc>
          <w:tcPr>
            <w:tcW w:w="876" w:type="dxa"/>
            <w:vAlign w:val="center"/>
          </w:tcPr>
          <w:p w14:paraId="094A6E8B">
            <w:pPr>
              <w:widowControl/>
              <w:jc w:val="center"/>
              <w:textAlignment w:val="center"/>
              <w:rPr>
                <w:rFonts w:hint="eastAsia" w:ascii="仿宋" w:hAnsi="仿宋" w:eastAsia="仿宋" w:cs="仿宋"/>
                <w:color w:val="000000"/>
                <w:kern w:val="0"/>
                <w:sz w:val="30"/>
                <w:szCs w:val="30"/>
              </w:rPr>
            </w:pPr>
          </w:p>
        </w:tc>
        <w:tc>
          <w:tcPr>
            <w:tcW w:w="1096" w:type="dxa"/>
            <w:vAlign w:val="center"/>
          </w:tcPr>
          <w:p w14:paraId="4A1E70BF">
            <w:pPr>
              <w:widowControl/>
              <w:jc w:val="center"/>
              <w:textAlignment w:val="center"/>
              <w:rPr>
                <w:rFonts w:hint="eastAsia" w:ascii="仿宋" w:hAnsi="仿宋" w:eastAsia="仿宋" w:cs="仿宋"/>
                <w:color w:val="000000"/>
                <w:kern w:val="0"/>
                <w:sz w:val="30"/>
                <w:szCs w:val="30"/>
              </w:rPr>
            </w:pPr>
          </w:p>
        </w:tc>
        <w:tc>
          <w:tcPr>
            <w:tcW w:w="1096" w:type="dxa"/>
            <w:vAlign w:val="center"/>
          </w:tcPr>
          <w:p w14:paraId="31A1A158">
            <w:pPr>
              <w:widowControl/>
              <w:jc w:val="center"/>
              <w:textAlignment w:val="center"/>
              <w:rPr>
                <w:rFonts w:hint="eastAsia" w:ascii="仿宋" w:hAnsi="仿宋" w:eastAsia="仿宋" w:cs="仿宋"/>
                <w:color w:val="000000"/>
                <w:kern w:val="0"/>
                <w:sz w:val="30"/>
                <w:szCs w:val="30"/>
              </w:rPr>
            </w:pPr>
          </w:p>
        </w:tc>
      </w:tr>
      <w:tr w14:paraId="7038D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03" w:hRule="atLeast"/>
          <w:jc w:val="center"/>
        </w:trPr>
        <w:tc>
          <w:tcPr>
            <w:tcW w:w="1995" w:type="dxa"/>
            <w:vAlign w:val="center"/>
          </w:tcPr>
          <w:p w14:paraId="4D448055">
            <w:pPr>
              <w:widowControl/>
              <w:jc w:val="center"/>
              <w:textAlignment w:val="center"/>
              <w:rPr>
                <w:rFonts w:hint="eastAsia" w:ascii="仿宋" w:hAnsi="仿宋" w:eastAsia="仿宋" w:cs="仿宋"/>
                <w:b/>
                <w:sz w:val="30"/>
                <w:szCs w:val="30"/>
              </w:rPr>
            </w:pPr>
            <w:r>
              <w:rPr>
                <w:rFonts w:hint="eastAsia" w:ascii="仿宋" w:hAnsi="仿宋" w:eastAsia="仿宋" w:cs="仿宋"/>
                <w:color w:val="000000"/>
                <w:kern w:val="0"/>
                <w:sz w:val="30"/>
                <w:szCs w:val="30"/>
              </w:rPr>
              <w:t>安全生产监管</w:t>
            </w:r>
          </w:p>
        </w:tc>
        <w:tc>
          <w:tcPr>
            <w:tcW w:w="1536" w:type="dxa"/>
            <w:vAlign w:val="center"/>
          </w:tcPr>
          <w:p w14:paraId="256198E1">
            <w:pPr>
              <w:widowControl/>
              <w:jc w:val="center"/>
              <w:textAlignment w:val="center"/>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8.6</w:t>
            </w:r>
          </w:p>
        </w:tc>
        <w:tc>
          <w:tcPr>
            <w:tcW w:w="2459" w:type="dxa"/>
            <w:vAlign w:val="center"/>
          </w:tcPr>
          <w:p w14:paraId="7D6ED609">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主管拥军优属、救灾救济、“五保”低保等社会福利事业工作，主管劳动力资源管理，就业服务，社会养老保险，农村合作医疗等社会保障工作，主管婚姻登记，殡葬改革和妇女儿童权益保护，负责民族、宗教、残疾人工作。负责教育、文化、卫生、食品药品、广播电视工作、推进基层政权建设和基层群众性自治</w:t>
            </w:r>
          </w:p>
        </w:tc>
        <w:tc>
          <w:tcPr>
            <w:tcW w:w="2459" w:type="dxa"/>
            <w:vAlign w:val="center"/>
          </w:tcPr>
          <w:p w14:paraId="3D4E1EF9">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确保生产、流通、消费环节和保健食品不出现重大事故</w:t>
            </w:r>
          </w:p>
        </w:tc>
        <w:tc>
          <w:tcPr>
            <w:tcW w:w="1321" w:type="dxa"/>
            <w:vAlign w:val="center"/>
          </w:tcPr>
          <w:p w14:paraId="4AFC3DC4">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餐饮业、食堂、企业等费安全信息监测覆盖面</w:t>
            </w:r>
          </w:p>
        </w:tc>
        <w:tc>
          <w:tcPr>
            <w:tcW w:w="1096" w:type="dxa"/>
            <w:vAlign w:val="center"/>
          </w:tcPr>
          <w:p w14:paraId="6E7EA9DE">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≥90%</w:t>
            </w:r>
          </w:p>
        </w:tc>
        <w:tc>
          <w:tcPr>
            <w:tcW w:w="876" w:type="dxa"/>
            <w:vAlign w:val="center"/>
          </w:tcPr>
          <w:p w14:paraId="5007F871">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≥85%</w:t>
            </w:r>
          </w:p>
        </w:tc>
        <w:tc>
          <w:tcPr>
            <w:tcW w:w="1096" w:type="dxa"/>
            <w:vAlign w:val="center"/>
          </w:tcPr>
          <w:p w14:paraId="6D9327D3">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≥80%</w:t>
            </w:r>
          </w:p>
        </w:tc>
        <w:tc>
          <w:tcPr>
            <w:tcW w:w="1096" w:type="dxa"/>
            <w:vAlign w:val="center"/>
          </w:tcPr>
          <w:p w14:paraId="65EA7B06">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＜80%</w:t>
            </w:r>
          </w:p>
        </w:tc>
      </w:tr>
      <w:tr w14:paraId="5EDB6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1" w:hRule="atLeast"/>
          <w:jc w:val="center"/>
        </w:trPr>
        <w:tc>
          <w:tcPr>
            <w:tcW w:w="1995" w:type="dxa"/>
            <w:shd w:val="clear" w:color="auto" w:fill="auto"/>
            <w:vAlign w:val="center"/>
          </w:tcPr>
          <w:p w14:paraId="321A5FFE">
            <w:pPr>
              <w:widowControl/>
              <w:textAlignment w:val="center"/>
              <w:rPr>
                <w:rFonts w:hint="eastAsia" w:ascii="仿宋" w:hAnsi="仿宋" w:eastAsia="仿宋" w:cs="仿宋"/>
                <w:b/>
                <w:sz w:val="30"/>
                <w:szCs w:val="30"/>
              </w:rPr>
            </w:pPr>
            <w:r>
              <w:rPr>
                <w:rFonts w:hint="eastAsia" w:ascii="仿宋" w:hAnsi="仿宋" w:eastAsia="仿宋" w:cs="仿宋"/>
                <w:b/>
                <w:bCs/>
                <w:color w:val="000000"/>
                <w:kern w:val="0"/>
                <w:sz w:val="30"/>
                <w:szCs w:val="30"/>
              </w:rPr>
              <w:t>经济发展办公室</w:t>
            </w:r>
          </w:p>
        </w:tc>
        <w:tc>
          <w:tcPr>
            <w:tcW w:w="1536" w:type="dxa"/>
            <w:shd w:val="clear" w:color="auto" w:fill="auto"/>
            <w:vAlign w:val="center"/>
          </w:tcPr>
          <w:p w14:paraId="00469031">
            <w:pPr>
              <w:jc w:val="center"/>
              <w:rPr>
                <w:rFonts w:hint="eastAsia" w:ascii="仿宋" w:hAnsi="仿宋" w:eastAsia="仿宋" w:cs="仿宋"/>
                <w:sz w:val="30"/>
                <w:szCs w:val="30"/>
              </w:rPr>
            </w:pPr>
            <w:r>
              <w:rPr>
                <w:rFonts w:hint="eastAsia" w:ascii="仿宋" w:hAnsi="仿宋" w:eastAsia="仿宋" w:cs="仿宋"/>
                <w:b/>
                <w:bCs/>
                <w:sz w:val="30"/>
                <w:szCs w:val="30"/>
              </w:rPr>
              <w:t>8.03</w:t>
            </w:r>
          </w:p>
        </w:tc>
        <w:tc>
          <w:tcPr>
            <w:tcW w:w="2459" w:type="dxa"/>
            <w:shd w:val="clear" w:color="auto" w:fill="auto"/>
            <w:vAlign w:val="center"/>
          </w:tcPr>
          <w:p w14:paraId="5B09E63E">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综合管理财政收支、编制财政计划、制定财政预算草案和审编年度决算；负责农村财政财务管理、审计、监督及农村财会人员的指导培训工作。承担经济发展的协调服务和村集体经济建设等工作；负责对外招商引资工作，引进人才、技术、项目工作；负责组织各项经济统计和相关经济普查工作。</w:t>
            </w:r>
          </w:p>
        </w:tc>
        <w:tc>
          <w:tcPr>
            <w:tcW w:w="2459" w:type="dxa"/>
            <w:shd w:val="clear" w:color="auto" w:fill="auto"/>
            <w:vAlign w:val="center"/>
          </w:tcPr>
          <w:p w14:paraId="1D07BA83">
            <w:pPr>
              <w:widowControl/>
              <w:jc w:val="center"/>
              <w:textAlignment w:val="center"/>
              <w:rPr>
                <w:rFonts w:hint="eastAsia" w:ascii="仿宋" w:hAnsi="仿宋" w:eastAsia="仿宋" w:cs="仿宋"/>
                <w:color w:val="000000"/>
                <w:kern w:val="0"/>
                <w:sz w:val="30"/>
                <w:szCs w:val="30"/>
              </w:rPr>
            </w:pPr>
          </w:p>
        </w:tc>
        <w:tc>
          <w:tcPr>
            <w:tcW w:w="1321" w:type="dxa"/>
            <w:shd w:val="clear" w:color="auto" w:fill="FFFFFF"/>
            <w:vAlign w:val="center"/>
          </w:tcPr>
          <w:p w14:paraId="5AA65A8C">
            <w:pPr>
              <w:widowControl/>
              <w:jc w:val="center"/>
              <w:textAlignment w:val="center"/>
              <w:rPr>
                <w:rFonts w:hint="eastAsia" w:ascii="仿宋" w:hAnsi="仿宋" w:eastAsia="仿宋" w:cs="仿宋"/>
                <w:color w:val="000000"/>
                <w:kern w:val="0"/>
                <w:sz w:val="30"/>
                <w:szCs w:val="30"/>
              </w:rPr>
            </w:pPr>
          </w:p>
        </w:tc>
        <w:tc>
          <w:tcPr>
            <w:tcW w:w="1096" w:type="dxa"/>
            <w:shd w:val="clear" w:color="auto" w:fill="FFFFFF"/>
            <w:vAlign w:val="center"/>
          </w:tcPr>
          <w:p w14:paraId="2A1DB72F">
            <w:pPr>
              <w:widowControl/>
              <w:jc w:val="center"/>
              <w:textAlignment w:val="center"/>
              <w:rPr>
                <w:rFonts w:hint="eastAsia" w:ascii="仿宋" w:hAnsi="仿宋" w:eastAsia="仿宋" w:cs="仿宋"/>
                <w:color w:val="000000"/>
                <w:kern w:val="0"/>
                <w:sz w:val="30"/>
                <w:szCs w:val="30"/>
              </w:rPr>
            </w:pPr>
          </w:p>
        </w:tc>
        <w:tc>
          <w:tcPr>
            <w:tcW w:w="876" w:type="dxa"/>
            <w:vAlign w:val="center"/>
          </w:tcPr>
          <w:p w14:paraId="6A98A8F2">
            <w:pPr>
              <w:widowControl/>
              <w:jc w:val="center"/>
              <w:textAlignment w:val="center"/>
              <w:rPr>
                <w:rFonts w:hint="eastAsia" w:ascii="仿宋" w:hAnsi="仿宋" w:eastAsia="仿宋" w:cs="仿宋"/>
                <w:color w:val="000000"/>
                <w:kern w:val="0"/>
                <w:sz w:val="30"/>
                <w:szCs w:val="30"/>
              </w:rPr>
            </w:pPr>
          </w:p>
        </w:tc>
        <w:tc>
          <w:tcPr>
            <w:tcW w:w="1096" w:type="dxa"/>
            <w:vAlign w:val="center"/>
          </w:tcPr>
          <w:p w14:paraId="5130BD30">
            <w:pPr>
              <w:widowControl/>
              <w:jc w:val="center"/>
              <w:textAlignment w:val="center"/>
              <w:rPr>
                <w:rFonts w:hint="eastAsia" w:ascii="仿宋" w:hAnsi="仿宋" w:eastAsia="仿宋" w:cs="仿宋"/>
                <w:color w:val="000000"/>
                <w:kern w:val="0"/>
                <w:sz w:val="30"/>
                <w:szCs w:val="30"/>
              </w:rPr>
            </w:pPr>
          </w:p>
        </w:tc>
        <w:tc>
          <w:tcPr>
            <w:tcW w:w="1096" w:type="dxa"/>
            <w:vAlign w:val="center"/>
          </w:tcPr>
          <w:p w14:paraId="4391AE0C">
            <w:pPr>
              <w:widowControl/>
              <w:jc w:val="center"/>
              <w:textAlignment w:val="center"/>
              <w:rPr>
                <w:rFonts w:hint="eastAsia" w:ascii="仿宋" w:hAnsi="仿宋" w:eastAsia="仿宋" w:cs="仿宋"/>
                <w:color w:val="000000"/>
                <w:kern w:val="0"/>
                <w:sz w:val="30"/>
                <w:szCs w:val="30"/>
              </w:rPr>
            </w:pPr>
          </w:p>
        </w:tc>
      </w:tr>
      <w:tr w14:paraId="081E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95" w:type="dxa"/>
            <w:vAlign w:val="center"/>
          </w:tcPr>
          <w:p w14:paraId="432ABA10">
            <w:pPr>
              <w:widowControl/>
              <w:jc w:val="center"/>
              <w:textAlignment w:val="center"/>
              <w:rPr>
                <w:rFonts w:hint="eastAsia" w:ascii="仿宋" w:hAnsi="仿宋" w:eastAsia="仿宋" w:cs="仿宋"/>
                <w:b/>
                <w:sz w:val="30"/>
                <w:szCs w:val="30"/>
              </w:rPr>
            </w:pPr>
            <w:r>
              <w:rPr>
                <w:rFonts w:hint="eastAsia" w:ascii="仿宋" w:hAnsi="仿宋" w:eastAsia="仿宋" w:cs="仿宋"/>
                <w:color w:val="000000"/>
                <w:kern w:val="0"/>
                <w:sz w:val="30"/>
                <w:szCs w:val="30"/>
              </w:rPr>
              <w:t>农村财务管理</w:t>
            </w:r>
          </w:p>
        </w:tc>
        <w:tc>
          <w:tcPr>
            <w:tcW w:w="1536" w:type="dxa"/>
            <w:vAlign w:val="center"/>
          </w:tcPr>
          <w:p w14:paraId="2FF60044">
            <w:pPr>
              <w:jc w:val="center"/>
              <w:rPr>
                <w:rFonts w:hint="eastAsia" w:ascii="仿宋" w:hAnsi="仿宋" w:eastAsia="仿宋" w:cs="仿宋"/>
                <w:sz w:val="30"/>
                <w:szCs w:val="30"/>
              </w:rPr>
            </w:pPr>
            <w:r>
              <w:rPr>
                <w:rFonts w:hint="eastAsia" w:ascii="仿宋" w:hAnsi="仿宋" w:eastAsia="仿宋" w:cs="仿宋"/>
                <w:sz w:val="30"/>
                <w:szCs w:val="30"/>
              </w:rPr>
              <w:t>7.53</w:t>
            </w:r>
          </w:p>
        </w:tc>
        <w:tc>
          <w:tcPr>
            <w:tcW w:w="2459" w:type="dxa"/>
            <w:vAlign w:val="center"/>
          </w:tcPr>
          <w:p w14:paraId="03E25D30">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综合管理财政收支、编制财政计划、制定财政预算草案和审编年度决算；负责农村财政财务管理、审计、监督及农村财会人员的指导培训工作。承担经济发展的协调服务和村集体经济建设等工作；负责对外招商引资工作，引进人才、技术、项目工作；负责组织各项经济统计和相关经济普查工作。</w:t>
            </w:r>
          </w:p>
        </w:tc>
        <w:tc>
          <w:tcPr>
            <w:tcW w:w="2459" w:type="dxa"/>
            <w:vAlign w:val="center"/>
          </w:tcPr>
          <w:p w14:paraId="56FCEB75">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负责农村财务管理工作。通过对农村财务审计监督及农村会计人员的指导培训，维护国家财政经济秩序，促进廉政建设，保障国民经济的健康运行。</w:t>
            </w:r>
          </w:p>
        </w:tc>
        <w:tc>
          <w:tcPr>
            <w:tcW w:w="1321" w:type="dxa"/>
            <w:vAlign w:val="center"/>
          </w:tcPr>
          <w:p w14:paraId="439EF3FD">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审计、监督落实率和培训覆盖率</w:t>
            </w:r>
          </w:p>
        </w:tc>
        <w:tc>
          <w:tcPr>
            <w:tcW w:w="1096" w:type="dxa"/>
            <w:vAlign w:val="center"/>
          </w:tcPr>
          <w:p w14:paraId="30AC01FE">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≥90%</w:t>
            </w:r>
          </w:p>
        </w:tc>
        <w:tc>
          <w:tcPr>
            <w:tcW w:w="876" w:type="dxa"/>
            <w:vAlign w:val="center"/>
          </w:tcPr>
          <w:p w14:paraId="37C3D2CA">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≥80%</w:t>
            </w:r>
          </w:p>
        </w:tc>
        <w:tc>
          <w:tcPr>
            <w:tcW w:w="1096" w:type="dxa"/>
            <w:vAlign w:val="center"/>
          </w:tcPr>
          <w:p w14:paraId="5A0254C4">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≥70%</w:t>
            </w:r>
          </w:p>
        </w:tc>
        <w:tc>
          <w:tcPr>
            <w:tcW w:w="1096" w:type="dxa"/>
            <w:vAlign w:val="center"/>
          </w:tcPr>
          <w:p w14:paraId="78E01B2E">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&lt;70%</w:t>
            </w:r>
          </w:p>
        </w:tc>
      </w:tr>
      <w:tr w14:paraId="61F75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95" w:type="dxa"/>
            <w:vAlign w:val="center"/>
          </w:tcPr>
          <w:p w14:paraId="24E8FB33">
            <w:pPr>
              <w:widowControl/>
              <w:jc w:val="center"/>
              <w:textAlignment w:val="center"/>
              <w:rPr>
                <w:rFonts w:hint="eastAsia" w:ascii="仿宋" w:hAnsi="仿宋" w:eastAsia="仿宋" w:cs="仿宋"/>
                <w:b/>
                <w:sz w:val="30"/>
                <w:szCs w:val="30"/>
              </w:rPr>
            </w:pPr>
            <w:r>
              <w:rPr>
                <w:rFonts w:hint="eastAsia" w:ascii="仿宋" w:hAnsi="仿宋" w:eastAsia="仿宋" w:cs="仿宋"/>
                <w:color w:val="000000"/>
                <w:kern w:val="0"/>
                <w:sz w:val="30"/>
                <w:szCs w:val="30"/>
              </w:rPr>
              <w:t>财政所事务</w:t>
            </w:r>
          </w:p>
        </w:tc>
        <w:tc>
          <w:tcPr>
            <w:tcW w:w="1536" w:type="dxa"/>
            <w:vAlign w:val="center"/>
          </w:tcPr>
          <w:p w14:paraId="16DA8859">
            <w:pPr>
              <w:jc w:val="center"/>
              <w:rPr>
                <w:rFonts w:hint="eastAsia" w:ascii="仿宋" w:hAnsi="仿宋" w:eastAsia="仿宋" w:cs="仿宋"/>
                <w:sz w:val="30"/>
                <w:szCs w:val="30"/>
              </w:rPr>
            </w:pPr>
            <w:r>
              <w:rPr>
                <w:rFonts w:hint="eastAsia" w:ascii="仿宋" w:hAnsi="仿宋" w:eastAsia="仿宋" w:cs="仿宋"/>
                <w:sz w:val="30"/>
                <w:szCs w:val="30"/>
              </w:rPr>
              <w:t>0.5</w:t>
            </w:r>
          </w:p>
        </w:tc>
        <w:tc>
          <w:tcPr>
            <w:tcW w:w="2459" w:type="dxa"/>
            <w:vAlign w:val="center"/>
          </w:tcPr>
          <w:p w14:paraId="0669F5DB">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综合管理财政收支、编制财政计划、制定财政预算草案和审编年度决算；负责农村财政财务管理、审计、监督及农村财会人员的指导培训工作。承担经济发展的协调服务和村集体经济建设等工作；负责对外招商引资工作，引进人才、技术、项目工作；负责组织各项经济统计和相关经济普查工作。</w:t>
            </w:r>
          </w:p>
        </w:tc>
        <w:tc>
          <w:tcPr>
            <w:tcW w:w="2459" w:type="dxa"/>
            <w:vAlign w:val="center"/>
          </w:tcPr>
          <w:p w14:paraId="073F3ADE">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落实国家、省财税改革和上级县委县政府重大决策部署,加强税收征管；提高纳税人遵从度，提升地税系统形象。</w:t>
            </w:r>
          </w:p>
        </w:tc>
        <w:tc>
          <w:tcPr>
            <w:tcW w:w="1321" w:type="dxa"/>
            <w:vAlign w:val="center"/>
          </w:tcPr>
          <w:p w14:paraId="32401898">
            <w:pPr>
              <w:widowControl/>
              <w:jc w:val="left"/>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宣传任务完成率</w:t>
            </w:r>
          </w:p>
        </w:tc>
        <w:tc>
          <w:tcPr>
            <w:tcW w:w="1096" w:type="dxa"/>
            <w:vAlign w:val="center"/>
          </w:tcPr>
          <w:p w14:paraId="24F6EAE7">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100%</w:t>
            </w:r>
          </w:p>
        </w:tc>
        <w:tc>
          <w:tcPr>
            <w:tcW w:w="876" w:type="dxa"/>
            <w:vAlign w:val="center"/>
          </w:tcPr>
          <w:p w14:paraId="09FB5594">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≥95%</w:t>
            </w:r>
          </w:p>
        </w:tc>
        <w:tc>
          <w:tcPr>
            <w:tcW w:w="1096" w:type="dxa"/>
            <w:vAlign w:val="center"/>
          </w:tcPr>
          <w:p w14:paraId="539063A2">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≥90%</w:t>
            </w:r>
          </w:p>
        </w:tc>
        <w:tc>
          <w:tcPr>
            <w:tcW w:w="1096" w:type="dxa"/>
            <w:vAlign w:val="center"/>
          </w:tcPr>
          <w:p w14:paraId="21D08827">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＜90%</w:t>
            </w:r>
          </w:p>
        </w:tc>
      </w:tr>
      <w:tr w14:paraId="3AE72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95" w:type="dxa"/>
            <w:shd w:val="clear" w:color="auto" w:fill="FFFFFF"/>
            <w:vAlign w:val="center"/>
          </w:tcPr>
          <w:p w14:paraId="55975465">
            <w:pPr>
              <w:widowControl/>
              <w:textAlignment w:val="center"/>
              <w:rPr>
                <w:rFonts w:hint="eastAsia" w:ascii="仿宋" w:hAnsi="仿宋" w:eastAsia="仿宋" w:cs="仿宋"/>
                <w:b/>
                <w:sz w:val="30"/>
                <w:szCs w:val="30"/>
              </w:rPr>
            </w:pPr>
            <w:r>
              <w:rPr>
                <w:rFonts w:hint="eastAsia" w:ascii="仿宋" w:hAnsi="仿宋" w:eastAsia="仿宋" w:cs="仿宋"/>
                <w:b/>
                <w:bCs/>
                <w:color w:val="000000"/>
                <w:kern w:val="0"/>
                <w:sz w:val="30"/>
                <w:szCs w:val="30"/>
              </w:rPr>
              <w:t>综合治理办公室</w:t>
            </w:r>
          </w:p>
        </w:tc>
        <w:tc>
          <w:tcPr>
            <w:tcW w:w="1536" w:type="dxa"/>
            <w:shd w:val="clear" w:color="auto" w:fill="auto"/>
            <w:vAlign w:val="center"/>
          </w:tcPr>
          <w:p w14:paraId="1CA386E4">
            <w:pPr>
              <w:jc w:val="center"/>
              <w:rPr>
                <w:rFonts w:hint="eastAsia" w:ascii="仿宋" w:hAnsi="仿宋" w:eastAsia="仿宋" w:cs="仿宋"/>
                <w:sz w:val="30"/>
                <w:szCs w:val="30"/>
                <w:lang w:val="en-US" w:eastAsia="zh-CN"/>
              </w:rPr>
            </w:pPr>
            <w:r>
              <w:rPr>
                <w:rFonts w:hint="eastAsia" w:ascii="仿宋" w:hAnsi="仿宋" w:eastAsia="仿宋" w:cs="仿宋"/>
                <w:b/>
                <w:bCs/>
                <w:sz w:val="30"/>
                <w:szCs w:val="30"/>
                <w:lang w:val="en-US" w:eastAsia="zh-CN"/>
              </w:rPr>
              <w:t>7.7</w:t>
            </w:r>
          </w:p>
        </w:tc>
        <w:tc>
          <w:tcPr>
            <w:tcW w:w="2459" w:type="dxa"/>
            <w:shd w:val="clear" w:color="auto" w:fill="auto"/>
            <w:vAlign w:val="center"/>
          </w:tcPr>
          <w:p w14:paraId="724B7486">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组织、支持、协调公安派出所、人民法庭、司法所等政法基层住址开展综合治理工作，充分发挥其职能作用；指导、检查、监督基层党支部、村委会和辖区内的企事业单位开展社会治安综合治理工作；搞好普法教育、民事调解、民间纠纷排查；做好来人信访工作。</w:t>
            </w:r>
          </w:p>
        </w:tc>
        <w:tc>
          <w:tcPr>
            <w:tcW w:w="2459" w:type="dxa"/>
            <w:shd w:val="clear" w:color="auto" w:fill="FFFFFF"/>
            <w:vAlign w:val="center"/>
          </w:tcPr>
          <w:p w14:paraId="5D010C67">
            <w:pPr>
              <w:widowControl/>
              <w:jc w:val="center"/>
              <w:textAlignment w:val="center"/>
              <w:rPr>
                <w:rFonts w:hint="eastAsia" w:ascii="仿宋" w:hAnsi="仿宋" w:eastAsia="仿宋" w:cs="仿宋"/>
                <w:color w:val="000000"/>
                <w:kern w:val="0"/>
                <w:sz w:val="30"/>
                <w:szCs w:val="30"/>
              </w:rPr>
            </w:pPr>
          </w:p>
        </w:tc>
        <w:tc>
          <w:tcPr>
            <w:tcW w:w="1321" w:type="dxa"/>
            <w:shd w:val="clear" w:color="auto" w:fill="FFFFFF"/>
            <w:vAlign w:val="center"/>
          </w:tcPr>
          <w:p w14:paraId="1D2769C9">
            <w:pPr>
              <w:widowControl/>
              <w:jc w:val="center"/>
              <w:textAlignment w:val="center"/>
              <w:rPr>
                <w:rFonts w:hint="eastAsia" w:ascii="仿宋" w:hAnsi="仿宋" w:eastAsia="仿宋" w:cs="仿宋"/>
                <w:color w:val="000000"/>
                <w:kern w:val="0"/>
                <w:sz w:val="30"/>
                <w:szCs w:val="30"/>
              </w:rPr>
            </w:pPr>
          </w:p>
        </w:tc>
        <w:tc>
          <w:tcPr>
            <w:tcW w:w="1096" w:type="dxa"/>
            <w:shd w:val="clear" w:color="auto" w:fill="FFFFFF"/>
            <w:vAlign w:val="center"/>
          </w:tcPr>
          <w:p w14:paraId="79CAD8B9">
            <w:pPr>
              <w:jc w:val="center"/>
              <w:rPr>
                <w:rFonts w:hint="eastAsia" w:ascii="仿宋" w:hAnsi="仿宋" w:eastAsia="仿宋" w:cs="仿宋"/>
                <w:color w:val="000000"/>
                <w:kern w:val="0"/>
                <w:sz w:val="30"/>
                <w:szCs w:val="30"/>
              </w:rPr>
            </w:pPr>
          </w:p>
        </w:tc>
        <w:tc>
          <w:tcPr>
            <w:tcW w:w="876" w:type="dxa"/>
            <w:vAlign w:val="center"/>
          </w:tcPr>
          <w:p w14:paraId="53459BDC">
            <w:pPr>
              <w:widowControl/>
              <w:jc w:val="center"/>
              <w:textAlignment w:val="center"/>
              <w:rPr>
                <w:rFonts w:hint="eastAsia" w:ascii="仿宋" w:hAnsi="仿宋" w:eastAsia="仿宋" w:cs="仿宋"/>
                <w:color w:val="000000"/>
                <w:kern w:val="0"/>
                <w:sz w:val="30"/>
                <w:szCs w:val="30"/>
              </w:rPr>
            </w:pPr>
          </w:p>
        </w:tc>
        <w:tc>
          <w:tcPr>
            <w:tcW w:w="1096" w:type="dxa"/>
            <w:vAlign w:val="center"/>
          </w:tcPr>
          <w:p w14:paraId="75D07948">
            <w:pPr>
              <w:jc w:val="center"/>
              <w:rPr>
                <w:rFonts w:hint="eastAsia" w:ascii="仿宋" w:hAnsi="仿宋" w:eastAsia="仿宋" w:cs="仿宋"/>
                <w:color w:val="000000"/>
                <w:kern w:val="0"/>
                <w:sz w:val="30"/>
                <w:szCs w:val="30"/>
              </w:rPr>
            </w:pPr>
          </w:p>
        </w:tc>
        <w:tc>
          <w:tcPr>
            <w:tcW w:w="1096" w:type="dxa"/>
            <w:vAlign w:val="center"/>
          </w:tcPr>
          <w:p w14:paraId="13FCE3E2">
            <w:pPr>
              <w:jc w:val="center"/>
              <w:rPr>
                <w:rFonts w:hint="eastAsia" w:ascii="仿宋" w:hAnsi="仿宋" w:eastAsia="仿宋" w:cs="仿宋"/>
                <w:color w:val="000000"/>
                <w:kern w:val="0"/>
                <w:sz w:val="30"/>
                <w:szCs w:val="30"/>
              </w:rPr>
            </w:pPr>
          </w:p>
        </w:tc>
      </w:tr>
      <w:tr w14:paraId="25EB3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95" w:type="dxa"/>
            <w:shd w:val="clear" w:color="auto" w:fill="FFFFFF"/>
            <w:vAlign w:val="center"/>
          </w:tcPr>
          <w:p w14:paraId="37D3D6B4">
            <w:pPr>
              <w:widowControl/>
              <w:jc w:val="center"/>
              <w:textAlignment w:val="center"/>
              <w:rPr>
                <w:rFonts w:hint="eastAsia" w:ascii="仿宋" w:hAnsi="仿宋" w:eastAsia="仿宋" w:cs="仿宋"/>
                <w:b/>
                <w:sz w:val="30"/>
                <w:szCs w:val="30"/>
              </w:rPr>
            </w:pPr>
            <w:r>
              <w:rPr>
                <w:rFonts w:hint="eastAsia" w:ascii="仿宋" w:hAnsi="仿宋" w:eastAsia="仿宋" w:cs="仿宋"/>
                <w:color w:val="000000"/>
                <w:kern w:val="0"/>
                <w:sz w:val="30"/>
                <w:szCs w:val="30"/>
              </w:rPr>
              <w:t>综合治理（武装活动）</w:t>
            </w:r>
          </w:p>
        </w:tc>
        <w:tc>
          <w:tcPr>
            <w:tcW w:w="1536" w:type="dxa"/>
            <w:shd w:val="clear" w:color="auto" w:fill="auto"/>
            <w:vAlign w:val="center"/>
          </w:tcPr>
          <w:p w14:paraId="46DF20AB">
            <w:pPr>
              <w:jc w:val="center"/>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5.7</w:t>
            </w:r>
          </w:p>
        </w:tc>
        <w:tc>
          <w:tcPr>
            <w:tcW w:w="2459" w:type="dxa"/>
            <w:shd w:val="clear" w:color="auto" w:fill="auto"/>
            <w:vAlign w:val="center"/>
          </w:tcPr>
          <w:p w14:paraId="152D7C9A">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组织、支持、协调公安派出所、人民法庭、司法所等政法基层住址开展综合治理工作，充分发挥其职能作用；指导、检查、监督基层党支部、村委会和辖区内的企事业单位开展社会治安综合治理工作；搞好普法教育、民事调解、民间纠纷排查；做好来人信访工作。</w:t>
            </w:r>
          </w:p>
        </w:tc>
        <w:tc>
          <w:tcPr>
            <w:tcW w:w="2459" w:type="dxa"/>
            <w:shd w:val="clear" w:color="auto" w:fill="FFFFFF"/>
            <w:vAlign w:val="center"/>
          </w:tcPr>
          <w:p w14:paraId="32E2899B">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实现政治安定、社会稳定和人民生活和谐有序。</w:t>
            </w:r>
          </w:p>
        </w:tc>
        <w:tc>
          <w:tcPr>
            <w:tcW w:w="1321" w:type="dxa"/>
            <w:shd w:val="clear" w:color="auto" w:fill="FFFFFF"/>
            <w:vAlign w:val="center"/>
          </w:tcPr>
          <w:p w14:paraId="307F221B">
            <w:pPr>
              <w:jc w:val="center"/>
              <w:rPr>
                <w:rFonts w:hint="eastAsia" w:ascii="仿宋" w:hAnsi="仿宋" w:eastAsia="仿宋" w:cs="仿宋"/>
                <w:color w:val="000000"/>
                <w:kern w:val="0"/>
                <w:sz w:val="30"/>
                <w:szCs w:val="30"/>
              </w:rPr>
            </w:pPr>
          </w:p>
        </w:tc>
        <w:tc>
          <w:tcPr>
            <w:tcW w:w="1096" w:type="dxa"/>
            <w:vAlign w:val="center"/>
          </w:tcPr>
          <w:p w14:paraId="2B5A8DA9">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≥95%</w:t>
            </w:r>
          </w:p>
        </w:tc>
        <w:tc>
          <w:tcPr>
            <w:tcW w:w="876" w:type="dxa"/>
            <w:vAlign w:val="center"/>
          </w:tcPr>
          <w:p w14:paraId="63332A79">
            <w:pPr>
              <w:jc w:val="center"/>
              <w:rPr>
                <w:rFonts w:hint="eastAsia" w:ascii="仿宋" w:hAnsi="仿宋" w:eastAsia="仿宋" w:cs="仿宋"/>
                <w:color w:val="000000"/>
                <w:kern w:val="0"/>
                <w:sz w:val="30"/>
                <w:szCs w:val="30"/>
              </w:rPr>
            </w:pPr>
          </w:p>
        </w:tc>
        <w:tc>
          <w:tcPr>
            <w:tcW w:w="1096" w:type="dxa"/>
            <w:vAlign w:val="center"/>
          </w:tcPr>
          <w:p w14:paraId="6BDC284F">
            <w:pPr>
              <w:jc w:val="center"/>
              <w:rPr>
                <w:rFonts w:hint="eastAsia" w:ascii="仿宋" w:hAnsi="仿宋" w:eastAsia="仿宋" w:cs="仿宋"/>
                <w:color w:val="000000"/>
                <w:kern w:val="0"/>
                <w:sz w:val="30"/>
                <w:szCs w:val="30"/>
              </w:rPr>
            </w:pPr>
          </w:p>
        </w:tc>
        <w:tc>
          <w:tcPr>
            <w:tcW w:w="1096" w:type="dxa"/>
            <w:vAlign w:val="center"/>
          </w:tcPr>
          <w:p w14:paraId="57B7EFA9">
            <w:pPr>
              <w:jc w:val="center"/>
              <w:rPr>
                <w:rFonts w:hint="eastAsia" w:ascii="仿宋" w:hAnsi="仿宋" w:eastAsia="仿宋" w:cs="仿宋"/>
                <w:color w:val="000000"/>
                <w:kern w:val="0"/>
                <w:sz w:val="30"/>
                <w:szCs w:val="30"/>
              </w:rPr>
            </w:pPr>
          </w:p>
        </w:tc>
      </w:tr>
      <w:tr w14:paraId="54763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95" w:type="dxa"/>
            <w:vAlign w:val="center"/>
          </w:tcPr>
          <w:p w14:paraId="520515D0">
            <w:pPr>
              <w:widowControl/>
              <w:jc w:val="center"/>
              <w:textAlignment w:val="center"/>
              <w:rPr>
                <w:rFonts w:hint="eastAsia" w:ascii="仿宋" w:hAnsi="仿宋" w:eastAsia="仿宋" w:cs="仿宋"/>
                <w:b/>
                <w:sz w:val="30"/>
                <w:szCs w:val="30"/>
              </w:rPr>
            </w:pPr>
            <w:r>
              <w:rPr>
                <w:rFonts w:hint="eastAsia" w:ascii="仿宋" w:hAnsi="仿宋" w:eastAsia="仿宋" w:cs="仿宋"/>
                <w:color w:val="000000"/>
                <w:kern w:val="0"/>
                <w:sz w:val="30"/>
                <w:szCs w:val="30"/>
              </w:rPr>
              <w:t>信访业务办理</w:t>
            </w:r>
          </w:p>
        </w:tc>
        <w:tc>
          <w:tcPr>
            <w:tcW w:w="1536" w:type="dxa"/>
            <w:vAlign w:val="center"/>
          </w:tcPr>
          <w:p w14:paraId="7833A13E">
            <w:pPr>
              <w:jc w:val="cente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w:t>
            </w:r>
          </w:p>
        </w:tc>
        <w:tc>
          <w:tcPr>
            <w:tcW w:w="2459" w:type="dxa"/>
            <w:vAlign w:val="center"/>
          </w:tcPr>
          <w:p w14:paraId="491A58B1">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组织、支持、协调公安派出所、人民法庭、司法所等政法基层住址开展综合治理工作，充分发挥其职能作用；指导、检查、监督基层党支部、村委会和辖区内的企事业单位开展社会治安综合治理工作；搞好普法教育、民事调解、民间纠纷排查；做好来人信访工作。</w:t>
            </w:r>
          </w:p>
        </w:tc>
        <w:tc>
          <w:tcPr>
            <w:tcW w:w="2459" w:type="dxa"/>
            <w:vAlign w:val="center"/>
          </w:tcPr>
          <w:p w14:paraId="41DDA2B3">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畅通信访渠道，提高信访事项办理质量和效率。</w:t>
            </w:r>
          </w:p>
        </w:tc>
        <w:tc>
          <w:tcPr>
            <w:tcW w:w="1321" w:type="dxa"/>
            <w:vAlign w:val="center"/>
          </w:tcPr>
          <w:p w14:paraId="28AE0A99">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信访事项按期结案率</w:t>
            </w:r>
          </w:p>
        </w:tc>
        <w:tc>
          <w:tcPr>
            <w:tcW w:w="1096" w:type="dxa"/>
            <w:vAlign w:val="center"/>
          </w:tcPr>
          <w:p w14:paraId="4F738DC4">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≥80%</w:t>
            </w:r>
          </w:p>
        </w:tc>
        <w:tc>
          <w:tcPr>
            <w:tcW w:w="876" w:type="dxa"/>
            <w:vAlign w:val="center"/>
          </w:tcPr>
          <w:p w14:paraId="4C812995">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≥75%</w:t>
            </w:r>
          </w:p>
        </w:tc>
        <w:tc>
          <w:tcPr>
            <w:tcW w:w="1096" w:type="dxa"/>
            <w:vAlign w:val="center"/>
          </w:tcPr>
          <w:p w14:paraId="6AB6EF96">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≥70%</w:t>
            </w:r>
          </w:p>
        </w:tc>
        <w:tc>
          <w:tcPr>
            <w:tcW w:w="1096" w:type="dxa"/>
            <w:vAlign w:val="center"/>
          </w:tcPr>
          <w:p w14:paraId="0EF74BF3">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&lt;70%</w:t>
            </w:r>
          </w:p>
        </w:tc>
      </w:tr>
      <w:tr w14:paraId="6283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95" w:type="dxa"/>
            <w:vAlign w:val="center"/>
          </w:tcPr>
          <w:p w14:paraId="74177E58">
            <w:pPr>
              <w:widowControl/>
              <w:jc w:val="center"/>
              <w:textAlignment w:val="center"/>
              <w:rPr>
                <w:rFonts w:hint="eastAsia" w:ascii="仿宋" w:hAnsi="仿宋" w:eastAsia="仿宋" w:cs="仿宋"/>
                <w:b/>
                <w:bCs/>
                <w:sz w:val="30"/>
                <w:szCs w:val="30"/>
              </w:rPr>
            </w:pPr>
            <w:r>
              <w:rPr>
                <w:rFonts w:hint="eastAsia" w:ascii="仿宋" w:hAnsi="仿宋" w:eastAsia="仿宋" w:cs="仿宋"/>
                <w:b/>
                <w:bCs/>
                <w:color w:val="000000"/>
                <w:kern w:val="0"/>
                <w:sz w:val="30"/>
                <w:szCs w:val="30"/>
                <w:lang w:eastAsia="zh-CN"/>
              </w:rPr>
              <w:t>卫生计生</w:t>
            </w:r>
            <w:r>
              <w:rPr>
                <w:rFonts w:hint="eastAsia" w:ascii="仿宋" w:hAnsi="仿宋" w:eastAsia="仿宋" w:cs="仿宋"/>
                <w:b/>
                <w:bCs/>
                <w:color w:val="000000"/>
                <w:kern w:val="0"/>
                <w:sz w:val="30"/>
                <w:szCs w:val="30"/>
              </w:rPr>
              <w:t>办公室</w:t>
            </w:r>
          </w:p>
        </w:tc>
        <w:tc>
          <w:tcPr>
            <w:tcW w:w="1536" w:type="dxa"/>
            <w:vAlign w:val="center"/>
          </w:tcPr>
          <w:p w14:paraId="597B38A9">
            <w:pPr>
              <w:jc w:val="center"/>
              <w:rPr>
                <w:rFonts w:hint="default" w:ascii="仿宋" w:hAnsi="仿宋" w:eastAsia="仿宋" w:cs="仿宋"/>
                <w:sz w:val="30"/>
                <w:szCs w:val="30"/>
                <w:lang w:val="en-US" w:eastAsia="zh-CN"/>
              </w:rPr>
            </w:pPr>
            <w:r>
              <w:rPr>
                <w:rFonts w:hint="eastAsia" w:ascii="仿宋" w:hAnsi="仿宋" w:eastAsia="仿宋" w:cs="仿宋"/>
                <w:b/>
                <w:bCs/>
                <w:sz w:val="30"/>
                <w:szCs w:val="30"/>
              </w:rPr>
              <w:t>100</w:t>
            </w:r>
            <w:r>
              <w:rPr>
                <w:rFonts w:hint="eastAsia" w:ascii="仿宋" w:hAnsi="仿宋" w:eastAsia="仿宋" w:cs="仿宋"/>
                <w:b/>
                <w:bCs/>
                <w:sz w:val="30"/>
                <w:szCs w:val="30"/>
                <w:lang w:val="en-US" w:eastAsia="zh-CN"/>
              </w:rPr>
              <w:t>.03</w:t>
            </w:r>
          </w:p>
        </w:tc>
        <w:tc>
          <w:tcPr>
            <w:tcW w:w="2459" w:type="dxa"/>
            <w:vAlign w:val="center"/>
          </w:tcPr>
          <w:p w14:paraId="617E4F7B">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贯彻执行党和国家计划生育政策、法规、制定有关管理办法和实施细则，并组织实施；负责编制人口发展长期和年度计划，完成上级下达的人口计划和目标；负责本级与村级计划生育组织建设和计划生育服务的综合管理；负责指导、监督各村、社区基层计划生育组织的工作；归口管理计划生育服务中心、计划生育协会等机构；对违法生育情况进行立案并征收社会抚养费；协调有关部门对计划生育工作实行综合治理等</w:t>
            </w:r>
          </w:p>
        </w:tc>
        <w:tc>
          <w:tcPr>
            <w:tcW w:w="2459" w:type="dxa"/>
            <w:vAlign w:val="center"/>
          </w:tcPr>
          <w:p w14:paraId="0F7959A1">
            <w:pPr>
              <w:widowControl/>
              <w:jc w:val="center"/>
              <w:textAlignment w:val="center"/>
              <w:rPr>
                <w:rFonts w:hint="eastAsia" w:ascii="仿宋" w:hAnsi="仿宋" w:eastAsia="仿宋" w:cs="仿宋"/>
                <w:color w:val="000000"/>
                <w:kern w:val="0"/>
                <w:sz w:val="30"/>
                <w:szCs w:val="30"/>
              </w:rPr>
            </w:pPr>
          </w:p>
        </w:tc>
        <w:tc>
          <w:tcPr>
            <w:tcW w:w="1321" w:type="dxa"/>
            <w:vAlign w:val="center"/>
          </w:tcPr>
          <w:p w14:paraId="0479BB7F">
            <w:pPr>
              <w:widowControl/>
              <w:jc w:val="center"/>
              <w:textAlignment w:val="center"/>
              <w:rPr>
                <w:rFonts w:hint="eastAsia" w:ascii="仿宋" w:hAnsi="仿宋" w:eastAsia="仿宋" w:cs="仿宋"/>
                <w:color w:val="000000"/>
                <w:kern w:val="0"/>
                <w:sz w:val="30"/>
                <w:szCs w:val="30"/>
              </w:rPr>
            </w:pPr>
          </w:p>
        </w:tc>
        <w:tc>
          <w:tcPr>
            <w:tcW w:w="1096" w:type="dxa"/>
            <w:vAlign w:val="center"/>
          </w:tcPr>
          <w:p w14:paraId="40704200">
            <w:pPr>
              <w:widowControl/>
              <w:jc w:val="center"/>
              <w:textAlignment w:val="center"/>
              <w:rPr>
                <w:rFonts w:hint="eastAsia" w:ascii="仿宋" w:hAnsi="仿宋" w:eastAsia="仿宋" w:cs="仿宋"/>
                <w:color w:val="000000"/>
                <w:kern w:val="0"/>
                <w:sz w:val="30"/>
                <w:szCs w:val="30"/>
              </w:rPr>
            </w:pPr>
          </w:p>
        </w:tc>
        <w:tc>
          <w:tcPr>
            <w:tcW w:w="876" w:type="dxa"/>
            <w:vAlign w:val="center"/>
          </w:tcPr>
          <w:p w14:paraId="7824D22A">
            <w:pPr>
              <w:widowControl/>
              <w:jc w:val="center"/>
              <w:textAlignment w:val="center"/>
              <w:rPr>
                <w:rFonts w:hint="eastAsia" w:ascii="仿宋" w:hAnsi="仿宋" w:eastAsia="仿宋" w:cs="仿宋"/>
                <w:color w:val="000000"/>
                <w:kern w:val="0"/>
                <w:sz w:val="30"/>
                <w:szCs w:val="30"/>
              </w:rPr>
            </w:pPr>
          </w:p>
        </w:tc>
        <w:tc>
          <w:tcPr>
            <w:tcW w:w="1096" w:type="dxa"/>
            <w:vAlign w:val="center"/>
          </w:tcPr>
          <w:p w14:paraId="661605E6">
            <w:pPr>
              <w:widowControl/>
              <w:jc w:val="center"/>
              <w:textAlignment w:val="center"/>
              <w:rPr>
                <w:rFonts w:hint="eastAsia" w:ascii="仿宋" w:hAnsi="仿宋" w:eastAsia="仿宋" w:cs="仿宋"/>
                <w:color w:val="000000"/>
                <w:kern w:val="0"/>
                <w:sz w:val="30"/>
                <w:szCs w:val="30"/>
              </w:rPr>
            </w:pPr>
          </w:p>
        </w:tc>
        <w:tc>
          <w:tcPr>
            <w:tcW w:w="1096" w:type="dxa"/>
            <w:vAlign w:val="center"/>
          </w:tcPr>
          <w:p w14:paraId="430C214C">
            <w:pPr>
              <w:widowControl/>
              <w:jc w:val="center"/>
              <w:textAlignment w:val="center"/>
              <w:rPr>
                <w:rFonts w:hint="eastAsia" w:ascii="仿宋" w:hAnsi="仿宋" w:eastAsia="仿宋" w:cs="仿宋"/>
                <w:color w:val="000000"/>
                <w:kern w:val="0"/>
                <w:sz w:val="30"/>
                <w:szCs w:val="30"/>
              </w:rPr>
            </w:pPr>
          </w:p>
        </w:tc>
      </w:tr>
      <w:tr w14:paraId="2E211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98" w:hRule="atLeast"/>
          <w:jc w:val="center"/>
        </w:trPr>
        <w:tc>
          <w:tcPr>
            <w:tcW w:w="1995" w:type="dxa"/>
            <w:vAlign w:val="center"/>
          </w:tcPr>
          <w:p w14:paraId="423FEE09">
            <w:pPr>
              <w:widowControl/>
              <w:jc w:val="center"/>
              <w:textAlignment w:val="center"/>
              <w:rPr>
                <w:rFonts w:hint="eastAsia" w:ascii="仿宋" w:hAnsi="仿宋" w:eastAsia="仿宋" w:cs="仿宋"/>
                <w:b/>
                <w:sz w:val="30"/>
                <w:szCs w:val="30"/>
              </w:rPr>
            </w:pPr>
            <w:r>
              <w:rPr>
                <w:rFonts w:hint="eastAsia" w:ascii="仿宋" w:hAnsi="仿宋" w:eastAsia="仿宋" w:cs="仿宋"/>
                <w:color w:val="000000"/>
                <w:kern w:val="0"/>
                <w:sz w:val="30"/>
                <w:szCs w:val="30"/>
                <w:lang w:eastAsia="zh-CN"/>
              </w:rPr>
              <w:t>卫生计生</w:t>
            </w:r>
            <w:r>
              <w:rPr>
                <w:rFonts w:hint="eastAsia" w:ascii="仿宋" w:hAnsi="仿宋" w:eastAsia="仿宋" w:cs="仿宋"/>
                <w:color w:val="000000"/>
                <w:kern w:val="0"/>
                <w:sz w:val="30"/>
                <w:szCs w:val="30"/>
              </w:rPr>
              <w:t>指导与管理</w:t>
            </w:r>
          </w:p>
        </w:tc>
        <w:tc>
          <w:tcPr>
            <w:tcW w:w="1536" w:type="dxa"/>
            <w:vAlign w:val="center"/>
          </w:tcPr>
          <w:p w14:paraId="0830FA76">
            <w:pPr>
              <w:jc w:val="center"/>
              <w:rPr>
                <w:rFonts w:hint="default" w:ascii="仿宋" w:hAnsi="仿宋" w:eastAsia="仿宋" w:cs="仿宋"/>
                <w:sz w:val="30"/>
                <w:szCs w:val="30"/>
                <w:lang w:val="en-US" w:eastAsia="zh-CN"/>
              </w:rPr>
            </w:pPr>
            <w:r>
              <w:rPr>
                <w:rFonts w:hint="eastAsia" w:ascii="仿宋" w:hAnsi="仿宋" w:eastAsia="仿宋" w:cs="仿宋"/>
                <w:sz w:val="30"/>
                <w:szCs w:val="30"/>
              </w:rPr>
              <w:t>100</w:t>
            </w:r>
            <w:r>
              <w:rPr>
                <w:rFonts w:hint="eastAsia" w:ascii="仿宋" w:hAnsi="仿宋" w:eastAsia="仿宋" w:cs="仿宋"/>
                <w:sz w:val="30"/>
                <w:szCs w:val="30"/>
                <w:lang w:val="en-US" w:eastAsia="zh-CN"/>
              </w:rPr>
              <w:t>.03</w:t>
            </w:r>
          </w:p>
        </w:tc>
        <w:tc>
          <w:tcPr>
            <w:tcW w:w="2459" w:type="dxa"/>
            <w:vAlign w:val="center"/>
          </w:tcPr>
          <w:p w14:paraId="178CDFFD">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贯彻执行党和国家计划生育政策、法规、制定有关管理办法和实施细则，并组织实施；负责编制人口发展长期和年度计划，完成上级下达的人口计划和目标；负责本级与村级计划生育组织建设和计划生育服务的综合管理；负责指导、监督各村、社区基层计划生育组织的工作；归口管理计划生育服务中心、计划生育协会等机构；对违法生育情况进行立案并征收社会抚养费；协调有关部门对计划生育工作实行综合治理等</w:t>
            </w:r>
          </w:p>
        </w:tc>
        <w:tc>
          <w:tcPr>
            <w:tcW w:w="2459" w:type="dxa"/>
            <w:vAlign w:val="center"/>
          </w:tcPr>
          <w:p w14:paraId="707B3920">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计生合同制临时人员、村计生专人员工资。</w:t>
            </w:r>
          </w:p>
        </w:tc>
        <w:tc>
          <w:tcPr>
            <w:tcW w:w="1321" w:type="dxa"/>
            <w:vAlign w:val="center"/>
          </w:tcPr>
          <w:p w14:paraId="2F347D02">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改工资发放率</w:t>
            </w:r>
          </w:p>
        </w:tc>
        <w:tc>
          <w:tcPr>
            <w:tcW w:w="1096" w:type="dxa"/>
            <w:vAlign w:val="center"/>
          </w:tcPr>
          <w:p w14:paraId="52E014F8">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≥90%</w:t>
            </w:r>
          </w:p>
        </w:tc>
        <w:tc>
          <w:tcPr>
            <w:tcW w:w="876" w:type="dxa"/>
            <w:vAlign w:val="center"/>
          </w:tcPr>
          <w:p w14:paraId="58CE6E9D">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≥80%</w:t>
            </w:r>
          </w:p>
        </w:tc>
        <w:tc>
          <w:tcPr>
            <w:tcW w:w="1096" w:type="dxa"/>
            <w:vAlign w:val="center"/>
          </w:tcPr>
          <w:p w14:paraId="1FD1CBDD">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≥70%</w:t>
            </w:r>
          </w:p>
        </w:tc>
        <w:tc>
          <w:tcPr>
            <w:tcW w:w="1096" w:type="dxa"/>
            <w:vAlign w:val="center"/>
          </w:tcPr>
          <w:p w14:paraId="143A25D7">
            <w:pPr>
              <w:widowControl/>
              <w:jc w:val="center"/>
              <w:textAlignment w:val="center"/>
              <w:rPr>
                <w:rFonts w:hint="eastAsia" w:ascii="仿宋" w:hAnsi="仿宋" w:eastAsia="仿宋" w:cs="仿宋"/>
                <w:color w:val="000000"/>
                <w:kern w:val="0"/>
                <w:sz w:val="30"/>
                <w:szCs w:val="30"/>
              </w:rPr>
            </w:pPr>
          </w:p>
        </w:tc>
      </w:tr>
      <w:tr w14:paraId="47B41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77" w:hRule="atLeast"/>
          <w:jc w:val="center"/>
        </w:trPr>
        <w:tc>
          <w:tcPr>
            <w:tcW w:w="1995" w:type="dxa"/>
            <w:vAlign w:val="center"/>
          </w:tcPr>
          <w:p w14:paraId="085A60EE">
            <w:pPr>
              <w:widowControl/>
              <w:jc w:val="center"/>
              <w:textAlignment w:val="center"/>
              <w:rPr>
                <w:rFonts w:hint="eastAsia" w:ascii="仿宋" w:hAnsi="仿宋" w:eastAsia="仿宋" w:cs="仿宋"/>
                <w:b/>
                <w:sz w:val="30"/>
                <w:szCs w:val="30"/>
              </w:rPr>
            </w:pPr>
            <w:r>
              <w:rPr>
                <w:rFonts w:hint="eastAsia" w:ascii="仿宋" w:hAnsi="仿宋" w:eastAsia="仿宋" w:cs="仿宋"/>
                <w:b/>
                <w:bCs/>
                <w:color w:val="000000"/>
                <w:kern w:val="0"/>
                <w:sz w:val="30"/>
                <w:szCs w:val="30"/>
              </w:rPr>
              <w:t>村镇规划建设办公室</w:t>
            </w:r>
          </w:p>
        </w:tc>
        <w:tc>
          <w:tcPr>
            <w:tcW w:w="1536" w:type="dxa"/>
            <w:vAlign w:val="center"/>
          </w:tcPr>
          <w:p w14:paraId="31288B53">
            <w:pPr>
              <w:jc w:val="center"/>
              <w:rPr>
                <w:rFonts w:hint="eastAsia" w:ascii="仿宋" w:hAnsi="仿宋" w:eastAsia="仿宋" w:cs="仿宋"/>
                <w:sz w:val="30"/>
                <w:szCs w:val="30"/>
                <w:lang w:val="en-US" w:eastAsia="zh-CN"/>
              </w:rPr>
            </w:pPr>
            <w:r>
              <w:rPr>
                <w:rFonts w:hint="eastAsia" w:ascii="仿宋" w:hAnsi="仿宋" w:eastAsia="仿宋" w:cs="仿宋"/>
                <w:b/>
                <w:bCs/>
                <w:sz w:val="30"/>
                <w:szCs w:val="30"/>
                <w:lang w:val="en-US" w:eastAsia="zh-CN"/>
              </w:rPr>
              <w:t>890.64</w:t>
            </w:r>
          </w:p>
        </w:tc>
        <w:tc>
          <w:tcPr>
            <w:tcW w:w="2459" w:type="dxa"/>
            <w:vAlign w:val="center"/>
          </w:tcPr>
          <w:p w14:paraId="661FD59A">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宣传、贯彻城乡规划、建设、环境保护、国土管理等方面的方针、政策、法规。负责制定村镇建设和环境保护的规划，建立并实施建设用地指标和建设计划制度；负责村镇环境综合整治；抓好环境卫生，环境保护，镇村绿化工作，负责落实有关土地的法规；管理农村土地使用和宅基地，协助有关部门做好土地税费的征收管理工作，负责村街道和公路硬化建设等工作。</w:t>
            </w:r>
          </w:p>
        </w:tc>
        <w:tc>
          <w:tcPr>
            <w:tcW w:w="2459" w:type="dxa"/>
            <w:vAlign w:val="center"/>
          </w:tcPr>
          <w:p w14:paraId="5DAA8DE3">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提升机关及行业信息化水平，保障各类业务系统安全稳定运行；加大信息宣传力度，创造良好舆论氛围。组织文娱活动，提高干部职工文化和身体素质</w:t>
            </w:r>
          </w:p>
        </w:tc>
        <w:tc>
          <w:tcPr>
            <w:tcW w:w="1321" w:type="dxa"/>
            <w:vAlign w:val="center"/>
          </w:tcPr>
          <w:p w14:paraId="0548C057">
            <w:pPr>
              <w:widowControl/>
              <w:jc w:val="center"/>
              <w:textAlignment w:val="center"/>
              <w:rPr>
                <w:rFonts w:hint="eastAsia" w:ascii="仿宋" w:hAnsi="仿宋" w:eastAsia="仿宋" w:cs="仿宋"/>
                <w:color w:val="000000"/>
                <w:kern w:val="0"/>
                <w:sz w:val="30"/>
                <w:szCs w:val="30"/>
              </w:rPr>
            </w:pPr>
          </w:p>
        </w:tc>
        <w:tc>
          <w:tcPr>
            <w:tcW w:w="1096" w:type="dxa"/>
            <w:vAlign w:val="center"/>
          </w:tcPr>
          <w:p w14:paraId="5B9E9450">
            <w:pPr>
              <w:widowControl/>
              <w:jc w:val="center"/>
              <w:textAlignment w:val="center"/>
              <w:rPr>
                <w:rFonts w:hint="eastAsia" w:ascii="仿宋" w:hAnsi="仿宋" w:eastAsia="仿宋" w:cs="仿宋"/>
                <w:color w:val="000000"/>
                <w:kern w:val="0"/>
                <w:sz w:val="30"/>
                <w:szCs w:val="30"/>
              </w:rPr>
            </w:pPr>
          </w:p>
        </w:tc>
        <w:tc>
          <w:tcPr>
            <w:tcW w:w="876" w:type="dxa"/>
            <w:vAlign w:val="center"/>
          </w:tcPr>
          <w:p w14:paraId="2BE25985">
            <w:pPr>
              <w:widowControl/>
              <w:jc w:val="center"/>
              <w:textAlignment w:val="center"/>
              <w:rPr>
                <w:rFonts w:hint="eastAsia" w:ascii="仿宋" w:hAnsi="仿宋" w:eastAsia="仿宋" w:cs="仿宋"/>
                <w:color w:val="000000"/>
                <w:kern w:val="0"/>
                <w:sz w:val="30"/>
                <w:szCs w:val="30"/>
              </w:rPr>
            </w:pPr>
          </w:p>
        </w:tc>
        <w:tc>
          <w:tcPr>
            <w:tcW w:w="1096" w:type="dxa"/>
            <w:vAlign w:val="center"/>
          </w:tcPr>
          <w:p w14:paraId="29AB63FA">
            <w:pPr>
              <w:widowControl/>
              <w:jc w:val="center"/>
              <w:textAlignment w:val="center"/>
              <w:rPr>
                <w:rFonts w:hint="eastAsia" w:ascii="仿宋" w:hAnsi="仿宋" w:eastAsia="仿宋" w:cs="仿宋"/>
                <w:color w:val="000000"/>
                <w:kern w:val="0"/>
                <w:sz w:val="30"/>
                <w:szCs w:val="30"/>
              </w:rPr>
            </w:pPr>
          </w:p>
        </w:tc>
        <w:tc>
          <w:tcPr>
            <w:tcW w:w="1096" w:type="dxa"/>
            <w:vAlign w:val="center"/>
          </w:tcPr>
          <w:p w14:paraId="02C3E2BC">
            <w:pPr>
              <w:widowControl/>
              <w:jc w:val="center"/>
              <w:textAlignment w:val="center"/>
              <w:rPr>
                <w:rFonts w:hint="eastAsia" w:ascii="仿宋" w:hAnsi="仿宋" w:eastAsia="仿宋" w:cs="仿宋"/>
                <w:color w:val="000000"/>
                <w:kern w:val="0"/>
                <w:sz w:val="30"/>
                <w:szCs w:val="30"/>
              </w:rPr>
            </w:pPr>
          </w:p>
        </w:tc>
      </w:tr>
      <w:tr w14:paraId="6E53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95" w:type="dxa"/>
            <w:shd w:val="clear" w:color="auto" w:fill="FFFFFF"/>
            <w:vAlign w:val="center"/>
          </w:tcPr>
          <w:p w14:paraId="2F768A7C">
            <w:pPr>
              <w:widowControl/>
              <w:jc w:val="center"/>
              <w:textAlignment w:val="center"/>
              <w:rPr>
                <w:rFonts w:hint="eastAsia" w:ascii="仿宋" w:hAnsi="仿宋" w:eastAsia="仿宋" w:cs="仿宋"/>
                <w:b/>
                <w:sz w:val="30"/>
                <w:szCs w:val="30"/>
              </w:rPr>
            </w:pPr>
            <w:r>
              <w:rPr>
                <w:rFonts w:hint="eastAsia" w:ascii="仿宋" w:hAnsi="仿宋" w:eastAsia="仿宋" w:cs="仿宋"/>
                <w:color w:val="000000"/>
                <w:kern w:val="0"/>
                <w:sz w:val="30"/>
                <w:szCs w:val="30"/>
              </w:rPr>
              <w:t>美丽乡村建设</w:t>
            </w:r>
          </w:p>
        </w:tc>
        <w:tc>
          <w:tcPr>
            <w:tcW w:w="1536" w:type="dxa"/>
            <w:shd w:val="clear" w:color="auto" w:fill="auto"/>
            <w:vAlign w:val="center"/>
          </w:tcPr>
          <w:p w14:paraId="4CFE6B0A">
            <w:pPr>
              <w:jc w:val="cente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602.09</w:t>
            </w:r>
          </w:p>
        </w:tc>
        <w:tc>
          <w:tcPr>
            <w:tcW w:w="2459" w:type="dxa"/>
            <w:shd w:val="clear" w:color="auto" w:fill="auto"/>
            <w:vAlign w:val="center"/>
          </w:tcPr>
          <w:p w14:paraId="1C2F6E3A">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宣传、贯彻城乡规划、建设、环境保护、国土管理等方面的方针、政策、法规。负责制定村镇建设和环境保护的规划，建立并实施建设用地指标和建设计划制度；负责村镇环境综合整治；抓好环境卫生，环境保护，镇村绿化工作，负责落实有关土地的法规；管理农村土地使用和宅基地，协助有关部门做好土地税费的征收管理工作，负责村街道和公路硬化建设等工作。</w:t>
            </w:r>
          </w:p>
        </w:tc>
        <w:tc>
          <w:tcPr>
            <w:tcW w:w="2459" w:type="dxa"/>
            <w:shd w:val="clear" w:color="auto" w:fill="FFFFFF"/>
            <w:vAlign w:val="center"/>
          </w:tcPr>
          <w:p w14:paraId="074A36CE">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围绕农村改造工作要点，突出重点，因地制宜，按照分期分批推进的要求，每年选定一重点村实施改造提升。</w:t>
            </w:r>
          </w:p>
        </w:tc>
        <w:tc>
          <w:tcPr>
            <w:tcW w:w="1321" w:type="dxa"/>
            <w:shd w:val="clear" w:color="auto" w:fill="FFFFFF"/>
            <w:vAlign w:val="center"/>
          </w:tcPr>
          <w:p w14:paraId="74B38F19">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重点村改造提升任务完成率</w:t>
            </w:r>
          </w:p>
        </w:tc>
        <w:tc>
          <w:tcPr>
            <w:tcW w:w="1096" w:type="dxa"/>
            <w:shd w:val="clear" w:color="auto" w:fill="FFFFFF"/>
            <w:vAlign w:val="center"/>
          </w:tcPr>
          <w:p w14:paraId="108EC055">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100%</w:t>
            </w:r>
          </w:p>
        </w:tc>
        <w:tc>
          <w:tcPr>
            <w:tcW w:w="876" w:type="dxa"/>
            <w:shd w:val="clear" w:color="auto" w:fill="FFFFFF"/>
            <w:vAlign w:val="center"/>
          </w:tcPr>
          <w:p w14:paraId="73F22007">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≥95%</w:t>
            </w:r>
          </w:p>
        </w:tc>
        <w:tc>
          <w:tcPr>
            <w:tcW w:w="1096" w:type="dxa"/>
            <w:shd w:val="clear" w:color="auto" w:fill="FFFFFF"/>
            <w:vAlign w:val="center"/>
          </w:tcPr>
          <w:p w14:paraId="03076EBA">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≥90%</w:t>
            </w:r>
          </w:p>
        </w:tc>
        <w:tc>
          <w:tcPr>
            <w:tcW w:w="1096" w:type="dxa"/>
            <w:shd w:val="clear" w:color="auto" w:fill="FFFFFF"/>
            <w:vAlign w:val="center"/>
          </w:tcPr>
          <w:p w14:paraId="029D4D39">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&lt;90%</w:t>
            </w:r>
          </w:p>
        </w:tc>
      </w:tr>
      <w:tr w14:paraId="1B6E9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95" w:type="dxa"/>
            <w:shd w:val="clear" w:color="auto" w:fill="FFFFFF"/>
            <w:vAlign w:val="center"/>
          </w:tcPr>
          <w:p w14:paraId="5F25509D">
            <w:pPr>
              <w:widowControl/>
              <w:jc w:val="center"/>
              <w:textAlignment w:val="center"/>
              <w:rPr>
                <w:rFonts w:hint="eastAsia" w:ascii="仿宋" w:hAnsi="仿宋" w:eastAsia="仿宋" w:cs="仿宋"/>
                <w:b/>
                <w:sz w:val="30"/>
                <w:szCs w:val="30"/>
              </w:rPr>
            </w:pPr>
            <w:r>
              <w:rPr>
                <w:rFonts w:hint="eastAsia" w:ascii="仿宋" w:hAnsi="仿宋" w:eastAsia="仿宋" w:cs="仿宋"/>
                <w:color w:val="000000"/>
                <w:kern w:val="0"/>
                <w:sz w:val="30"/>
                <w:szCs w:val="30"/>
              </w:rPr>
              <w:t>土地确权登记</w:t>
            </w:r>
          </w:p>
        </w:tc>
        <w:tc>
          <w:tcPr>
            <w:tcW w:w="1536" w:type="dxa"/>
            <w:shd w:val="clear" w:color="auto" w:fill="auto"/>
            <w:vAlign w:val="center"/>
          </w:tcPr>
          <w:p w14:paraId="582D48F6">
            <w:pPr>
              <w:jc w:val="cente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3.5</w:t>
            </w:r>
          </w:p>
        </w:tc>
        <w:tc>
          <w:tcPr>
            <w:tcW w:w="2459" w:type="dxa"/>
            <w:shd w:val="clear" w:color="auto" w:fill="auto"/>
            <w:vAlign w:val="center"/>
          </w:tcPr>
          <w:p w14:paraId="007CB6E4">
            <w:pPr>
              <w:widowControl/>
              <w:jc w:val="center"/>
              <w:textAlignment w:val="center"/>
              <w:rPr>
                <w:rFonts w:hint="eastAsia" w:ascii="仿宋" w:hAnsi="仿宋" w:eastAsia="仿宋" w:cs="仿宋"/>
                <w:color w:val="000000"/>
                <w:kern w:val="0"/>
                <w:sz w:val="30"/>
                <w:szCs w:val="30"/>
              </w:rPr>
            </w:pPr>
          </w:p>
        </w:tc>
        <w:tc>
          <w:tcPr>
            <w:tcW w:w="2459" w:type="dxa"/>
            <w:shd w:val="clear" w:color="auto" w:fill="FFFFFF"/>
            <w:vAlign w:val="center"/>
          </w:tcPr>
          <w:p w14:paraId="57FACC3D">
            <w:pPr>
              <w:widowControl/>
              <w:jc w:val="left"/>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进一步完善农村土地承包关系，保护农民利益，促进规模化经营。</w:t>
            </w:r>
          </w:p>
        </w:tc>
        <w:tc>
          <w:tcPr>
            <w:tcW w:w="1321" w:type="dxa"/>
            <w:shd w:val="clear" w:color="auto" w:fill="FFFFFF"/>
            <w:vAlign w:val="center"/>
          </w:tcPr>
          <w:p w14:paraId="21BC7305">
            <w:pPr>
              <w:widowControl/>
              <w:jc w:val="left"/>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全镇耕地确权登记颁证完成率</w:t>
            </w:r>
          </w:p>
        </w:tc>
        <w:tc>
          <w:tcPr>
            <w:tcW w:w="1096" w:type="dxa"/>
            <w:shd w:val="clear" w:color="auto" w:fill="FFFFFF"/>
            <w:vAlign w:val="center"/>
          </w:tcPr>
          <w:p w14:paraId="42891D7C">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100%</w:t>
            </w:r>
          </w:p>
        </w:tc>
        <w:tc>
          <w:tcPr>
            <w:tcW w:w="876" w:type="dxa"/>
            <w:shd w:val="clear" w:color="auto" w:fill="FFFFFF"/>
            <w:vAlign w:val="center"/>
          </w:tcPr>
          <w:p w14:paraId="321F395C">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≥95%</w:t>
            </w:r>
          </w:p>
        </w:tc>
        <w:tc>
          <w:tcPr>
            <w:tcW w:w="1096" w:type="dxa"/>
            <w:shd w:val="clear" w:color="auto" w:fill="FFFFFF"/>
            <w:vAlign w:val="center"/>
          </w:tcPr>
          <w:p w14:paraId="22C62E12">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≥90%</w:t>
            </w:r>
          </w:p>
        </w:tc>
        <w:tc>
          <w:tcPr>
            <w:tcW w:w="1096" w:type="dxa"/>
            <w:shd w:val="clear" w:color="auto" w:fill="FFFFFF"/>
            <w:vAlign w:val="center"/>
          </w:tcPr>
          <w:p w14:paraId="276A8580">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&lt;90%</w:t>
            </w:r>
          </w:p>
        </w:tc>
      </w:tr>
      <w:tr w14:paraId="4832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95" w:type="dxa"/>
            <w:shd w:val="clear" w:color="auto" w:fill="auto"/>
            <w:vAlign w:val="center"/>
          </w:tcPr>
          <w:p w14:paraId="71D7E7C2">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推进城镇化建设</w:t>
            </w:r>
          </w:p>
        </w:tc>
        <w:tc>
          <w:tcPr>
            <w:tcW w:w="1536" w:type="dxa"/>
            <w:shd w:val="clear" w:color="auto" w:fill="auto"/>
            <w:vAlign w:val="center"/>
          </w:tcPr>
          <w:p w14:paraId="70B77340">
            <w:pPr>
              <w:jc w:val="cente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285.05</w:t>
            </w:r>
          </w:p>
        </w:tc>
        <w:tc>
          <w:tcPr>
            <w:tcW w:w="2459" w:type="dxa"/>
            <w:shd w:val="clear" w:color="auto" w:fill="auto"/>
            <w:vAlign w:val="center"/>
          </w:tcPr>
          <w:p w14:paraId="3A9BCC22">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宣传、贯彻城乡规划、建设、环境保护、国土管理等方面的方针、政策、法规。负责制定村镇建设和环境保护的规划，建立并实施建设用地指标和建设计划制度；负责村镇环境综合整治；抓好环境卫生，环境保护，镇村绿化工作，负责落实有关土地的法规；管理农村土地使用和宅基地，协助有关部门做好土地税费的征收管理工作，负责村街道和公路硬化建设等工作</w:t>
            </w:r>
          </w:p>
        </w:tc>
        <w:tc>
          <w:tcPr>
            <w:tcW w:w="2459" w:type="dxa"/>
            <w:shd w:val="clear" w:color="auto" w:fill="FFFFFF"/>
            <w:vAlign w:val="center"/>
          </w:tcPr>
          <w:p w14:paraId="23ED8A9A">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加强村镇建设，改善农村人居环境，实现城乡统筹发展</w:t>
            </w:r>
          </w:p>
        </w:tc>
        <w:tc>
          <w:tcPr>
            <w:tcW w:w="1321" w:type="dxa"/>
            <w:shd w:val="clear" w:color="auto" w:fill="FFFFFF"/>
            <w:vAlign w:val="center"/>
          </w:tcPr>
          <w:p w14:paraId="59DA520B">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垃圾清运率</w:t>
            </w:r>
          </w:p>
        </w:tc>
        <w:tc>
          <w:tcPr>
            <w:tcW w:w="1096" w:type="dxa"/>
            <w:shd w:val="clear" w:color="auto" w:fill="FFFFFF"/>
            <w:vAlign w:val="center"/>
          </w:tcPr>
          <w:p w14:paraId="297196B4">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≥98%</w:t>
            </w:r>
          </w:p>
        </w:tc>
        <w:tc>
          <w:tcPr>
            <w:tcW w:w="876" w:type="dxa"/>
            <w:shd w:val="clear" w:color="auto" w:fill="FFFFFF"/>
            <w:vAlign w:val="center"/>
          </w:tcPr>
          <w:p w14:paraId="00EDD669">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≥90%</w:t>
            </w:r>
          </w:p>
        </w:tc>
        <w:tc>
          <w:tcPr>
            <w:tcW w:w="1096" w:type="dxa"/>
            <w:shd w:val="clear" w:color="auto" w:fill="FFFFFF"/>
            <w:vAlign w:val="center"/>
          </w:tcPr>
          <w:p w14:paraId="2F2718A2">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≥70%</w:t>
            </w:r>
          </w:p>
        </w:tc>
        <w:tc>
          <w:tcPr>
            <w:tcW w:w="1096" w:type="dxa"/>
            <w:shd w:val="clear" w:color="auto" w:fill="FFFFFF"/>
            <w:vAlign w:val="center"/>
          </w:tcPr>
          <w:p w14:paraId="4A6BEE1F">
            <w:pPr>
              <w:widowControl/>
              <w:jc w:val="center"/>
              <w:textAlignment w:val="center"/>
              <w:rPr>
                <w:rFonts w:hint="eastAsia" w:ascii="仿宋" w:hAnsi="仿宋" w:eastAsia="仿宋" w:cs="仿宋"/>
                <w:color w:val="000000"/>
                <w:kern w:val="0"/>
                <w:sz w:val="30"/>
                <w:szCs w:val="30"/>
              </w:rPr>
            </w:pPr>
            <w:r>
              <w:rPr>
                <w:rFonts w:hint="eastAsia" w:ascii="仿宋" w:hAnsi="仿宋" w:eastAsia="仿宋" w:cs="仿宋"/>
                <w:color w:val="000000"/>
                <w:kern w:val="0"/>
                <w:sz w:val="30"/>
                <w:szCs w:val="30"/>
              </w:rPr>
              <w:t>＜70%</w:t>
            </w:r>
          </w:p>
        </w:tc>
      </w:tr>
    </w:tbl>
    <w:p w14:paraId="7BD736C6">
      <w:pPr>
        <w:autoSpaceDE w:val="0"/>
        <w:autoSpaceDN w:val="0"/>
        <w:adjustRightInd w:val="0"/>
        <w:ind w:firstLine="600" w:firstLineChars="200"/>
        <w:jc w:val="left"/>
        <w:rPr>
          <w:rFonts w:hint="eastAsia" w:ascii="仿宋" w:hAnsi="仿宋" w:eastAsia="仿宋" w:cs="仿宋"/>
          <w:sz w:val="30"/>
          <w:szCs w:val="30"/>
        </w:rPr>
      </w:pPr>
      <w:r>
        <w:rPr>
          <w:rFonts w:hint="eastAsia" w:ascii="仿宋" w:hAnsi="仿宋" w:eastAsia="仿宋" w:cs="仿宋"/>
          <w:sz w:val="30"/>
          <w:szCs w:val="30"/>
        </w:rPr>
        <w:t>六、政府采购预算情况</w:t>
      </w:r>
    </w:p>
    <w:p w14:paraId="62B3E7E0">
      <w:pPr>
        <w:outlineLvl w:val="0"/>
        <w:rPr>
          <w:rFonts w:hint="eastAsia" w:ascii="仿宋" w:hAnsi="仿宋" w:eastAsia="仿宋" w:cs="仿宋"/>
          <w:sz w:val="30"/>
          <w:szCs w:val="30"/>
        </w:rPr>
      </w:pPr>
      <w:bookmarkStart w:id="2" w:name="_Toc471398468"/>
      <w:r>
        <w:rPr>
          <w:rFonts w:hint="eastAsia" w:ascii="仿宋" w:hAnsi="仿宋" w:eastAsia="仿宋" w:cs="仿宋"/>
          <w:sz w:val="30"/>
          <w:szCs w:val="30"/>
        </w:rPr>
        <w:t xml:space="preserve">   20</w:t>
      </w:r>
      <w:r>
        <w:rPr>
          <w:rFonts w:hint="eastAsia" w:ascii="仿宋" w:hAnsi="仿宋" w:eastAsia="仿宋" w:cs="仿宋"/>
          <w:sz w:val="30"/>
          <w:szCs w:val="30"/>
          <w:lang w:val="en-US" w:eastAsia="zh-CN"/>
        </w:rPr>
        <w:t>21</w:t>
      </w:r>
      <w:r>
        <w:rPr>
          <w:rFonts w:hint="eastAsia" w:ascii="仿宋" w:hAnsi="仿宋" w:eastAsia="仿宋" w:cs="仿宋"/>
          <w:sz w:val="30"/>
          <w:szCs w:val="30"/>
        </w:rPr>
        <w:t>年，安排政府采购预算</w:t>
      </w:r>
      <w:r>
        <w:rPr>
          <w:rFonts w:hint="eastAsia" w:ascii="仿宋" w:hAnsi="仿宋" w:eastAsia="仿宋" w:cs="仿宋"/>
          <w:sz w:val="30"/>
          <w:szCs w:val="30"/>
          <w:lang w:val="en-US" w:eastAsia="zh-CN"/>
        </w:rPr>
        <w:t>87.17</w:t>
      </w:r>
      <w:r>
        <w:rPr>
          <w:rFonts w:hint="eastAsia" w:ascii="仿宋" w:hAnsi="仿宋" w:eastAsia="仿宋" w:cs="仿宋"/>
          <w:sz w:val="30"/>
          <w:szCs w:val="30"/>
        </w:rPr>
        <w:t>万元。具体内容见下表。</w:t>
      </w:r>
    </w:p>
    <w:p w14:paraId="650F8B1A">
      <w:pPr>
        <w:jc w:val="center"/>
        <w:outlineLvl w:val="0"/>
        <w:rPr>
          <w:rFonts w:hint="eastAsia" w:ascii="仿宋" w:hAnsi="仿宋" w:eastAsia="仿宋" w:cs="仿宋"/>
          <w:sz w:val="30"/>
          <w:szCs w:val="30"/>
        </w:rPr>
      </w:pPr>
      <w:r>
        <w:rPr>
          <w:rFonts w:hint="eastAsia" w:ascii="仿宋" w:hAnsi="仿宋" w:eastAsia="仿宋" w:cs="仿宋"/>
          <w:sz w:val="30"/>
          <w:szCs w:val="30"/>
        </w:rPr>
        <w:t>部门政府采购预算</w:t>
      </w:r>
      <w:bookmarkEnd w:id="2"/>
    </w:p>
    <w:tbl>
      <w:tblPr>
        <w:tblStyle w:val="6"/>
        <w:tblW w:w="153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31"/>
        <w:gridCol w:w="1133"/>
        <w:gridCol w:w="935"/>
        <w:gridCol w:w="1394"/>
        <w:gridCol w:w="936"/>
        <w:gridCol w:w="936"/>
        <w:gridCol w:w="958"/>
        <w:gridCol w:w="936"/>
        <w:gridCol w:w="936"/>
        <w:gridCol w:w="972"/>
        <w:gridCol w:w="936"/>
        <w:gridCol w:w="936"/>
        <w:gridCol w:w="936"/>
        <w:gridCol w:w="882"/>
      </w:tblGrid>
      <w:tr w14:paraId="3EBB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823" w:type="dxa"/>
            <w:gridSpan w:val="7"/>
            <w:tcBorders>
              <w:top w:val="single" w:color="FFFFFF" w:sz="6" w:space="0"/>
              <w:left w:val="single" w:color="FFFFFF" w:sz="6" w:space="0"/>
              <w:right w:val="single" w:color="FFFFFF" w:sz="6" w:space="0"/>
            </w:tcBorders>
            <w:vAlign w:val="center"/>
          </w:tcPr>
          <w:p w14:paraId="4284A909">
            <w:pPr>
              <w:spacing w:line="300" w:lineRule="exact"/>
              <w:jc w:val="left"/>
              <w:rPr>
                <w:rFonts w:hint="eastAsia" w:ascii="仿宋" w:hAnsi="仿宋" w:eastAsia="仿宋" w:cs="仿宋"/>
                <w:sz w:val="30"/>
                <w:szCs w:val="30"/>
              </w:rPr>
            </w:pPr>
            <w:r>
              <w:rPr>
                <w:rFonts w:hint="eastAsia" w:ascii="仿宋" w:hAnsi="仿宋" w:eastAsia="仿宋" w:cs="仿宋"/>
                <w:sz w:val="30"/>
                <w:szCs w:val="30"/>
              </w:rPr>
              <w:t>964宁晋县换马店镇人民政府</w:t>
            </w:r>
          </w:p>
        </w:tc>
        <w:tc>
          <w:tcPr>
            <w:tcW w:w="6534" w:type="dxa"/>
            <w:gridSpan w:val="7"/>
            <w:tcBorders>
              <w:top w:val="single" w:color="FFFFFF" w:sz="6" w:space="0"/>
              <w:left w:val="single" w:color="FFFFFF" w:sz="6" w:space="0"/>
              <w:right w:val="single" w:color="FFFFFF" w:sz="6" w:space="0"/>
            </w:tcBorders>
            <w:vAlign w:val="center"/>
          </w:tcPr>
          <w:p w14:paraId="00E43E6F">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单位：万元</w:t>
            </w:r>
          </w:p>
        </w:tc>
      </w:tr>
      <w:tr w14:paraId="25DE8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664" w:type="dxa"/>
            <w:gridSpan w:val="2"/>
            <w:vAlign w:val="center"/>
          </w:tcPr>
          <w:p w14:paraId="2BF8EBE1">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政府采购项目来源</w:t>
            </w:r>
          </w:p>
        </w:tc>
        <w:tc>
          <w:tcPr>
            <w:tcW w:w="935" w:type="dxa"/>
            <w:vMerge w:val="restart"/>
            <w:vAlign w:val="center"/>
          </w:tcPr>
          <w:p w14:paraId="460C5A41">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采购物品名称</w:t>
            </w:r>
          </w:p>
        </w:tc>
        <w:tc>
          <w:tcPr>
            <w:tcW w:w="1394" w:type="dxa"/>
            <w:vMerge w:val="restart"/>
            <w:vAlign w:val="center"/>
          </w:tcPr>
          <w:p w14:paraId="75F0B9CD">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政府采购目录序号</w:t>
            </w:r>
          </w:p>
        </w:tc>
        <w:tc>
          <w:tcPr>
            <w:tcW w:w="936" w:type="dxa"/>
            <w:vMerge w:val="restart"/>
            <w:vAlign w:val="center"/>
          </w:tcPr>
          <w:p w14:paraId="40B999D9">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数量  单位</w:t>
            </w:r>
          </w:p>
        </w:tc>
        <w:tc>
          <w:tcPr>
            <w:tcW w:w="936" w:type="dxa"/>
            <w:vMerge w:val="restart"/>
            <w:vAlign w:val="center"/>
          </w:tcPr>
          <w:p w14:paraId="09AED68F">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数量</w:t>
            </w:r>
          </w:p>
        </w:tc>
        <w:tc>
          <w:tcPr>
            <w:tcW w:w="958" w:type="dxa"/>
            <w:vMerge w:val="restart"/>
            <w:vAlign w:val="center"/>
          </w:tcPr>
          <w:p w14:paraId="0AE853ED">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单价</w:t>
            </w:r>
          </w:p>
        </w:tc>
        <w:tc>
          <w:tcPr>
            <w:tcW w:w="6534" w:type="dxa"/>
            <w:gridSpan w:val="7"/>
            <w:vAlign w:val="center"/>
          </w:tcPr>
          <w:p w14:paraId="34EBEB89">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政府采购金额</w:t>
            </w:r>
          </w:p>
        </w:tc>
      </w:tr>
      <w:tr w14:paraId="3CCC5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531" w:type="dxa"/>
            <w:vMerge w:val="restart"/>
            <w:vAlign w:val="center"/>
          </w:tcPr>
          <w:p w14:paraId="2F1EB026">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1133" w:type="dxa"/>
            <w:vMerge w:val="restart"/>
            <w:vAlign w:val="center"/>
          </w:tcPr>
          <w:p w14:paraId="43E9B306">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预算资金</w:t>
            </w:r>
          </w:p>
        </w:tc>
        <w:tc>
          <w:tcPr>
            <w:tcW w:w="935" w:type="dxa"/>
            <w:vMerge w:val="continue"/>
            <w:vAlign w:val="center"/>
          </w:tcPr>
          <w:p w14:paraId="64CFA81D">
            <w:pPr>
              <w:spacing w:line="300" w:lineRule="exact"/>
              <w:jc w:val="left"/>
              <w:outlineLvl w:val="0"/>
              <w:rPr>
                <w:rFonts w:hint="eastAsia" w:ascii="仿宋" w:hAnsi="仿宋" w:eastAsia="仿宋" w:cs="仿宋"/>
                <w:sz w:val="30"/>
                <w:szCs w:val="30"/>
              </w:rPr>
            </w:pPr>
          </w:p>
        </w:tc>
        <w:tc>
          <w:tcPr>
            <w:tcW w:w="1394" w:type="dxa"/>
            <w:vMerge w:val="continue"/>
            <w:vAlign w:val="center"/>
          </w:tcPr>
          <w:p w14:paraId="722845E5">
            <w:pPr>
              <w:spacing w:line="300" w:lineRule="exact"/>
              <w:jc w:val="left"/>
              <w:outlineLvl w:val="0"/>
              <w:rPr>
                <w:rFonts w:hint="eastAsia" w:ascii="仿宋" w:hAnsi="仿宋" w:eastAsia="仿宋" w:cs="仿宋"/>
                <w:sz w:val="30"/>
                <w:szCs w:val="30"/>
              </w:rPr>
            </w:pPr>
          </w:p>
        </w:tc>
        <w:tc>
          <w:tcPr>
            <w:tcW w:w="936" w:type="dxa"/>
            <w:vMerge w:val="continue"/>
            <w:vAlign w:val="center"/>
          </w:tcPr>
          <w:p w14:paraId="03F21D4D">
            <w:pPr>
              <w:spacing w:line="300" w:lineRule="exact"/>
              <w:jc w:val="left"/>
              <w:outlineLvl w:val="0"/>
              <w:rPr>
                <w:rFonts w:hint="eastAsia" w:ascii="仿宋" w:hAnsi="仿宋" w:eastAsia="仿宋" w:cs="仿宋"/>
                <w:sz w:val="30"/>
                <w:szCs w:val="30"/>
              </w:rPr>
            </w:pPr>
          </w:p>
        </w:tc>
        <w:tc>
          <w:tcPr>
            <w:tcW w:w="936" w:type="dxa"/>
            <w:vMerge w:val="continue"/>
            <w:vAlign w:val="center"/>
          </w:tcPr>
          <w:p w14:paraId="401CF388">
            <w:pPr>
              <w:spacing w:line="300" w:lineRule="exact"/>
              <w:jc w:val="left"/>
              <w:outlineLvl w:val="0"/>
              <w:rPr>
                <w:rFonts w:hint="eastAsia" w:ascii="仿宋" w:hAnsi="仿宋" w:eastAsia="仿宋" w:cs="仿宋"/>
                <w:sz w:val="30"/>
                <w:szCs w:val="30"/>
              </w:rPr>
            </w:pPr>
          </w:p>
        </w:tc>
        <w:tc>
          <w:tcPr>
            <w:tcW w:w="958" w:type="dxa"/>
            <w:vMerge w:val="continue"/>
            <w:vAlign w:val="center"/>
          </w:tcPr>
          <w:p w14:paraId="7478C6CB">
            <w:pPr>
              <w:spacing w:line="300" w:lineRule="exact"/>
              <w:jc w:val="left"/>
              <w:outlineLvl w:val="0"/>
              <w:rPr>
                <w:rFonts w:hint="eastAsia" w:ascii="仿宋" w:hAnsi="仿宋" w:eastAsia="仿宋" w:cs="仿宋"/>
                <w:sz w:val="30"/>
                <w:szCs w:val="30"/>
              </w:rPr>
            </w:pPr>
          </w:p>
        </w:tc>
        <w:tc>
          <w:tcPr>
            <w:tcW w:w="936" w:type="dxa"/>
            <w:vMerge w:val="restart"/>
            <w:vAlign w:val="center"/>
          </w:tcPr>
          <w:p w14:paraId="24989750">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总计</w:t>
            </w:r>
          </w:p>
        </w:tc>
        <w:tc>
          <w:tcPr>
            <w:tcW w:w="4716" w:type="dxa"/>
            <w:gridSpan w:val="5"/>
            <w:vAlign w:val="center"/>
          </w:tcPr>
          <w:p w14:paraId="74D67197">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当年部门预算安排资金</w:t>
            </w:r>
          </w:p>
        </w:tc>
        <w:tc>
          <w:tcPr>
            <w:tcW w:w="882" w:type="dxa"/>
            <w:vMerge w:val="restart"/>
            <w:vAlign w:val="center"/>
          </w:tcPr>
          <w:p w14:paraId="3847C07D">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其他渠道资金</w:t>
            </w:r>
          </w:p>
        </w:tc>
      </w:tr>
      <w:tr w14:paraId="601F0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531" w:type="dxa"/>
            <w:vMerge w:val="continue"/>
            <w:vAlign w:val="center"/>
          </w:tcPr>
          <w:p w14:paraId="37E15097">
            <w:pPr>
              <w:spacing w:line="300" w:lineRule="exact"/>
              <w:jc w:val="left"/>
              <w:outlineLvl w:val="0"/>
              <w:rPr>
                <w:rFonts w:hint="eastAsia" w:ascii="仿宋" w:hAnsi="仿宋" w:eastAsia="仿宋" w:cs="仿宋"/>
                <w:sz w:val="30"/>
                <w:szCs w:val="30"/>
              </w:rPr>
            </w:pPr>
          </w:p>
        </w:tc>
        <w:tc>
          <w:tcPr>
            <w:tcW w:w="1133" w:type="dxa"/>
            <w:vMerge w:val="continue"/>
            <w:vAlign w:val="center"/>
          </w:tcPr>
          <w:p w14:paraId="3F73166F">
            <w:pPr>
              <w:spacing w:line="300" w:lineRule="exact"/>
              <w:jc w:val="left"/>
              <w:outlineLvl w:val="0"/>
              <w:rPr>
                <w:rFonts w:hint="eastAsia" w:ascii="仿宋" w:hAnsi="仿宋" w:eastAsia="仿宋" w:cs="仿宋"/>
                <w:sz w:val="30"/>
                <w:szCs w:val="30"/>
              </w:rPr>
            </w:pPr>
          </w:p>
        </w:tc>
        <w:tc>
          <w:tcPr>
            <w:tcW w:w="935" w:type="dxa"/>
            <w:vMerge w:val="continue"/>
            <w:vAlign w:val="center"/>
          </w:tcPr>
          <w:p w14:paraId="1B9C30B5">
            <w:pPr>
              <w:spacing w:line="300" w:lineRule="exact"/>
              <w:jc w:val="left"/>
              <w:outlineLvl w:val="0"/>
              <w:rPr>
                <w:rFonts w:hint="eastAsia" w:ascii="仿宋" w:hAnsi="仿宋" w:eastAsia="仿宋" w:cs="仿宋"/>
                <w:sz w:val="30"/>
                <w:szCs w:val="30"/>
              </w:rPr>
            </w:pPr>
          </w:p>
        </w:tc>
        <w:tc>
          <w:tcPr>
            <w:tcW w:w="1394" w:type="dxa"/>
            <w:vMerge w:val="continue"/>
            <w:vAlign w:val="center"/>
          </w:tcPr>
          <w:p w14:paraId="2FEB2163">
            <w:pPr>
              <w:spacing w:line="300" w:lineRule="exact"/>
              <w:jc w:val="left"/>
              <w:outlineLvl w:val="0"/>
              <w:rPr>
                <w:rFonts w:hint="eastAsia" w:ascii="仿宋" w:hAnsi="仿宋" w:eastAsia="仿宋" w:cs="仿宋"/>
                <w:sz w:val="30"/>
                <w:szCs w:val="30"/>
              </w:rPr>
            </w:pPr>
          </w:p>
        </w:tc>
        <w:tc>
          <w:tcPr>
            <w:tcW w:w="936" w:type="dxa"/>
            <w:vMerge w:val="continue"/>
            <w:vAlign w:val="center"/>
          </w:tcPr>
          <w:p w14:paraId="3E8EE741">
            <w:pPr>
              <w:spacing w:line="300" w:lineRule="exact"/>
              <w:jc w:val="left"/>
              <w:outlineLvl w:val="0"/>
              <w:rPr>
                <w:rFonts w:hint="eastAsia" w:ascii="仿宋" w:hAnsi="仿宋" w:eastAsia="仿宋" w:cs="仿宋"/>
                <w:sz w:val="30"/>
                <w:szCs w:val="30"/>
              </w:rPr>
            </w:pPr>
          </w:p>
        </w:tc>
        <w:tc>
          <w:tcPr>
            <w:tcW w:w="936" w:type="dxa"/>
            <w:vMerge w:val="continue"/>
            <w:vAlign w:val="center"/>
          </w:tcPr>
          <w:p w14:paraId="74B6BCAD">
            <w:pPr>
              <w:spacing w:line="300" w:lineRule="exact"/>
              <w:jc w:val="left"/>
              <w:outlineLvl w:val="0"/>
              <w:rPr>
                <w:rFonts w:hint="eastAsia" w:ascii="仿宋" w:hAnsi="仿宋" w:eastAsia="仿宋" w:cs="仿宋"/>
                <w:sz w:val="30"/>
                <w:szCs w:val="30"/>
              </w:rPr>
            </w:pPr>
          </w:p>
        </w:tc>
        <w:tc>
          <w:tcPr>
            <w:tcW w:w="958" w:type="dxa"/>
            <w:vMerge w:val="continue"/>
            <w:vAlign w:val="center"/>
          </w:tcPr>
          <w:p w14:paraId="4F3508EE">
            <w:pPr>
              <w:spacing w:line="300" w:lineRule="exact"/>
              <w:jc w:val="left"/>
              <w:outlineLvl w:val="0"/>
              <w:rPr>
                <w:rFonts w:hint="eastAsia" w:ascii="仿宋" w:hAnsi="仿宋" w:eastAsia="仿宋" w:cs="仿宋"/>
                <w:sz w:val="30"/>
                <w:szCs w:val="30"/>
              </w:rPr>
            </w:pPr>
          </w:p>
        </w:tc>
        <w:tc>
          <w:tcPr>
            <w:tcW w:w="936" w:type="dxa"/>
            <w:vMerge w:val="continue"/>
            <w:vAlign w:val="center"/>
          </w:tcPr>
          <w:p w14:paraId="6E529AF2">
            <w:pPr>
              <w:spacing w:line="300" w:lineRule="exact"/>
              <w:jc w:val="left"/>
              <w:outlineLvl w:val="0"/>
              <w:rPr>
                <w:rFonts w:hint="eastAsia" w:ascii="仿宋" w:hAnsi="仿宋" w:eastAsia="仿宋" w:cs="仿宋"/>
                <w:sz w:val="30"/>
                <w:szCs w:val="30"/>
              </w:rPr>
            </w:pPr>
          </w:p>
        </w:tc>
        <w:tc>
          <w:tcPr>
            <w:tcW w:w="936" w:type="dxa"/>
            <w:vAlign w:val="center"/>
          </w:tcPr>
          <w:p w14:paraId="6F2EE897">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合计</w:t>
            </w:r>
          </w:p>
        </w:tc>
        <w:tc>
          <w:tcPr>
            <w:tcW w:w="972" w:type="dxa"/>
            <w:vAlign w:val="center"/>
          </w:tcPr>
          <w:p w14:paraId="1205BA8E">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一般公共预算拨款</w:t>
            </w:r>
          </w:p>
        </w:tc>
        <w:tc>
          <w:tcPr>
            <w:tcW w:w="936" w:type="dxa"/>
            <w:vAlign w:val="center"/>
          </w:tcPr>
          <w:p w14:paraId="1497DBB3">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基金预算拨款</w:t>
            </w:r>
          </w:p>
        </w:tc>
        <w:tc>
          <w:tcPr>
            <w:tcW w:w="936" w:type="dxa"/>
            <w:vAlign w:val="center"/>
          </w:tcPr>
          <w:p w14:paraId="07F200F9">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财政专户核拨</w:t>
            </w:r>
          </w:p>
        </w:tc>
        <w:tc>
          <w:tcPr>
            <w:tcW w:w="936" w:type="dxa"/>
            <w:vAlign w:val="center"/>
          </w:tcPr>
          <w:p w14:paraId="1AC52638">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其他来源收入</w:t>
            </w:r>
          </w:p>
        </w:tc>
        <w:tc>
          <w:tcPr>
            <w:tcW w:w="882" w:type="dxa"/>
            <w:vMerge w:val="continue"/>
            <w:vAlign w:val="center"/>
          </w:tcPr>
          <w:p w14:paraId="29344231">
            <w:pPr>
              <w:spacing w:line="300" w:lineRule="exact"/>
              <w:jc w:val="left"/>
              <w:outlineLvl w:val="0"/>
              <w:rPr>
                <w:rFonts w:hint="eastAsia" w:ascii="仿宋" w:hAnsi="仿宋" w:eastAsia="仿宋" w:cs="仿宋"/>
                <w:sz w:val="30"/>
                <w:szCs w:val="30"/>
              </w:rPr>
            </w:pPr>
          </w:p>
        </w:tc>
      </w:tr>
      <w:tr w14:paraId="6FE23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531" w:type="dxa"/>
            <w:vAlign w:val="center"/>
          </w:tcPr>
          <w:p w14:paraId="0F3F6E22">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合　计</w:t>
            </w:r>
          </w:p>
        </w:tc>
        <w:tc>
          <w:tcPr>
            <w:tcW w:w="1133" w:type="dxa"/>
            <w:vAlign w:val="center"/>
          </w:tcPr>
          <w:p w14:paraId="7693F6F9">
            <w:pPr>
              <w:tabs>
                <w:tab w:val="left" w:pos="440"/>
              </w:tabs>
              <w:spacing w:line="300" w:lineRule="exact"/>
              <w:jc w:val="left"/>
              <w:rPr>
                <w:rFonts w:hint="default" w:ascii="仿宋" w:hAnsi="仿宋" w:eastAsia="仿宋" w:cs="仿宋"/>
                <w:b/>
                <w:sz w:val="30"/>
                <w:szCs w:val="30"/>
                <w:lang w:val="en-US" w:eastAsia="zh-CN"/>
              </w:rPr>
            </w:pPr>
            <w:r>
              <w:rPr>
                <w:rFonts w:hint="eastAsia" w:ascii="仿宋" w:hAnsi="仿宋" w:eastAsia="仿宋" w:cs="仿宋"/>
                <w:b/>
                <w:sz w:val="30"/>
                <w:szCs w:val="30"/>
                <w:lang w:eastAsia="zh-CN"/>
              </w:rPr>
              <w:tab/>
            </w:r>
          </w:p>
        </w:tc>
        <w:tc>
          <w:tcPr>
            <w:tcW w:w="935" w:type="dxa"/>
            <w:vAlign w:val="center"/>
          </w:tcPr>
          <w:p w14:paraId="462CD190">
            <w:pPr>
              <w:spacing w:line="300" w:lineRule="exact"/>
              <w:jc w:val="left"/>
              <w:rPr>
                <w:rFonts w:hint="eastAsia" w:ascii="仿宋" w:hAnsi="仿宋" w:eastAsia="仿宋" w:cs="仿宋"/>
                <w:b/>
                <w:sz w:val="30"/>
                <w:szCs w:val="30"/>
              </w:rPr>
            </w:pPr>
          </w:p>
        </w:tc>
        <w:tc>
          <w:tcPr>
            <w:tcW w:w="1394" w:type="dxa"/>
            <w:vAlign w:val="center"/>
          </w:tcPr>
          <w:p w14:paraId="151108E8">
            <w:pPr>
              <w:spacing w:line="300" w:lineRule="exact"/>
              <w:jc w:val="left"/>
              <w:rPr>
                <w:rFonts w:hint="eastAsia" w:ascii="仿宋" w:hAnsi="仿宋" w:eastAsia="仿宋" w:cs="仿宋"/>
                <w:b/>
                <w:sz w:val="30"/>
                <w:szCs w:val="30"/>
              </w:rPr>
            </w:pPr>
          </w:p>
        </w:tc>
        <w:tc>
          <w:tcPr>
            <w:tcW w:w="936" w:type="dxa"/>
            <w:vAlign w:val="center"/>
          </w:tcPr>
          <w:p w14:paraId="0A5EA1C0">
            <w:pPr>
              <w:spacing w:line="300" w:lineRule="exact"/>
              <w:jc w:val="left"/>
              <w:rPr>
                <w:rFonts w:hint="eastAsia" w:ascii="仿宋" w:hAnsi="仿宋" w:eastAsia="仿宋" w:cs="仿宋"/>
                <w:b/>
                <w:sz w:val="30"/>
                <w:szCs w:val="30"/>
              </w:rPr>
            </w:pPr>
          </w:p>
        </w:tc>
        <w:tc>
          <w:tcPr>
            <w:tcW w:w="936" w:type="dxa"/>
            <w:vAlign w:val="center"/>
          </w:tcPr>
          <w:p w14:paraId="258E4780">
            <w:pPr>
              <w:spacing w:line="300" w:lineRule="exact"/>
              <w:jc w:val="right"/>
              <w:rPr>
                <w:rFonts w:hint="eastAsia" w:ascii="仿宋" w:hAnsi="仿宋" w:eastAsia="仿宋" w:cs="仿宋"/>
                <w:b/>
                <w:sz w:val="30"/>
                <w:szCs w:val="30"/>
              </w:rPr>
            </w:pPr>
          </w:p>
        </w:tc>
        <w:tc>
          <w:tcPr>
            <w:tcW w:w="958" w:type="dxa"/>
            <w:vAlign w:val="center"/>
          </w:tcPr>
          <w:p w14:paraId="699CCE9D">
            <w:pPr>
              <w:spacing w:line="300" w:lineRule="exact"/>
              <w:jc w:val="right"/>
              <w:rPr>
                <w:rFonts w:hint="eastAsia" w:ascii="仿宋" w:hAnsi="仿宋" w:eastAsia="仿宋" w:cs="仿宋"/>
                <w:b/>
                <w:sz w:val="30"/>
                <w:szCs w:val="30"/>
              </w:rPr>
            </w:pPr>
          </w:p>
        </w:tc>
        <w:tc>
          <w:tcPr>
            <w:tcW w:w="936" w:type="dxa"/>
            <w:vAlign w:val="center"/>
          </w:tcPr>
          <w:p w14:paraId="64C0A783">
            <w:pPr>
              <w:spacing w:line="300" w:lineRule="exact"/>
              <w:jc w:val="right"/>
              <w:rPr>
                <w:rFonts w:hint="eastAsia" w:ascii="仿宋" w:hAnsi="仿宋" w:eastAsia="仿宋" w:cs="仿宋"/>
                <w:b/>
                <w:sz w:val="30"/>
                <w:szCs w:val="30"/>
              </w:rPr>
            </w:pPr>
          </w:p>
        </w:tc>
        <w:tc>
          <w:tcPr>
            <w:tcW w:w="936" w:type="dxa"/>
            <w:vAlign w:val="center"/>
          </w:tcPr>
          <w:p w14:paraId="0E556936">
            <w:pPr>
              <w:spacing w:line="300" w:lineRule="exact"/>
              <w:jc w:val="right"/>
              <w:rPr>
                <w:rFonts w:hint="eastAsia" w:ascii="仿宋" w:hAnsi="仿宋" w:eastAsia="仿宋" w:cs="仿宋"/>
                <w:b/>
                <w:sz w:val="30"/>
                <w:szCs w:val="30"/>
              </w:rPr>
            </w:pPr>
          </w:p>
        </w:tc>
        <w:tc>
          <w:tcPr>
            <w:tcW w:w="972" w:type="dxa"/>
            <w:vAlign w:val="center"/>
          </w:tcPr>
          <w:p w14:paraId="7E4A7433">
            <w:pPr>
              <w:spacing w:line="300" w:lineRule="exact"/>
              <w:jc w:val="right"/>
              <w:rPr>
                <w:rFonts w:hint="eastAsia" w:ascii="仿宋" w:hAnsi="仿宋" w:eastAsia="仿宋" w:cs="仿宋"/>
                <w:b/>
                <w:sz w:val="30"/>
                <w:szCs w:val="30"/>
              </w:rPr>
            </w:pPr>
          </w:p>
        </w:tc>
        <w:tc>
          <w:tcPr>
            <w:tcW w:w="936" w:type="dxa"/>
            <w:vAlign w:val="center"/>
          </w:tcPr>
          <w:p w14:paraId="4ACB9DCE">
            <w:pPr>
              <w:spacing w:line="300" w:lineRule="exact"/>
              <w:jc w:val="right"/>
              <w:rPr>
                <w:rFonts w:hint="eastAsia" w:ascii="仿宋" w:hAnsi="仿宋" w:eastAsia="仿宋" w:cs="仿宋"/>
                <w:b/>
                <w:sz w:val="30"/>
                <w:szCs w:val="30"/>
              </w:rPr>
            </w:pPr>
          </w:p>
        </w:tc>
        <w:tc>
          <w:tcPr>
            <w:tcW w:w="936" w:type="dxa"/>
            <w:vAlign w:val="center"/>
          </w:tcPr>
          <w:p w14:paraId="58482DDA">
            <w:pPr>
              <w:spacing w:line="300" w:lineRule="exact"/>
              <w:jc w:val="right"/>
              <w:rPr>
                <w:rFonts w:hint="eastAsia" w:ascii="仿宋" w:hAnsi="仿宋" w:eastAsia="仿宋" w:cs="仿宋"/>
                <w:b/>
                <w:sz w:val="30"/>
                <w:szCs w:val="30"/>
              </w:rPr>
            </w:pPr>
          </w:p>
        </w:tc>
        <w:tc>
          <w:tcPr>
            <w:tcW w:w="936" w:type="dxa"/>
            <w:vAlign w:val="center"/>
          </w:tcPr>
          <w:p w14:paraId="2E015A3E">
            <w:pPr>
              <w:spacing w:line="300" w:lineRule="exact"/>
              <w:jc w:val="right"/>
              <w:rPr>
                <w:rFonts w:hint="eastAsia" w:ascii="仿宋" w:hAnsi="仿宋" w:eastAsia="仿宋" w:cs="仿宋"/>
                <w:b/>
                <w:sz w:val="30"/>
                <w:szCs w:val="30"/>
              </w:rPr>
            </w:pPr>
          </w:p>
        </w:tc>
        <w:tc>
          <w:tcPr>
            <w:tcW w:w="882" w:type="dxa"/>
            <w:vAlign w:val="center"/>
          </w:tcPr>
          <w:p w14:paraId="16DC5E6D">
            <w:pPr>
              <w:spacing w:line="300" w:lineRule="exact"/>
              <w:jc w:val="right"/>
              <w:rPr>
                <w:rFonts w:hint="eastAsia" w:ascii="仿宋" w:hAnsi="仿宋" w:eastAsia="仿宋" w:cs="仿宋"/>
                <w:b/>
                <w:sz w:val="30"/>
                <w:szCs w:val="30"/>
              </w:rPr>
            </w:pPr>
          </w:p>
        </w:tc>
      </w:tr>
      <w:tr w14:paraId="10602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8" w:hRule="atLeast"/>
          <w:jc w:val="center"/>
        </w:trPr>
        <w:tc>
          <w:tcPr>
            <w:tcW w:w="2531" w:type="dxa"/>
            <w:vAlign w:val="center"/>
          </w:tcPr>
          <w:p w14:paraId="6C99615B">
            <w:pPr>
              <w:spacing w:line="300" w:lineRule="exact"/>
              <w:jc w:val="center"/>
              <w:rPr>
                <w:rFonts w:hint="eastAsia" w:ascii="仿宋" w:hAnsi="仿宋" w:eastAsia="仿宋" w:cs="仿宋"/>
                <w:b/>
                <w:sz w:val="30"/>
                <w:szCs w:val="30"/>
                <w:lang w:eastAsia="zh-CN"/>
              </w:rPr>
            </w:pPr>
            <w:r>
              <w:rPr>
                <w:rFonts w:hint="eastAsia" w:ascii="仿宋" w:hAnsi="仿宋" w:eastAsia="仿宋" w:cs="仿宋"/>
                <w:b/>
                <w:sz w:val="30"/>
                <w:szCs w:val="30"/>
                <w:lang w:eastAsia="zh-CN"/>
              </w:rPr>
              <w:t>宁晋县换马店镇农村环卫保洁工作外包项目</w:t>
            </w:r>
          </w:p>
        </w:tc>
        <w:tc>
          <w:tcPr>
            <w:tcW w:w="1133" w:type="dxa"/>
            <w:vAlign w:val="center"/>
          </w:tcPr>
          <w:p w14:paraId="73C8EBEF">
            <w:pPr>
              <w:spacing w:line="300" w:lineRule="exact"/>
              <w:jc w:val="right"/>
              <w:rPr>
                <w:rFonts w:hint="default" w:ascii="仿宋" w:hAnsi="仿宋" w:eastAsia="仿宋" w:cs="仿宋"/>
                <w:b/>
                <w:sz w:val="30"/>
                <w:szCs w:val="30"/>
                <w:lang w:val="en-US" w:eastAsia="zh-CN"/>
              </w:rPr>
            </w:pPr>
            <w:r>
              <w:rPr>
                <w:rFonts w:hint="eastAsia" w:ascii="仿宋" w:hAnsi="仿宋" w:eastAsia="仿宋" w:cs="仿宋"/>
                <w:b/>
                <w:sz w:val="30"/>
                <w:szCs w:val="30"/>
                <w:lang w:val="en-US" w:eastAsia="zh-CN"/>
              </w:rPr>
              <w:t>87.17</w:t>
            </w:r>
          </w:p>
        </w:tc>
        <w:tc>
          <w:tcPr>
            <w:tcW w:w="935" w:type="dxa"/>
            <w:vAlign w:val="center"/>
          </w:tcPr>
          <w:p w14:paraId="0E3490CD">
            <w:pPr>
              <w:spacing w:line="300" w:lineRule="exact"/>
              <w:jc w:val="left"/>
              <w:rPr>
                <w:rFonts w:hint="eastAsia" w:ascii="仿宋" w:hAnsi="仿宋" w:eastAsia="仿宋" w:cs="仿宋"/>
                <w:b/>
                <w:sz w:val="30"/>
                <w:szCs w:val="30"/>
                <w:lang w:eastAsia="zh-CN"/>
              </w:rPr>
            </w:pPr>
            <w:r>
              <w:rPr>
                <w:rFonts w:hint="eastAsia" w:ascii="仿宋" w:hAnsi="仿宋" w:eastAsia="仿宋" w:cs="仿宋"/>
                <w:b/>
                <w:sz w:val="30"/>
                <w:szCs w:val="30"/>
                <w:lang w:eastAsia="zh-CN"/>
              </w:rPr>
              <w:t>服务</w:t>
            </w:r>
          </w:p>
        </w:tc>
        <w:tc>
          <w:tcPr>
            <w:tcW w:w="1394" w:type="dxa"/>
            <w:vAlign w:val="center"/>
          </w:tcPr>
          <w:p w14:paraId="1F89812C">
            <w:pPr>
              <w:spacing w:line="300" w:lineRule="exact"/>
              <w:jc w:val="left"/>
              <w:rPr>
                <w:rFonts w:hint="eastAsia" w:ascii="仿宋" w:hAnsi="仿宋" w:eastAsia="仿宋" w:cs="仿宋"/>
                <w:b/>
                <w:sz w:val="30"/>
                <w:szCs w:val="30"/>
              </w:rPr>
            </w:pPr>
          </w:p>
        </w:tc>
        <w:tc>
          <w:tcPr>
            <w:tcW w:w="936" w:type="dxa"/>
            <w:vAlign w:val="center"/>
          </w:tcPr>
          <w:p w14:paraId="26091A2C">
            <w:pPr>
              <w:spacing w:line="300" w:lineRule="exact"/>
              <w:jc w:val="left"/>
              <w:rPr>
                <w:rFonts w:hint="eastAsia" w:ascii="仿宋" w:hAnsi="仿宋" w:eastAsia="仿宋" w:cs="仿宋"/>
                <w:b/>
                <w:sz w:val="30"/>
                <w:szCs w:val="30"/>
              </w:rPr>
            </w:pPr>
          </w:p>
        </w:tc>
        <w:tc>
          <w:tcPr>
            <w:tcW w:w="936" w:type="dxa"/>
            <w:vAlign w:val="center"/>
          </w:tcPr>
          <w:p w14:paraId="2BD1359D">
            <w:pPr>
              <w:spacing w:line="300" w:lineRule="exact"/>
              <w:jc w:val="right"/>
              <w:rPr>
                <w:rFonts w:hint="eastAsia" w:ascii="仿宋" w:hAnsi="仿宋" w:eastAsia="仿宋" w:cs="仿宋"/>
                <w:b/>
                <w:sz w:val="30"/>
                <w:szCs w:val="30"/>
                <w:lang w:val="en-US" w:eastAsia="zh-CN"/>
              </w:rPr>
            </w:pPr>
            <w:r>
              <w:rPr>
                <w:rFonts w:hint="eastAsia" w:ascii="仿宋" w:hAnsi="仿宋" w:eastAsia="仿宋" w:cs="仿宋"/>
                <w:b/>
                <w:sz w:val="30"/>
                <w:szCs w:val="30"/>
                <w:lang w:val="en-US" w:eastAsia="zh-CN"/>
              </w:rPr>
              <w:t>1</w:t>
            </w:r>
          </w:p>
        </w:tc>
        <w:tc>
          <w:tcPr>
            <w:tcW w:w="958" w:type="dxa"/>
            <w:vAlign w:val="center"/>
          </w:tcPr>
          <w:p w14:paraId="4545316A">
            <w:pPr>
              <w:spacing w:line="300" w:lineRule="exact"/>
              <w:jc w:val="right"/>
              <w:rPr>
                <w:rFonts w:hint="eastAsia" w:ascii="仿宋" w:hAnsi="仿宋" w:eastAsia="仿宋" w:cs="仿宋"/>
                <w:b/>
                <w:sz w:val="30"/>
                <w:szCs w:val="30"/>
              </w:rPr>
            </w:pPr>
          </w:p>
        </w:tc>
        <w:tc>
          <w:tcPr>
            <w:tcW w:w="936" w:type="dxa"/>
            <w:vAlign w:val="center"/>
          </w:tcPr>
          <w:p w14:paraId="4B572164">
            <w:pPr>
              <w:spacing w:line="300" w:lineRule="exact"/>
              <w:jc w:val="right"/>
              <w:rPr>
                <w:rFonts w:hint="eastAsia" w:ascii="仿宋" w:hAnsi="仿宋" w:eastAsia="仿宋" w:cs="仿宋"/>
                <w:b/>
                <w:sz w:val="30"/>
                <w:szCs w:val="30"/>
              </w:rPr>
            </w:pPr>
          </w:p>
        </w:tc>
        <w:tc>
          <w:tcPr>
            <w:tcW w:w="936" w:type="dxa"/>
            <w:vAlign w:val="center"/>
          </w:tcPr>
          <w:p w14:paraId="27744F67">
            <w:pPr>
              <w:spacing w:line="300" w:lineRule="exact"/>
              <w:jc w:val="right"/>
              <w:rPr>
                <w:rFonts w:hint="eastAsia" w:ascii="仿宋" w:hAnsi="仿宋" w:eastAsia="仿宋" w:cs="仿宋"/>
                <w:b/>
                <w:sz w:val="30"/>
                <w:szCs w:val="30"/>
              </w:rPr>
            </w:pPr>
          </w:p>
        </w:tc>
        <w:tc>
          <w:tcPr>
            <w:tcW w:w="972" w:type="dxa"/>
            <w:vAlign w:val="center"/>
          </w:tcPr>
          <w:p w14:paraId="221059C1">
            <w:pPr>
              <w:spacing w:line="300" w:lineRule="exact"/>
              <w:jc w:val="right"/>
              <w:rPr>
                <w:rFonts w:hint="default" w:ascii="仿宋" w:hAnsi="仿宋" w:eastAsia="仿宋" w:cs="仿宋"/>
                <w:b/>
                <w:sz w:val="30"/>
                <w:szCs w:val="30"/>
                <w:lang w:val="en-US" w:eastAsia="zh-CN"/>
              </w:rPr>
            </w:pPr>
            <w:r>
              <w:rPr>
                <w:rFonts w:hint="eastAsia" w:ascii="仿宋" w:hAnsi="仿宋" w:eastAsia="仿宋" w:cs="仿宋"/>
                <w:b/>
                <w:sz w:val="30"/>
                <w:szCs w:val="30"/>
                <w:lang w:val="en-US" w:eastAsia="zh-CN"/>
              </w:rPr>
              <w:t>87.17</w:t>
            </w:r>
          </w:p>
        </w:tc>
        <w:tc>
          <w:tcPr>
            <w:tcW w:w="936" w:type="dxa"/>
            <w:vAlign w:val="center"/>
          </w:tcPr>
          <w:p w14:paraId="120F677F">
            <w:pPr>
              <w:spacing w:line="300" w:lineRule="exact"/>
              <w:jc w:val="right"/>
              <w:rPr>
                <w:rFonts w:hint="eastAsia" w:ascii="仿宋" w:hAnsi="仿宋" w:eastAsia="仿宋" w:cs="仿宋"/>
                <w:b/>
                <w:sz w:val="30"/>
                <w:szCs w:val="30"/>
              </w:rPr>
            </w:pPr>
          </w:p>
        </w:tc>
        <w:tc>
          <w:tcPr>
            <w:tcW w:w="936" w:type="dxa"/>
            <w:vAlign w:val="center"/>
          </w:tcPr>
          <w:p w14:paraId="17D9B6B2">
            <w:pPr>
              <w:spacing w:line="300" w:lineRule="exact"/>
              <w:jc w:val="right"/>
              <w:rPr>
                <w:rFonts w:hint="eastAsia" w:ascii="仿宋" w:hAnsi="仿宋" w:eastAsia="仿宋" w:cs="仿宋"/>
                <w:b/>
                <w:sz w:val="30"/>
                <w:szCs w:val="30"/>
              </w:rPr>
            </w:pPr>
          </w:p>
        </w:tc>
        <w:tc>
          <w:tcPr>
            <w:tcW w:w="936" w:type="dxa"/>
            <w:vAlign w:val="center"/>
          </w:tcPr>
          <w:p w14:paraId="5CE6451D">
            <w:pPr>
              <w:spacing w:line="300" w:lineRule="exact"/>
              <w:jc w:val="right"/>
              <w:rPr>
                <w:rFonts w:hint="eastAsia" w:ascii="仿宋" w:hAnsi="仿宋" w:eastAsia="仿宋" w:cs="仿宋"/>
                <w:b/>
                <w:sz w:val="30"/>
                <w:szCs w:val="30"/>
              </w:rPr>
            </w:pPr>
          </w:p>
        </w:tc>
        <w:tc>
          <w:tcPr>
            <w:tcW w:w="882" w:type="dxa"/>
            <w:vAlign w:val="center"/>
          </w:tcPr>
          <w:p w14:paraId="65A55AE3">
            <w:pPr>
              <w:spacing w:line="300" w:lineRule="exact"/>
              <w:jc w:val="right"/>
              <w:rPr>
                <w:rFonts w:hint="eastAsia" w:ascii="仿宋" w:hAnsi="仿宋" w:eastAsia="仿宋" w:cs="仿宋"/>
                <w:b/>
                <w:sz w:val="30"/>
                <w:szCs w:val="30"/>
              </w:rPr>
            </w:pPr>
          </w:p>
        </w:tc>
      </w:tr>
    </w:tbl>
    <w:p w14:paraId="7C87C1EB">
      <w:pPr>
        <w:autoSpaceDE w:val="0"/>
        <w:autoSpaceDN w:val="0"/>
        <w:adjustRightInd w:val="0"/>
        <w:jc w:val="left"/>
        <w:rPr>
          <w:rFonts w:hint="eastAsia" w:ascii="仿宋" w:hAnsi="仿宋" w:eastAsia="仿宋" w:cs="仿宋"/>
          <w:sz w:val="30"/>
          <w:szCs w:val="30"/>
        </w:rPr>
      </w:pPr>
    </w:p>
    <w:p w14:paraId="5E91723C">
      <w:pPr>
        <w:autoSpaceDE w:val="0"/>
        <w:autoSpaceDN w:val="0"/>
        <w:adjustRightInd w:val="0"/>
        <w:jc w:val="left"/>
        <w:rPr>
          <w:rFonts w:hint="eastAsia" w:ascii="仿宋" w:hAnsi="仿宋" w:eastAsia="仿宋" w:cs="仿宋"/>
          <w:sz w:val="30"/>
          <w:szCs w:val="30"/>
        </w:rPr>
      </w:pPr>
      <w:r>
        <w:rPr>
          <w:rFonts w:hint="eastAsia" w:ascii="仿宋" w:hAnsi="仿宋" w:eastAsia="仿宋" w:cs="仿宋"/>
          <w:sz w:val="30"/>
          <w:szCs w:val="30"/>
        </w:rPr>
        <w:t xml:space="preserve">    七、国有资产信息</w:t>
      </w:r>
    </w:p>
    <w:p w14:paraId="512A8149">
      <w:pPr>
        <w:ind w:firstLine="640"/>
        <w:rPr>
          <w:rFonts w:hint="eastAsia" w:ascii="仿宋" w:hAnsi="仿宋" w:eastAsia="仿宋" w:cs="仿宋"/>
          <w:sz w:val="30"/>
          <w:szCs w:val="30"/>
        </w:rPr>
      </w:pPr>
      <w:r>
        <w:rPr>
          <w:rFonts w:hint="eastAsia" w:ascii="仿宋" w:hAnsi="仿宋" w:eastAsia="仿宋" w:cs="仿宋"/>
          <w:sz w:val="30"/>
          <w:szCs w:val="30"/>
        </w:rPr>
        <w:t>上年末固定资产金额287.17万元（详见下表），本年度预算拟购置的固定资产为0。已列入政府采购预算表。</w:t>
      </w:r>
    </w:p>
    <w:p w14:paraId="1AC84DB4">
      <w:pPr>
        <w:ind w:firstLine="640"/>
        <w:rPr>
          <w:rFonts w:hint="eastAsia" w:ascii="仿宋" w:hAnsi="仿宋" w:eastAsia="仿宋" w:cs="仿宋"/>
          <w:color w:val="FF0000"/>
          <w:sz w:val="30"/>
          <w:szCs w:val="30"/>
        </w:rPr>
      </w:pPr>
    </w:p>
    <w:tbl>
      <w:tblPr>
        <w:tblStyle w:val="6"/>
        <w:tblW w:w="13482" w:type="dxa"/>
        <w:tblInd w:w="93" w:type="dxa"/>
        <w:tblLayout w:type="fixed"/>
        <w:tblCellMar>
          <w:top w:w="0" w:type="dxa"/>
          <w:left w:w="108" w:type="dxa"/>
          <w:bottom w:w="0" w:type="dxa"/>
          <w:right w:w="108" w:type="dxa"/>
        </w:tblCellMar>
      </w:tblPr>
      <w:tblGrid>
        <w:gridCol w:w="5224"/>
        <w:gridCol w:w="3155"/>
        <w:gridCol w:w="5103"/>
      </w:tblGrid>
      <w:tr w14:paraId="038271F7">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7EA6B101">
            <w:pPr>
              <w:widowControl/>
              <w:jc w:val="center"/>
              <w:rPr>
                <w:rFonts w:hint="eastAsia" w:ascii="仿宋" w:hAnsi="仿宋" w:eastAsia="仿宋" w:cs="仿宋"/>
                <w:b/>
                <w:bCs/>
                <w:kern w:val="0"/>
                <w:sz w:val="30"/>
                <w:szCs w:val="30"/>
              </w:rPr>
            </w:pPr>
            <w:r>
              <w:rPr>
                <w:rFonts w:hint="eastAsia" w:ascii="仿宋" w:hAnsi="仿宋" w:eastAsia="仿宋" w:cs="仿宋"/>
                <w:b/>
                <w:bCs/>
                <w:kern w:val="0"/>
                <w:sz w:val="30"/>
                <w:szCs w:val="30"/>
              </w:rPr>
              <w:t>河北省省直部门固定资产占用情况表</w:t>
            </w:r>
          </w:p>
        </w:tc>
      </w:tr>
      <w:tr w14:paraId="43F67A1F">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4C1DC595">
            <w:pPr>
              <w:widowControl/>
              <w:jc w:val="left"/>
              <w:rPr>
                <w:rFonts w:hint="eastAsia" w:ascii="仿宋" w:hAnsi="仿宋" w:eastAsia="仿宋" w:cs="仿宋"/>
                <w:kern w:val="0"/>
                <w:sz w:val="30"/>
                <w:szCs w:val="30"/>
              </w:rPr>
            </w:pPr>
            <w:r>
              <w:rPr>
                <w:rFonts w:hint="eastAsia" w:ascii="仿宋" w:hAnsi="仿宋" w:eastAsia="仿宋" w:cs="仿宋"/>
                <w:kern w:val="0"/>
                <w:sz w:val="30"/>
                <w:szCs w:val="30"/>
              </w:rPr>
              <w:t>编制部门：</w:t>
            </w:r>
          </w:p>
        </w:tc>
        <w:tc>
          <w:tcPr>
            <w:tcW w:w="5103" w:type="dxa"/>
            <w:tcBorders>
              <w:top w:val="nil"/>
              <w:left w:val="nil"/>
              <w:bottom w:val="nil"/>
              <w:right w:val="nil"/>
            </w:tcBorders>
            <w:vAlign w:val="center"/>
          </w:tcPr>
          <w:p w14:paraId="7FACE8C9">
            <w:pPr>
              <w:widowControl/>
              <w:jc w:val="left"/>
              <w:rPr>
                <w:rFonts w:hint="eastAsia" w:ascii="仿宋" w:hAnsi="仿宋" w:eastAsia="仿宋" w:cs="仿宋"/>
                <w:kern w:val="0"/>
                <w:sz w:val="30"/>
                <w:szCs w:val="30"/>
              </w:rPr>
            </w:pPr>
            <w:r>
              <w:rPr>
                <w:rFonts w:hint="eastAsia" w:ascii="仿宋" w:hAnsi="仿宋" w:eastAsia="仿宋" w:cs="仿宋"/>
                <w:kern w:val="0"/>
                <w:sz w:val="30"/>
                <w:szCs w:val="30"/>
              </w:rPr>
              <w:t xml:space="preserve">截止时间：2017年12月31日  </w:t>
            </w:r>
          </w:p>
        </w:tc>
      </w:tr>
      <w:tr w14:paraId="083F03A6">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0F45A38E">
            <w:pPr>
              <w:widowControl/>
              <w:jc w:val="center"/>
              <w:rPr>
                <w:rFonts w:hint="eastAsia" w:ascii="仿宋" w:hAnsi="仿宋" w:eastAsia="仿宋" w:cs="仿宋"/>
                <w:b/>
                <w:bCs/>
                <w:kern w:val="0"/>
                <w:sz w:val="30"/>
                <w:szCs w:val="30"/>
              </w:rPr>
            </w:pPr>
            <w:r>
              <w:rPr>
                <w:rFonts w:hint="eastAsia" w:ascii="仿宋" w:hAnsi="仿宋" w:eastAsia="仿宋" w:cs="仿宋"/>
                <w:b/>
                <w:bCs/>
                <w:kern w:val="0"/>
                <w:sz w:val="30"/>
                <w:szCs w:val="30"/>
              </w:rPr>
              <w:t>项   目</w:t>
            </w:r>
          </w:p>
        </w:tc>
        <w:tc>
          <w:tcPr>
            <w:tcW w:w="3155" w:type="dxa"/>
            <w:tcBorders>
              <w:top w:val="single" w:color="auto" w:sz="4" w:space="0"/>
              <w:left w:val="nil"/>
              <w:bottom w:val="single" w:color="auto" w:sz="4" w:space="0"/>
              <w:right w:val="single" w:color="auto" w:sz="4" w:space="0"/>
            </w:tcBorders>
            <w:vAlign w:val="center"/>
          </w:tcPr>
          <w:p w14:paraId="2DD3479D">
            <w:pPr>
              <w:widowControl/>
              <w:jc w:val="center"/>
              <w:rPr>
                <w:rFonts w:hint="eastAsia" w:ascii="仿宋" w:hAnsi="仿宋" w:eastAsia="仿宋" w:cs="仿宋"/>
                <w:b/>
                <w:bCs/>
                <w:kern w:val="0"/>
                <w:sz w:val="30"/>
                <w:szCs w:val="30"/>
              </w:rPr>
            </w:pPr>
            <w:r>
              <w:rPr>
                <w:rFonts w:hint="eastAsia" w:ascii="仿宋" w:hAnsi="仿宋" w:eastAsia="仿宋" w:cs="仿宋"/>
                <w:b/>
                <w:bCs/>
                <w:kern w:val="0"/>
                <w:sz w:val="30"/>
                <w:szCs w:val="30"/>
              </w:rPr>
              <w:t>数量</w:t>
            </w:r>
          </w:p>
        </w:tc>
        <w:tc>
          <w:tcPr>
            <w:tcW w:w="5103" w:type="dxa"/>
            <w:tcBorders>
              <w:top w:val="single" w:color="auto" w:sz="4" w:space="0"/>
              <w:left w:val="nil"/>
              <w:bottom w:val="single" w:color="auto" w:sz="4" w:space="0"/>
              <w:right w:val="single" w:color="auto" w:sz="4" w:space="0"/>
            </w:tcBorders>
            <w:vAlign w:val="center"/>
          </w:tcPr>
          <w:p w14:paraId="19B00E64">
            <w:pPr>
              <w:widowControl/>
              <w:jc w:val="center"/>
              <w:rPr>
                <w:rFonts w:hint="eastAsia" w:ascii="仿宋" w:hAnsi="仿宋" w:eastAsia="仿宋" w:cs="仿宋"/>
                <w:b/>
                <w:bCs/>
                <w:kern w:val="0"/>
                <w:sz w:val="30"/>
                <w:szCs w:val="30"/>
              </w:rPr>
            </w:pPr>
            <w:r>
              <w:rPr>
                <w:rFonts w:hint="eastAsia" w:ascii="仿宋" w:hAnsi="仿宋" w:eastAsia="仿宋" w:cs="仿宋"/>
                <w:b/>
                <w:bCs/>
                <w:kern w:val="0"/>
                <w:sz w:val="30"/>
                <w:szCs w:val="30"/>
              </w:rPr>
              <w:t>价值（金额单位：万元）</w:t>
            </w:r>
          </w:p>
        </w:tc>
      </w:tr>
      <w:tr w14:paraId="6976DDE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0AC94B4">
            <w:pPr>
              <w:widowControl/>
              <w:jc w:val="center"/>
              <w:rPr>
                <w:rFonts w:hint="eastAsia" w:ascii="仿宋" w:hAnsi="仿宋" w:eastAsia="仿宋" w:cs="仿宋"/>
                <w:kern w:val="0"/>
                <w:sz w:val="30"/>
                <w:szCs w:val="30"/>
              </w:rPr>
            </w:pPr>
            <w:r>
              <w:rPr>
                <w:rFonts w:hint="eastAsia" w:ascii="仿宋" w:hAnsi="仿宋" w:eastAsia="仿宋" w:cs="仿宋"/>
                <w:kern w:val="0"/>
                <w:sz w:val="30"/>
                <w:szCs w:val="30"/>
              </w:rPr>
              <w:t>资产总额</w:t>
            </w:r>
          </w:p>
        </w:tc>
        <w:tc>
          <w:tcPr>
            <w:tcW w:w="3155" w:type="dxa"/>
            <w:tcBorders>
              <w:top w:val="nil"/>
              <w:left w:val="nil"/>
              <w:bottom w:val="single" w:color="auto" w:sz="4" w:space="0"/>
              <w:right w:val="single" w:color="auto" w:sz="4" w:space="0"/>
            </w:tcBorders>
            <w:vAlign w:val="center"/>
          </w:tcPr>
          <w:p w14:paraId="459CE623">
            <w:pPr>
              <w:widowControl/>
              <w:jc w:val="center"/>
              <w:rPr>
                <w:rFonts w:hint="eastAsia" w:ascii="仿宋" w:hAnsi="仿宋" w:eastAsia="仿宋" w:cs="仿宋"/>
                <w:kern w:val="0"/>
                <w:sz w:val="30"/>
                <w:szCs w:val="30"/>
              </w:rPr>
            </w:pPr>
            <w:r>
              <w:rPr>
                <w:rFonts w:hint="eastAsia" w:ascii="仿宋" w:hAnsi="仿宋" w:eastAsia="仿宋" w:cs="仿宋"/>
                <w:kern w:val="0"/>
                <w:sz w:val="30"/>
                <w:szCs w:val="30"/>
              </w:rPr>
              <w:t>——</w:t>
            </w:r>
          </w:p>
        </w:tc>
        <w:tc>
          <w:tcPr>
            <w:tcW w:w="5103" w:type="dxa"/>
            <w:tcBorders>
              <w:top w:val="nil"/>
              <w:left w:val="nil"/>
              <w:bottom w:val="single" w:color="auto" w:sz="4" w:space="0"/>
              <w:right w:val="single" w:color="auto" w:sz="4" w:space="0"/>
            </w:tcBorders>
            <w:vAlign w:val="center"/>
          </w:tcPr>
          <w:p w14:paraId="763EC9AE">
            <w:pPr>
              <w:widowControl/>
              <w:jc w:val="center"/>
              <w:rPr>
                <w:rFonts w:hint="default"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287.17</w:t>
            </w:r>
          </w:p>
        </w:tc>
      </w:tr>
      <w:tr w14:paraId="234DBA9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96FA2F5">
            <w:pPr>
              <w:widowControl/>
              <w:jc w:val="left"/>
              <w:rPr>
                <w:rFonts w:hint="eastAsia" w:ascii="仿宋" w:hAnsi="仿宋" w:eastAsia="仿宋" w:cs="仿宋"/>
                <w:kern w:val="0"/>
                <w:sz w:val="30"/>
                <w:szCs w:val="30"/>
              </w:rPr>
            </w:pPr>
            <w:r>
              <w:rPr>
                <w:rFonts w:hint="eastAsia" w:ascii="仿宋" w:hAnsi="仿宋" w:eastAsia="仿宋" w:cs="仿宋"/>
                <w:kern w:val="0"/>
                <w:sz w:val="30"/>
                <w:szCs w:val="30"/>
              </w:rPr>
              <w:t>1、房屋（平方米）</w:t>
            </w:r>
          </w:p>
        </w:tc>
        <w:tc>
          <w:tcPr>
            <w:tcW w:w="3155" w:type="dxa"/>
            <w:tcBorders>
              <w:top w:val="nil"/>
              <w:left w:val="nil"/>
              <w:bottom w:val="single" w:color="auto" w:sz="4" w:space="0"/>
              <w:right w:val="single" w:color="auto" w:sz="4" w:space="0"/>
            </w:tcBorders>
            <w:vAlign w:val="center"/>
          </w:tcPr>
          <w:p w14:paraId="47937413">
            <w:pPr>
              <w:widowControl/>
              <w:jc w:val="center"/>
              <w:rPr>
                <w:rFonts w:hint="eastAsia" w:ascii="仿宋" w:hAnsi="仿宋" w:eastAsia="仿宋" w:cs="仿宋"/>
                <w:kern w:val="0"/>
                <w:sz w:val="30"/>
                <w:szCs w:val="30"/>
              </w:rPr>
            </w:pPr>
            <w:r>
              <w:rPr>
                <w:rFonts w:hint="eastAsia" w:ascii="仿宋" w:hAnsi="仿宋" w:eastAsia="仿宋" w:cs="仿宋"/>
                <w:kern w:val="0"/>
                <w:sz w:val="30"/>
                <w:szCs w:val="30"/>
              </w:rPr>
              <w:t>6100</w:t>
            </w:r>
          </w:p>
        </w:tc>
        <w:tc>
          <w:tcPr>
            <w:tcW w:w="5103" w:type="dxa"/>
            <w:tcBorders>
              <w:top w:val="nil"/>
              <w:left w:val="nil"/>
              <w:bottom w:val="single" w:color="auto" w:sz="4" w:space="0"/>
              <w:right w:val="single" w:color="auto" w:sz="4" w:space="0"/>
            </w:tcBorders>
            <w:vAlign w:val="center"/>
          </w:tcPr>
          <w:p w14:paraId="1FD28767">
            <w:pPr>
              <w:widowControl/>
              <w:jc w:val="center"/>
              <w:rPr>
                <w:rFonts w:hint="eastAsia" w:ascii="仿宋" w:hAnsi="仿宋" w:eastAsia="仿宋" w:cs="仿宋"/>
                <w:kern w:val="0"/>
                <w:sz w:val="30"/>
                <w:szCs w:val="30"/>
              </w:rPr>
            </w:pPr>
            <w:r>
              <w:rPr>
                <w:rFonts w:hint="eastAsia" w:ascii="仿宋" w:hAnsi="仿宋" w:eastAsia="仿宋" w:cs="仿宋"/>
                <w:kern w:val="0"/>
                <w:sz w:val="30"/>
                <w:szCs w:val="30"/>
              </w:rPr>
              <w:t>140.6</w:t>
            </w:r>
          </w:p>
        </w:tc>
      </w:tr>
      <w:tr w14:paraId="14B4494B">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477DDCC">
            <w:pPr>
              <w:widowControl/>
              <w:jc w:val="left"/>
              <w:rPr>
                <w:rFonts w:hint="eastAsia" w:ascii="仿宋" w:hAnsi="仿宋" w:eastAsia="仿宋" w:cs="仿宋"/>
                <w:kern w:val="0"/>
                <w:sz w:val="30"/>
                <w:szCs w:val="30"/>
              </w:rPr>
            </w:pPr>
            <w:r>
              <w:rPr>
                <w:rFonts w:hint="eastAsia" w:ascii="仿宋" w:hAnsi="仿宋" w:eastAsia="仿宋" w:cs="仿宋"/>
                <w:kern w:val="0"/>
                <w:sz w:val="30"/>
                <w:szCs w:val="30"/>
              </w:rPr>
              <w:t xml:space="preserve">  其中：办公用房（平方米）</w:t>
            </w:r>
          </w:p>
        </w:tc>
        <w:tc>
          <w:tcPr>
            <w:tcW w:w="3155" w:type="dxa"/>
            <w:tcBorders>
              <w:top w:val="nil"/>
              <w:left w:val="nil"/>
              <w:bottom w:val="single" w:color="auto" w:sz="4" w:space="0"/>
              <w:right w:val="single" w:color="auto" w:sz="4" w:space="0"/>
            </w:tcBorders>
            <w:vAlign w:val="center"/>
          </w:tcPr>
          <w:p w14:paraId="06BF5893">
            <w:pPr>
              <w:widowControl/>
              <w:jc w:val="center"/>
              <w:rPr>
                <w:rFonts w:hint="eastAsia" w:ascii="仿宋" w:hAnsi="仿宋" w:eastAsia="仿宋" w:cs="仿宋"/>
                <w:kern w:val="0"/>
                <w:sz w:val="30"/>
                <w:szCs w:val="30"/>
              </w:rPr>
            </w:pPr>
            <w:r>
              <w:rPr>
                <w:rFonts w:hint="eastAsia" w:ascii="仿宋" w:hAnsi="仿宋" w:eastAsia="仿宋" w:cs="仿宋"/>
                <w:kern w:val="0"/>
                <w:sz w:val="30"/>
                <w:szCs w:val="30"/>
              </w:rPr>
              <w:t>6100</w:t>
            </w:r>
          </w:p>
        </w:tc>
        <w:tc>
          <w:tcPr>
            <w:tcW w:w="5103" w:type="dxa"/>
            <w:tcBorders>
              <w:top w:val="nil"/>
              <w:left w:val="nil"/>
              <w:bottom w:val="single" w:color="auto" w:sz="4" w:space="0"/>
              <w:right w:val="single" w:color="auto" w:sz="4" w:space="0"/>
            </w:tcBorders>
            <w:vAlign w:val="center"/>
          </w:tcPr>
          <w:p w14:paraId="63B02A4C">
            <w:pPr>
              <w:widowControl/>
              <w:jc w:val="center"/>
              <w:rPr>
                <w:rFonts w:hint="eastAsia" w:ascii="仿宋" w:hAnsi="仿宋" w:eastAsia="仿宋" w:cs="仿宋"/>
                <w:kern w:val="0"/>
                <w:sz w:val="30"/>
                <w:szCs w:val="30"/>
              </w:rPr>
            </w:pPr>
            <w:r>
              <w:rPr>
                <w:rFonts w:hint="eastAsia" w:ascii="仿宋" w:hAnsi="仿宋" w:eastAsia="仿宋" w:cs="仿宋"/>
                <w:kern w:val="0"/>
                <w:sz w:val="30"/>
                <w:szCs w:val="30"/>
              </w:rPr>
              <w:t>140.6</w:t>
            </w:r>
          </w:p>
        </w:tc>
      </w:tr>
      <w:tr w14:paraId="7B5DA05B">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E8333AC">
            <w:pPr>
              <w:widowControl/>
              <w:jc w:val="left"/>
              <w:rPr>
                <w:rFonts w:hint="eastAsia" w:ascii="仿宋" w:hAnsi="仿宋" w:eastAsia="仿宋" w:cs="仿宋"/>
                <w:kern w:val="0"/>
                <w:sz w:val="30"/>
                <w:szCs w:val="30"/>
              </w:rPr>
            </w:pPr>
            <w:r>
              <w:rPr>
                <w:rFonts w:hint="eastAsia" w:ascii="仿宋" w:hAnsi="仿宋" w:eastAsia="仿宋" w:cs="仿宋"/>
                <w:kern w:val="0"/>
                <w:sz w:val="30"/>
                <w:szCs w:val="30"/>
              </w:rPr>
              <w:t>2、车辆（台、辆）</w:t>
            </w:r>
          </w:p>
        </w:tc>
        <w:tc>
          <w:tcPr>
            <w:tcW w:w="3155" w:type="dxa"/>
            <w:tcBorders>
              <w:top w:val="nil"/>
              <w:left w:val="nil"/>
              <w:bottom w:val="single" w:color="auto" w:sz="4" w:space="0"/>
              <w:right w:val="single" w:color="auto" w:sz="4" w:space="0"/>
            </w:tcBorders>
            <w:vAlign w:val="center"/>
          </w:tcPr>
          <w:p w14:paraId="0F0F9424">
            <w:pPr>
              <w:widowControl/>
              <w:jc w:val="center"/>
              <w:rPr>
                <w:rFonts w:hint="eastAsia" w:ascii="仿宋" w:hAnsi="仿宋" w:eastAsia="仿宋" w:cs="仿宋"/>
                <w:kern w:val="0"/>
                <w:sz w:val="30"/>
                <w:szCs w:val="30"/>
                <w:lang w:eastAsia="zh-CN"/>
              </w:rPr>
            </w:pPr>
            <w:r>
              <w:rPr>
                <w:rFonts w:hint="eastAsia" w:ascii="仿宋" w:hAnsi="仿宋" w:eastAsia="仿宋" w:cs="仿宋"/>
                <w:kern w:val="0"/>
                <w:sz w:val="30"/>
                <w:szCs w:val="30"/>
                <w:lang w:val="en-US" w:eastAsia="zh-CN"/>
              </w:rPr>
              <w:t>1</w:t>
            </w:r>
          </w:p>
        </w:tc>
        <w:tc>
          <w:tcPr>
            <w:tcW w:w="5103" w:type="dxa"/>
            <w:tcBorders>
              <w:top w:val="nil"/>
              <w:left w:val="nil"/>
              <w:bottom w:val="single" w:color="auto" w:sz="4" w:space="0"/>
              <w:right w:val="single" w:color="auto" w:sz="4" w:space="0"/>
            </w:tcBorders>
            <w:vAlign w:val="center"/>
          </w:tcPr>
          <w:p w14:paraId="54A15717">
            <w:pPr>
              <w:widowControl/>
              <w:jc w:val="center"/>
              <w:rPr>
                <w:rFonts w:hint="default"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40</w:t>
            </w:r>
          </w:p>
        </w:tc>
      </w:tr>
      <w:tr w14:paraId="7BE87BA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9197081">
            <w:pPr>
              <w:widowControl/>
              <w:jc w:val="left"/>
              <w:rPr>
                <w:rFonts w:hint="eastAsia" w:ascii="仿宋" w:hAnsi="仿宋" w:eastAsia="仿宋" w:cs="仿宋"/>
                <w:kern w:val="0"/>
                <w:sz w:val="30"/>
                <w:szCs w:val="30"/>
              </w:rPr>
            </w:pPr>
            <w:r>
              <w:rPr>
                <w:rFonts w:hint="eastAsia" w:ascii="仿宋" w:hAnsi="仿宋" w:eastAsia="仿宋" w:cs="仿宋"/>
                <w:kern w:val="0"/>
                <w:sz w:val="30"/>
                <w:szCs w:val="30"/>
              </w:rPr>
              <w:t>3、单价在20万元以上设备</w:t>
            </w:r>
          </w:p>
        </w:tc>
        <w:tc>
          <w:tcPr>
            <w:tcW w:w="3155" w:type="dxa"/>
            <w:tcBorders>
              <w:top w:val="nil"/>
              <w:left w:val="nil"/>
              <w:bottom w:val="single" w:color="auto" w:sz="4" w:space="0"/>
              <w:right w:val="single" w:color="auto" w:sz="4" w:space="0"/>
            </w:tcBorders>
            <w:vAlign w:val="center"/>
          </w:tcPr>
          <w:p w14:paraId="7B99EA1D">
            <w:pPr>
              <w:widowControl/>
              <w:jc w:val="center"/>
              <w:rPr>
                <w:rFonts w:hint="eastAsia" w:ascii="仿宋" w:hAnsi="仿宋" w:eastAsia="仿宋" w:cs="仿宋"/>
                <w:kern w:val="0"/>
                <w:sz w:val="30"/>
                <w:szCs w:val="30"/>
              </w:rPr>
            </w:pPr>
            <w:r>
              <w:rPr>
                <w:rFonts w:hint="eastAsia" w:ascii="仿宋" w:hAnsi="仿宋" w:eastAsia="仿宋" w:cs="仿宋"/>
                <w:kern w:val="0"/>
                <w:sz w:val="30"/>
                <w:szCs w:val="30"/>
              </w:rPr>
              <w:t>——</w:t>
            </w:r>
          </w:p>
        </w:tc>
        <w:tc>
          <w:tcPr>
            <w:tcW w:w="5103" w:type="dxa"/>
            <w:tcBorders>
              <w:top w:val="nil"/>
              <w:left w:val="nil"/>
              <w:bottom w:val="single" w:color="auto" w:sz="4" w:space="0"/>
              <w:right w:val="single" w:color="auto" w:sz="4" w:space="0"/>
            </w:tcBorders>
            <w:vAlign w:val="center"/>
          </w:tcPr>
          <w:p w14:paraId="0E7A9970">
            <w:pPr>
              <w:widowControl/>
              <w:jc w:val="center"/>
              <w:rPr>
                <w:rFonts w:hint="eastAsia" w:ascii="仿宋" w:hAnsi="仿宋" w:eastAsia="仿宋" w:cs="仿宋"/>
                <w:kern w:val="0"/>
                <w:sz w:val="30"/>
                <w:szCs w:val="30"/>
              </w:rPr>
            </w:pPr>
          </w:p>
        </w:tc>
      </w:tr>
      <w:tr w14:paraId="47F806E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7C98691">
            <w:pPr>
              <w:widowControl/>
              <w:jc w:val="left"/>
              <w:rPr>
                <w:rFonts w:hint="eastAsia" w:ascii="仿宋" w:hAnsi="仿宋" w:eastAsia="仿宋" w:cs="仿宋"/>
                <w:kern w:val="0"/>
                <w:sz w:val="30"/>
                <w:szCs w:val="30"/>
              </w:rPr>
            </w:pPr>
            <w:r>
              <w:rPr>
                <w:rFonts w:hint="eastAsia" w:ascii="仿宋" w:hAnsi="仿宋" w:eastAsia="仿宋" w:cs="仿宋"/>
                <w:kern w:val="0"/>
                <w:sz w:val="30"/>
                <w:szCs w:val="30"/>
              </w:rPr>
              <w:t>4、其他固定资产</w:t>
            </w:r>
          </w:p>
        </w:tc>
        <w:tc>
          <w:tcPr>
            <w:tcW w:w="3155" w:type="dxa"/>
            <w:tcBorders>
              <w:top w:val="nil"/>
              <w:left w:val="nil"/>
              <w:bottom w:val="single" w:color="auto" w:sz="4" w:space="0"/>
              <w:right w:val="single" w:color="auto" w:sz="4" w:space="0"/>
            </w:tcBorders>
            <w:vAlign w:val="center"/>
          </w:tcPr>
          <w:p w14:paraId="75A1DC9D">
            <w:pPr>
              <w:widowControl/>
              <w:jc w:val="center"/>
              <w:rPr>
                <w:rFonts w:hint="eastAsia" w:ascii="仿宋" w:hAnsi="仿宋" w:eastAsia="仿宋" w:cs="仿宋"/>
                <w:kern w:val="0"/>
                <w:sz w:val="30"/>
                <w:szCs w:val="30"/>
              </w:rPr>
            </w:pPr>
            <w:r>
              <w:rPr>
                <w:rFonts w:hint="eastAsia" w:ascii="仿宋" w:hAnsi="仿宋" w:eastAsia="仿宋" w:cs="仿宋"/>
                <w:kern w:val="0"/>
                <w:sz w:val="30"/>
                <w:szCs w:val="30"/>
              </w:rPr>
              <w:t>——</w:t>
            </w:r>
          </w:p>
        </w:tc>
        <w:tc>
          <w:tcPr>
            <w:tcW w:w="5103" w:type="dxa"/>
            <w:tcBorders>
              <w:top w:val="nil"/>
              <w:left w:val="nil"/>
              <w:bottom w:val="single" w:color="auto" w:sz="4" w:space="0"/>
              <w:right w:val="single" w:color="auto" w:sz="4" w:space="0"/>
            </w:tcBorders>
            <w:vAlign w:val="center"/>
          </w:tcPr>
          <w:p w14:paraId="604C8BDF">
            <w:pPr>
              <w:widowControl/>
              <w:jc w:val="center"/>
              <w:rPr>
                <w:rFonts w:hint="eastAsia" w:ascii="仿宋" w:hAnsi="仿宋" w:eastAsia="仿宋" w:cs="仿宋"/>
                <w:kern w:val="0"/>
                <w:sz w:val="30"/>
                <w:szCs w:val="30"/>
              </w:rPr>
            </w:pPr>
            <w:r>
              <w:rPr>
                <w:rFonts w:hint="eastAsia" w:ascii="仿宋" w:hAnsi="仿宋" w:eastAsia="仿宋" w:cs="仿宋"/>
                <w:kern w:val="0"/>
                <w:sz w:val="30"/>
                <w:szCs w:val="30"/>
              </w:rPr>
              <w:t>106.57</w:t>
            </w:r>
          </w:p>
        </w:tc>
      </w:tr>
    </w:tbl>
    <w:p w14:paraId="112419AA">
      <w:pPr>
        <w:rPr>
          <w:rFonts w:hint="eastAsia" w:ascii="仿宋" w:hAnsi="仿宋" w:eastAsia="仿宋" w:cs="仿宋"/>
          <w:sz w:val="30"/>
          <w:szCs w:val="30"/>
        </w:rPr>
      </w:pPr>
      <w:r>
        <w:rPr>
          <w:rFonts w:hint="eastAsia" w:ascii="仿宋" w:hAnsi="仿宋" w:eastAsia="仿宋" w:cs="仿宋"/>
          <w:sz w:val="30"/>
          <w:szCs w:val="30"/>
        </w:rPr>
        <w:t>说明：1、实有车辆</w:t>
      </w:r>
      <w:r>
        <w:rPr>
          <w:rFonts w:hint="eastAsia" w:ascii="仿宋" w:hAnsi="仿宋" w:eastAsia="仿宋" w:cs="仿宋"/>
          <w:sz w:val="30"/>
          <w:szCs w:val="30"/>
          <w:lang w:val="en-US" w:eastAsia="zh-CN"/>
        </w:rPr>
        <w:t>1</w:t>
      </w:r>
      <w:r>
        <w:rPr>
          <w:rFonts w:hint="eastAsia" w:ascii="仿宋" w:hAnsi="仿宋" w:eastAsia="仿宋" w:cs="仿宋"/>
          <w:sz w:val="30"/>
          <w:szCs w:val="30"/>
        </w:rPr>
        <w:t>辆，其余为公车改革按规定封存待上缴未办理处置手续的车辆。</w:t>
      </w:r>
    </w:p>
    <w:p w14:paraId="48674BCF">
      <w:pPr>
        <w:rPr>
          <w:rFonts w:hint="eastAsia" w:ascii="仿宋" w:hAnsi="仿宋" w:eastAsia="仿宋" w:cs="仿宋"/>
          <w:sz w:val="30"/>
          <w:szCs w:val="30"/>
        </w:rPr>
      </w:pPr>
      <w:r>
        <w:rPr>
          <w:rFonts w:hint="eastAsia" w:ascii="仿宋" w:hAnsi="仿宋" w:eastAsia="仿宋" w:cs="仿宋"/>
          <w:sz w:val="30"/>
          <w:szCs w:val="30"/>
        </w:rPr>
        <w:t xml:space="preserve">    </w:t>
      </w:r>
    </w:p>
    <w:p w14:paraId="7B2B04B3">
      <w:pPr>
        <w:rPr>
          <w:rFonts w:hint="eastAsia" w:ascii="仿宋" w:hAnsi="仿宋" w:eastAsia="仿宋" w:cs="仿宋"/>
          <w:sz w:val="30"/>
          <w:szCs w:val="30"/>
        </w:rPr>
      </w:pPr>
    </w:p>
    <w:p w14:paraId="419F2F04">
      <w:pPr>
        <w:numPr>
          <w:ilvl w:val="0"/>
          <w:numId w:val="2"/>
        </w:numPr>
        <w:autoSpaceDE w:val="0"/>
        <w:autoSpaceDN w:val="0"/>
        <w:adjustRightInd w:val="0"/>
        <w:ind w:left="198" w:firstLine="600" w:firstLineChars="200"/>
        <w:jc w:val="left"/>
        <w:rPr>
          <w:rFonts w:hint="eastAsia" w:ascii="仿宋" w:hAnsi="仿宋" w:eastAsia="仿宋" w:cs="仿宋"/>
          <w:sz w:val="30"/>
          <w:szCs w:val="30"/>
        </w:rPr>
      </w:pPr>
      <w:r>
        <w:rPr>
          <w:rFonts w:hint="eastAsia" w:ascii="仿宋" w:hAnsi="仿宋" w:eastAsia="仿宋" w:cs="仿宋"/>
          <w:sz w:val="30"/>
          <w:szCs w:val="30"/>
        </w:rPr>
        <w:t>名词解释</w:t>
      </w:r>
    </w:p>
    <w:p w14:paraId="64E2672B">
      <w:pPr>
        <w:autoSpaceDE w:val="0"/>
        <w:autoSpaceDN w:val="0"/>
        <w:adjustRightInd w:val="0"/>
        <w:ind w:left="420" w:leftChars="200" w:firstLine="600" w:firstLineChars="200"/>
        <w:jc w:val="left"/>
        <w:rPr>
          <w:rFonts w:hint="eastAsia" w:ascii="仿宋" w:hAnsi="仿宋" w:eastAsia="仿宋" w:cs="仿宋"/>
          <w:sz w:val="30"/>
          <w:szCs w:val="30"/>
        </w:rPr>
      </w:pPr>
      <w:r>
        <w:rPr>
          <w:rFonts w:hint="eastAsia" w:ascii="仿宋" w:hAnsi="仿宋" w:eastAsia="仿宋" w:cs="仿宋"/>
          <w:sz w:val="30"/>
          <w:szCs w:val="30"/>
        </w:rPr>
        <w:t>1、一般预算收入：省级财政当年拨付的资金。</w:t>
      </w:r>
    </w:p>
    <w:p w14:paraId="5EE11C47">
      <w:pPr>
        <w:autoSpaceDE w:val="0"/>
        <w:autoSpaceDN w:val="0"/>
        <w:adjustRightInd w:val="0"/>
        <w:ind w:left="420" w:leftChars="200" w:firstLine="600" w:firstLineChars="200"/>
        <w:jc w:val="left"/>
        <w:rPr>
          <w:rFonts w:hint="eastAsia" w:ascii="仿宋" w:hAnsi="仿宋" w:eastAsia="仿宋" w:cs="仿宋"/>
          <w:sz w:val="30"/>
          <w:szCs w:val="30"/>
        </w:rPr>
      </w:pPr>
      <w:r>
        <w:rPr>
          <w:rFonts w:hint="eastAsia" w:ascii="仿宋" w:hAnsi="仿宋" w:eastAsia="仿宋" w:cs="仿宋"/>
          <w:sz w:val="30"/>
          <w:szCs w:val="30"/>
        </w:rPr>
        <w:t>2、基本支出：为保障机构正常运转，完成日常工作任务，而发生的人员支出和公用支出。</w:t>
      </w:r>
    </w:p>
    <w:p w14:paraId="6BB732CE">
      <w:pPr>
        <w:autoSpaceDE w:val="0"/>
        <w:autoSpaceDN w:val="0"/>
        <w:adjustRightInd w:val="0"/>
        <w:ind w:left="420" w:leftChars="200" w:firstLine="600" w:firstLineChars="200"/>
        <w:jc w:val="left"/>
        <w:rPr>
          <w:rFonts w:hint="eastAsia" w:ascii="仿宋" w:hAnsi="仿宋" w:eastAsia="仿宋" w:cs="仿宋"/>
          <w:sz w:val="30"/>
          <w:szCs w:val="30"/>
        </w:rPr>
      </w:pPr>
      <w:r>
        <w:rPr>
          <w:rFonts w:hint="eastAsia" w:ascii="仿宋" w:hAnsi="仿宋" w:eastAsia="仿宋" w:cs="仿宋"/>
          <w:sz w:val="30"/>
          <w:szCs w:val="30"/>
        </w:rPr>
        <w:t>3、项目支出：是指在基本支出之外，为完成特定行政任务和事业发展目标，而发生的支出。</w:t>
      </w:r>
    </w:p>
    <w:p w14:paraId="13A5FA7A">
      <w:pPr>
        <w:autoSpaceDE w:val="0"/>
        <w:autoSpaceDN w:val="0"/>
        <w:adjustRightInd w:val="0"/>
        <w:ind w:left="420" w:leftChars="200" w:firstLine="600" w:firstLineChars="200"/>
        <w:jc w:val="left"/>
        <w:rPr>
          <w:rFonts w:hint="eastAsia" w:ascii="仿宋" w:hAnsi="仿宋" w:eastAsia="仿宋" w:cs="仿宋"/>
          <w:sz w:val="30"/>
          <w:szCs w:val="30"/>
        </w:rPr>
      </w:pPr>
      <w:r>
        <w:rPr>
          <w:rFonts w:hint="eastAsia" w:ascii="仿宋" w:hAnsi="仿宋" w:eastAsia="仿宋" w:cs="仿宋"/>
          <w:sz w:val="30"/>
          <w:szCs w:val="30"/>
        </w:rPr>
        <w:t>4、机关运行费：是指为保证行政单位（包括参照公务员管理的事业单位）运行，用于购买货物和服务的各项资金。主要包括：办公费、印刷费，水费、电费、邮电费、福利费、日常维修费、办公取暖费、办公物业服务费、公务车运行维护费等。</w:t>
      </w:r>
    </w:p>
    <w:p w14:paraId="18326DA9">
      <w:pPr>
        <w:autoSpaceDE w:val="0"/>
        <w:autoSpaceDN w:val="0"/>
        <w:adjustRightInd w:val="0"/>
        <w:ind w:left="420" w:leftChars="200" w:firstLine="602" w:firstLineChars="200"/>
        <w:jc w:val="left"/>
        <w:rPr>
          <w:rFonts w:hint="eastAsia" w:ascii="仿宋" w:hAnsi="仿宋" w:eastAsia="仿宋" w:cs="仿宋"/>
          <w:b/>
          <w:bCs/>
          <w:sz w:val="30"/>
          <w:szCs w:val="30"/>
        </w:rPr>
      </w:pPr>
      <w:r>
        <w:rPr>
          <w:rFonts w:hint="eastAsia" w:ascii="仿宋" w:hAnsi="仿宋" w:eastAsia="仿宋" w:cs="仿宋"/>
          <w:b/>
          <w:bCs/>
          <w:sz w:val="30"/>
          <w:szCs w:val="30"/>
        </w:rPr>
        <w:t>九、其他需要说明的事项</w:t>
      </w:r>
    </w:p>
    <w:p w14:paraId="3BA6BD41">
      <w:pPr>
        <w:autoSpaceDE w:val="0"/>
        <w:autoSpaceDN w:val="0"/>
        <w:adjustRightInd w:val="0"/>
        <w:ind w:left="420" w:leftChars="200" w:firstLine="600" w:firstLineChars="200"/>
        <w:jc w:val="left"/>
        <w:rPr>
          <w:rFonts w:hint="eastAsia" w:ascii="仿宋" w:hAnsi="仿宋" w:eastAsia="仿宋" w:cs="仿宋"/>
          <w:sz w:val="30"/>
          <w:szCs w:val="30"/>
        </w:rPr>
      </w:pPr>
      <w:r>
        <w:rPr>
          <w:rFonts w:hint="eastAsia" w:ascii="仿宋" w:hAnsi="仿宋" w:eastAsia="仿宋" w:cs="仿宋"/>
          <w:sz w:val="30"/>
          <w:szCs w:val="30"/>
        </w:rPr>
        <w:t>无</w:t>
      </w:r>
    </w:p>
    <w:p w14:paraId="235E23BA">
      <w:pPr>
        <w:ind w:firstLine="600" w:firstLineChars="200"/>
        <w:rPr>
          <w:rFonts w:hint="eastAsia" w:ascii="仿宋" w:hAnsi="仿宋" w:eastAsia="仿宋" w:cs="仿宋"/>
          <w:sz w:val="30"/>
          <w:szCs w:val="30"/>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818F2D"/>
    <w:multiLevelType w:val="singleLevel"/>
    <w:tmpl w:val="58818F2D"/>
    <w:lvl w:ilvl="0" w:tentative="0">
      <w:start w:val="2"/>
      <w:numFmt w:val="decimal"/>
      <w:suff w:val="nothing"/>
      <w:lvlText w:val="%1、"/>
      <w:lvlJc w:val="left"/>
    </w:lvl>
  </w:abstractNum>
  <w:abstractNum w:abstractNumId="1">
    <w:nsid w:val="5881B3F2"/>
    <w:multiLevelType w:val="singleLevel"/>
    <w:tmpl w:val="5881B3F2"/>
    <w:lvl w:ilvl="0" w:tentative="0">
      <w:start w:val="8"/>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web"/>
  <w:zoom w:percent="128"/>
  <w:doNotDisplayPageBoundaries w:val="1"/>
  <w:documentProtection w:enforcement="0"/>
  <w:defaultTabStop w:val="420"/>
  <w:drawingGridHorizontalSpacing w:val="0"/>
  <w:drawingGridVerticalSpacing w:val="156"/>
  <w:noPunctuationKerning w:val="1"/>
  <w:characterSpacingControl w:val="compressPunctuation"/>
  <w:compat>
    <w:spaceForUL/>
    <w:balanceSingleByteDoubleByteWidth/>
    <w:doNotLeaveBackslashAlone/>
    <w:ulTrailSpace/>
    <w:adjustLineHeightInTable/>
    <w:useFELayout/>
    <w:compatSetting w:name="compatibilityMode" w:uri="http://schemas.microsoft.com/office/word" w:val="12"/>
  </w:compat>
  <w:docVars>
    <w:docVar w:name="commondata" w:val="eyJoZGlkIjoiZDE4NWUwZWQ0ZWY4NGY5MjZkYzU3ZGI3ODMyNmNiNmIifQ=="/>
  </w:docVars>
  <w:rsids>
    <w:rsidRoot w:val="00E3054B"/>
    <w:rsid w:val="005938C4"/>
    <w:rsid w:val="00C22C2A"/>
    <w:rsid w:val="00E3054B"/>
    <w:rsid w:val="014E6F8A"/>
    <w:rsid w:val="026979F7"/>
    <w:rsid w:val="05CA39EF"/>
    <w:rsid w:val="05F23A44"/>
    <w:rsid w:val="063E4E73"/>
    <w:rsid w:val="073F31A7"/>
    <w:rsid w:val="07773D24"/>
    <w:rsid w:val="08346C13"/>
    <w:rsid w:val="0BBC247C"/>
    <w:rsid w:val="0C65512F"/>
    <w:rsid w:val="0DF8567E"/>
    <w:rsid w:val="10DE4F8E"/>
    <w:rsid w:val="110F3146"/>
    <w:rsid w:val="115B30C4"/>
    <w:rsid w:val="13227483"/>
    <w:rsid w:val="13B77135"/>
    <w:rsid w:val="15245F8B"/>
    <w:rsid w:val="16271FC7"/>
    <w:rsid w:val="163E6784"/>
    <w:rsid w:val="16674602"/>
    <w:rsid w:val="18DB4A76"/>
    <w:rsid w:val="19902620"/>
    <w:rsid w:val="1AE12A2A"/>
    <w:rsid w:val="1F424713"/>
    <w:rsid w:val="1F6859E2"/>
    <w:rsid w:val="207B1DBC"/>
    <w:rsid w:val="243F6A56"/>
    <w:rsid w:val="249A0264"/>
    <w:rsid w:val="24C167D4"/>
    <w:rsid w:val="295A5696"/>
    <w:rsid w:val="29E13510"/>
    <w:rsid w:val="2AA55415"/>
    <w:rsid w:val="2CDC5845"/>
    <w:rsid w:val="2E461639"/>
    <w:rsid w:val="32091089"/>
    <w:rsid w:val="334D729D"/>
    <w:rsid w:val="336F44DD"/>
    <w:rsid w:val="33AF3005"/>
    <w:rsid w:val="34C0099F"/>
    <w:rsid w:val="39C80ED0"/>
    <w:rsid w:val="3B271D7E"/>
    <w:rsid w:val="3CE876AD"/>
    <w:rsid w:val="41886D9F"/>
    <w:rsid w:val="422350FC"/>
    <w:rsid w:val="43312D5B"/>
    <w:rsid w:val="444D288C"/>
    <w:rsid w:val="484D7C10"/>
    <w:rsid w:val="4A163E58"/>
    <w:rsid w:val="4A7A2D1D"/>
    <w:rsid w:val="4B003614"/>
    <w:rsid w:val="4C9108C5"/>
    <w:rsid w:val="4CC633CC"/>
    <w:rsid w:val="4D310C0B"/>
    <w:rsid w:val="51755157"/>
    <w:rsid w:val="52FC70EE"/>
    <w:rsid w:val="539A3F28"/>
    <w:rsid w:val="541D4D3F"/>
    <w:rsid w:val="546972DB"/>
    <w:rsid w:val="57406DCD"/>
    <w:rsid w:val="577A68E3"/>
    <w:rsid w:val="59DC7897"/>
    <w:rsid w:val="5B7C3308"/>
    <w:rsid w:val="5FBD0305"/>
    <w:rsid w:val="66026A8D"/>
    <w:rsid w:val="670E5C28"/>
    <w:rsid w:val="672F1649"/>
    <w:rsid w:val="67622111"/>
    <w:rsid w:val="68140D9E"/>
    <w:rsid w:val="6A90499F"/>
    <w:rsid w:val="6FA33F27"/>
    <w:rsid w:val="70E578B1"/>
    <w:rsid w:val="70EE4D9C"/>
    <w:rsid w:val="71DC7119"/>
    <w:rsid w:val="72E338BB"/>
    <w:rsid w:val="75FB4537"/>
    <w:rsid w:val="7B1F0E62"/>
    <w:rsid w:val="7B521FC3"/>
    <w:rsid w:val="7BB503D6"/>
    <w:rsid w:val="7D227959"/>
    <w:rsid w:val="7D323676"/>
    <w:rsid w:val="7E297246"/>
    <w:rsid w:val="7ECA5D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0"/>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toc 2"/>
    <w:basedOn w:val="1"/>
    <w:next w:val="1"/>
    <w:qFormat/>
    <w:uiPriority w:val="0"/>
    <w:pPr>
      <w:ind w:left="420" w:leftChars="200"/>
    </w:pPr>
    <w:rPr>
      <w:rFonts w:ascii="Times New Roman" w:hAnsi="Times New Roman" w:cs="Times New Roman"/>
      <w:szCs w:val="24"/>
    </w:rPr>
  </w:style>
  <w:style w:type="character" w:styleId="8">
    <w:name w:val="page number"/>
    <w:basedOn w:val="7"/>
    <w:unhideWhenUsed/>
    <w:qFormat/>
    <w:uiPriority w:val="0"/>
  </w:style>
  <w:style w:type="character" w:customStyle="1" w:styleId="9">
    <w:name w:val="页脚 Char"/>
    <w:basedOn w:val="7"/>
    <w:link w:val="2"/>
    <w:qFormat/>
    <w:uiPriority w:val="0"/>
    <w:rPr>
      <w:rFonts w:ascii="Times New Roman" w:hAnsi="Times New Roman" w:eastAsia="宋体" w:cs="Times New Roman"/>
      <w:sz w:val="18"/>
      <w:szCs w:val="18"/>
    </w:rPr>
  </w:style>
  <w:style w:type="character" w:customStyle="1" w:styleId="10">
    <w:name w:val="页眉 Char"/>
    <w:basedOn w:val="7"/>
    <w:link w:val="3"/>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12</Pages>
  <Words>4791</Words>
  <Characters>4973</Characters>
  <Lines>45</Lines>
  <Paragraphs>12</Paragraphs>
  <TotalTime>187</TotalTime>
  <ScaleCrop>false</ScaleCrop>
  <LinksUpToDate>false</LinksUpToDate>
  <CharactersWithSpaces>4991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2017-01-20T01:29:00Z</dcterms:created>
  <dc:creator>guest</dc:creator>
  <cp:lastModifiedBy>你渴望力量吗？</cp:lastModifiedBy>
  <cp:lastPrinted>2019-06-24T08:22:00Z</cp:lastPrinted>
  <dcterms:modified xsi:type="dcterms:W3CDTF">2025-12-31T03:20:11Z</dcterms:modified>
  <dc:title>河北省2017年部门预算信息公开</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B6A0FC289B8F437CB6CF064584D13675</vt:lpwstr>
  </property>
  <property fmtid="{D5CDD505-2E9C-101B-9397-08002B2CF9AE}" pid="4" name="KSOTemplateDocerSaveRecord">
    <vt:lpwstr>eyJoZGlkIjoiZDE4NWUwZWQ0ZWY4NGY5MjZkYzU3ZGI3ODMyNmNiNmIiLCJ1c2VySWQiOiI1MTM2NDE5MjQifQ==</vt:lpwstr>
  </property>
</Properties>
</file>