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auto"/>
        <w:kinsoku/>
        <w:wordWrap/>
        <w:overflowPunct/>
        <w:topLinePunct w:val="0"/>
        <w:autoSpaceDE/>
        <w:autoSpaceDN/>
        <w:adjustRightInd/>
        <w:snapToGrid/>
        <w:spacing w:before="0" w:beforeAutospacing="0" w:after="0" w:afterAutospacing="0" w:line="560" w:lineRule="exact"/>
        <w:ind w:left="0" w:firstLine="0"/>
        <w:jc w:val="center"/>
        <w:rPr>
          <w:rFonts w:ascii="CESI小标宋-GB13000" w:eastAsia="CESI小标宋-GB13000" w:cs="CESI小标宋-GB13000" w:hAnsi="CESI小标宋-GB13000" w:hint="eastAsia"/>
          <w:b w:val="0"/>
          <w:bCs/>
          <w:i w:val="0"/>
          <w:caps w:val="0"/>
          <w:smallCaps w:val="0"/>
          <w:spacing w:val="0"/>
          <w:sz w:val="44"/>
          <w:szCs w:val="44"/>
          <w:shd w:val="clear" w:color="auto" w:fill="FFFFFF"/>
          <w:lang w:val="en-US" w:eastAsia="zh-CN"/>
        </w:rPr>
      </w:pPr>
      <w:r>
        <w:rPr>
          <w:rFonts w:ascii="CESI小标宋-GB13000" w:eastAsia="CESI小标宋-GB13000" w:cs="CESI小标宋-GB13000" w:hAnsi="CESI小标宋-GB13000" w:hint="eastAsia"/>
          <w:b w:val="0"/>
          <w:bCs/>
          <w:i w:val="0"/>
          <w:caps w:val="0"/>
          <w:smallCaps w:val="0"/>
          <w:spacing w:val="0"/>
          <w:sz w:val="44"/>
          <w:szCs w:val="44"/>
          <w:shd w:val="clear" w:color="auto" w:fill="FFFFFF"/>
          <w:lang w:eastAsia="zh-CN"/>
        </w:rPr>
        <w:t>宁晋县</w:t>
      </w:r>
      <w:r>
        <w:rPr>
          <w:rFonts w:ascii="CESI小标宋-GB13000" w:eastAsia="CESI小标宋-GB13000" w:cs="CESI小标宋-GB13000" w:hAnsi="CESI小标宋-GB13000" w:hint="eastAsia"/>
          <w:b w:val="0"/>
          <w:bCs/>
          <w:i w:val="0"/>
          <w:caps w:val="0"/>
          <w:smallCaps w:val="0"/>
          <w:spacing w:val="0"/>
          <w:sz w:val="44"/>
          <w:szCs w:val="44"/>
          <w:shd w:val="clear" w:color="auto" w:fill="FFFFFF"/>
          <w:lang w:val="en-US" w:eastAsia="zh-CN"/>
        </w:rPr>
        <w:t>卫生健康局</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0"/>
        <w:jc w:val="center"/>
        <w:rPr>
          <w:rFonts w:ascii="宋体" w:eastAsia="宋体" w:cs="宋体" w:hAnsi="宋体" w:hint="eastAsia"/>
          <w:i w:val="0"/>
          <w:iCs w:val="0"/>
          <w:caps w:val="0"/>
          <w:smallCaps w:val="0"/>
          <w:spacing w:val="0"/>
          <w:sz w:val="24"/>
          <w:szCs w:val="24"/>
        </w:rPr>
      </w:pPr>
      <w:r>
        <w:rPr>
          <w:rFonts w:ascii="CESI小标宋-GB13000" w:eastAsia="CESI小标宋-GB13000" w:cs="CESI小标宋-GB13000" w:hAnsi="CESI小标宋-GB13000" w:hint="eastAsia"/>
          <w:b w:val="0"/>
          <w:bCs/>
          <w:i w:val="0"/>
          <w:caps w:val="0"/>
          <w:smallCaps w:val="0"/>
          <w:spacing w:val="0"/>
          <w:sz w:val="44"/>
          <w:szCs w:val="44"/>
          <w:shd w:val="clear" w:color="auto" w:fill="FFFFFF"/>
          <w:lang w:val="en-US" w:eastAsia="zh-CN"/>
        </w:rPr>
        <w:t>202</w:t>
      </w:r>
      <w:r>
        <w:rPr>
          <w:rFonts w:ascii="CESI小标宋-GB13000" w:eastAsia="CESI小标宋-GB13000" w:cs="CESI小标宋-GB13000" w:hAnsi="CESI小标宋-GB13000"/>
          <w:b w:val="0"/>
          <w:bCs/>
          <w:i w:val="0"/>
          <w:caps w:val="0"/>
          <w:smallCaps w:val="0"/>
          <w:spacing w:val="0"/>
          <w:sz w:val="44"/>
          <w:szCs w:val="44"/>
          <w:shd w:val="clear" w:color="auto" w:fill="FFFFFF"/>
          <w:lang w:val="en-US" w:eastAsia="zh-CN"/>
        </w:rPr>
        <w:t>5</w:t>
      </w:r>
      <w:r>
        <w:rPr>
          <w:rFonts w:ascii="CESI小标宋-GB13000" w:eastAsia="CESI小标宋-GB13000" w:cs="CESI小标宋-GB13000" w:hAnsi="CESI小标宋-GB13000" w:hint="eastAsia"/>
          <w:b w:val="0"/>
          <w:bCs/>
          <w:i w:val="0"/>
          <w:caps w:val="0"/>
          <w:smallCaps w:val="0"/>
          <w:spacing w:val="0"/>
          <w:sz w:val="44"/>
          <w:szCs w:val="44"/>
          <w:shd w:val="clear" w:color="auto" w:fill="FFFFFF"/>
          <w:lang w:val="en-US" w:eastAsia="zh-CN"/>
        </w:rPr>
        <w:t>年</w:t>
      </w:r>
      <w:r>
        <w:rPr>
          <w:rFonts w:ascii="CESI小标宋-GB13000" w:eastAsia="CESI小标宋-GB13000" w:cs="CESI小标宋-GB13000" w:hAnsi="CESI小标宋-GB13000" w:hint="eastAsia"/>
          <w:b w:val="0"/>
          <w:bCs/>
          <w:i w:val="0"/>
          <w:caps w:val="0"/>
          <w:smallCaps w:val="0"/>
          <w:spacing w:val="0"/>
          <w:sz w:val="44"/>
          <w:szCs w:val="44"/>
          <w:shd w:val="clear" w:color="auto" w:fill="FFFFFF"/>
        </w:rPr>
        <w:t>政府信息公开工作年度报告</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right="0" w:firstLineChars="200" w:firstLine="640"/>
        <w:jc w:val="both"/>
        <w:rPr>
          <w:rFonts w:ascii="宋体" w:eastAsia="宋体" w:cs="宋体" w:hAnsi="宋体" w:hint="eastAsia"/>
          <w:i w:val="0"/>
          <w:iCs w:val="0"/>
          <w:caps w:val="0"/>
          <w:smallCaps w:val="0"/>
          <w:spacing w:val="0"/>
          <w:sz w:val="24"/>
          <w:szCs w:val="24"/>
        </w:rPr>
      </w:pP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按照国办印发的《中华人民共和国政府信息公开工作年度报告格式》及《政府信息公开工作年度报告编发指南（参考）》等文件要求，结合本单位实际，编制202</w:t>
      </w:r>
      <w:r>
        <w:rPr>
          <w:rFonts w:ascii="CESI仿宋-GB13000" w:eastAsia="CESI仿宋-GB13000" w:cs="CESI仿宋-GB13000" w:hAnsi="CESI仿宋-GB13000"/>
          <w:i w:val="0"/>
          <w:iCs w:val="0"/>
          <w:caps w:val="0"/>
          <w:smallCaps w:val="0"/>
          <w:spacing w:val="0"/>
          <w:sz w:val="32"/>
          <w:szCs w:val="32"/>
          <w:shd w:val="clear" w:color="auto" w:fill="FFFFFF"/>
          <w:lang w:val="en-US" w:eastAsia="zh-CN"/>
        </w:rPr>
        <w:t>5</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年政府信息公开年度报告。本报告由总体情况、主动公开政府信息情况、收到和处理政府信息公开申请情况、政府信息公开行政复议、行政诉讼情况、存在的主要问题及改进情况、其他需要报告的事项共六个部分组成。本年报中所列数据的统计期限为202</w:t>
      </w:r>
      <w:r>
        <w:rPr>
          <w:rFonts w:ascii="CESI仿宋-GB13000" w:eastAsia="CESI仿宋-GB13000" w:cs="CESI仿宋-GB13000" w:hAnsi="CESI仿宋-GB13000"/>
          <w:i w:val="0"/>
          <w:iCs w:val="0"/>
          <w:caps w:val="0"/>
          <w:smallCaps w:val="0"/>
          <w:spacing w:val="0"/>
          <w:sz w:val="32"/>
          <w:szCs w:val="32"/>
          <w:shd w:val="clear" w:color="auto" w:fill="FFFFFF"/>
          <w:lang w:val="en-US" w:eastAsia="zh-CN"/>
        </w:rPr>
        <w:t>5</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年1月1日至12月31日。</w:t>
      </w: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auto"/>
        <w:kinsoku/>
        <w:wordWrap/>
        <w:overflowPunct/>
        <w:topLinePunct w:val="0"/>
        <w:autoSpaceDE/>
        <w:autoSpaceDN/>
        <w:adjustRightInd/>
        <w:snapToGrid/>
        <w:spacing w:before="0" w:beforeAutospacing="0" w:after="0" w:afterAutospacing="0" w:line="600" w:lineRule="exact"/>
        <w:ind w:firstLineChars="200" w:firstLine="640"/>
        <w:jc w:val="both"/>
        <w:rPr>
          <w:rFonts w:ascii="CESI黑体-GB13000" w:eastAsia="CESI黑体-GB13000" w:cs="CESI黑体-GB13000" w:hAnsi="CESI黑体-GB13000" w:hint="eastAsia"/>
          <w:b w:val="0"/>
          <w:bCs w:val="0"/>
          <w:i w:val="0"/>
          <w:iCs w:val="0"/>
          <w:caps w:val="0"/>
          <w:smallCaps w:val="0"/>
          <w:spacing w:val="0"/>
          <w:sz w:val="32"/>
          <w:szCs w:val="32"/>
        </w:rPr>
      </w:pPr>
      <w:r>
        <w:rPr>
          <w:rFonts w:ascii="CESI黑体-GB13000" w:eastAsia="CESI黑体-GB13000" w:cs="CESI黑体-GB13000" w:hAnsi="CESI黑体-GB13000" w:hint="eastAsia"/>
          <w:b w:val="0"/>
          <w:bCs w:val="0"/>
          <w:i w:val="0"/>
          <w:iCs w:val="0"/>
          <w:caps w:val="0"/>
          <w:smallCaps w:val="0"/>
          <w:spacing w:val="0"/>
          <w:sz w:val="32"/>
          <w:szCs w:val="32"/>
          <w:shd w:val="clear" w:color="auto" w:fill="FFFFFF"/>
        </w:rPr>
        <w:t>一、总体情况</w:t>
      </w:r>
    </w:p>
    <w:p>
      <w:pPr>
        <w:keepNext w:val="0"/>
        <w:keepLines w:val="0"/>
        <w:pageBreakBefore w:val="0"/>
        <w:widowControl w:val="0"/>
        <w:shd w:val="clear" w:color="auto" w:fill="auto"/>
        <w:kinsoku/>
        <w:wordWrap/>
        <w:overflowPunct/>
        <w:topLinePunct w:val="0"/>
        <w:autoSpaceDE/>
        <w:autoSpaceDN/>
        <w:adjustRightInd/>
        <w:snapToGrid/>
        <w:spacing w:line="600" w:lineRule="exact"/>
        <w:ind w:left="0" w:firstLineChars="200" w:firstLine="640"/>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pP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根据《中华人民共和国政府信息公开条例》精神要求，我局积极抓好各项工作任务的推进落实，加强信息发布工作，完善工作机制，进一步加大公开力度，不断增强政府信息公开实效。</w:t>
      </w:r>
    </w:p>
    <w:p>
      <w:pPr>
        <w:keepNext w:val="0"/>
        <w:keepLines w:val="0"/>
        <w:pageBreakBefore w:val="0"/>
        <w:widowControl w:val="0"/>
        <w:shd w:val="clear" w:color="auto" w:fill="auto"/>
        <w:kinsoku/>
        <w:wordWrap/>
        <w:overflowPunct/>
        <w:topLinePunct w:val="0"/>
        <w:autoSpaceDE/>
        <w:autoSpaceDN/>
        <w:adjustRightInd/>
        <w:snapToGrid/>
        <w:spacing w:line="600" w:lineRule="exact"/>
        <w:ind w:left="0" w:firstLineChars="200" w:firstLine="640"/>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pP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一）加大主动公开力度。一是建立健全信息公开制度。健全完善了政务公开各项工作制度，将“五公开”、政策解读、舆情回应等纳入其中，按时主动发布涉及民生事业、群众关切等事项政务信息，确保公开工作做到规范、高效、便民。二是持续强化政务公开能力。202</w:t>
      </w:r>
      <w:r>
        <w:rPr>
          <w:rFonts w:ascii="CESI仿宋-GB13000" w:eastAsia="CESI仿宋-GB13000" w:cs="CESI仿宋-GB13000" w:hAnsi="CESI仿宋-GB13000"/>
          <w:i w:val="0"/>
          <w:iCs w:val="0"/>
          <w:caps w:val="0"/>
          <w:smallCaps w:val="0"/>
          <w:spacing w:val="0"/>
          <w:sz w:val="32"/>
          <w:szCs w:val="32"/>
          <w:shd w:val="clear" w:color="auto" w:fill="FFFFFF"/>
          <w:lang w:val="en-US" w:eastAsia="zh-CN"/>
        </w:rPr>
        <w:t>5</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年共公开各类</w:t>
      </w:r>
      <w:r>
        <w:rPr>
          <w:rFonts w:ascii="CESI仿宋-GB13000" w:eastAsia="CESI仿宋-GB13000" w:cs="CESI仿宋-GB13000" w:hAnsi="CESI仿宋-GB13000" w:hint="eastAsia"/>
          <w:i w:val="0"/>
          <w:iCs w:val="0"/>
          <w:caps w:val="0"/>
          <w:smallCaps w:val="0"/>
          <w:spacing w:val="0"/>
          <w:sz w:val="32"/>
          <w:szCs w:val="32"/>
          <w:shd w:val="solid" w:color="FFFFFF" w:fill="FFFFFF"/>
          <w:lang w:val="en-US" w:eastAsia="zh-CN"/>
        </w:rPr>
        <w:t>信息</w:t>
      </w:r>
      <w:r>
        <w:rPr>
          <w:rFonts w:ascii="CESI仿宋-GB13000" w:eastAsia="CESI仿宋-GB13000" w:cs="CESI仿宋-GB13000" w:hAnsi="CESI仿宋-GB13000"/>
          <w:i w:val="0"/>
          <w:iCs w:val="0"/>
          <w:caps w:val="0"/>
          <w:smallCaps w:val="0"/>
          <w:spacing w:val="0"/>
          <w:sz w:val="32"/>
          <w:szCs w:val="32"/>
          <w:shd w:val="solid" w:color="FFFFFF" w:fill="FFFFFF"/>
          <w:lang w:val="en-US" w:eastAsia="zh-CN"/>
        </w:rPr>
        <w:t>183</w:t>
      </w:r>
      <w:r>
        <w:rPr>
          <w:rFonts w:ascii="CESI仿宋-GB13000" w:eastAsia="CESI仿宋-GB13000" w:cs="CESI仿宋-GB13000" w:hAnsi="CESI仿宋-GB13000" w:hint="eastAsia"/>
          <w:i w:val="0"/>
          <w:iCs w:val="0"/>
          <w:caps w:val="0"/>
          <w:smallCaps w:val="0"/>
          <w:spacing w:val="0"/>
          <w:sz w:val="32"/>
          <w:szCs w:val="32"/>
          <w:shd w:val="solid" w:color="FFFFFF" w:fill="FFFFFF"/>
          <w:lang w:val="en-US" w:eastAsia="zh-CN"/>
        </w:rPr>
        <w:t>条</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，主要涉及日常动态、预算决算、行政处罚、公共卫生服务等各项内容</w:t>
      </w:r>
      <w:r>
        <w:rPr>
          <w:rFonts w:ascii="CESI仿宋-GB13000" w:eastAsia="CESI仿宋-GB13000" w:cs="CESI仿宋-GB13000" w:hAnsi="CESI仿宋-GB13000"/>
          <w:i w:val="0"/>
          <w:iCs w:val="0"/>
          <w:caps w:val="0"/>
          <w:smallCaps w:val="0"/>
          <w:spacing w:val="0"/>
          <w:sz w:val="32"/>
          <w:szCs w:val="32"/>
          <w:shd w:val="clear" w:color="auto" w:fill="FFFFFF"/>
          <w:lang w:val="en-US" w:eastAsia="zh-CN"/>
        </w:rPr>
        <w:t>。</w:t>
      </w:r>
    </w:p>
    <w:p>
      <w:pPr>
        <w:keepNext w:val="0"/>
        <w:keepLines w:val="0"/>
        <w:pageBreakBefore w:val="0"/>
        <w:widowControl w:val="0"/>
        <w:shd w:val="clear" w:color="auto" w:fill="auto"/>
        <w:kinsoku/>
        <w:wordWrap/>
        <w:overflowPunct/>
        <w:topLinePunct w:val="0"/>
        <w:autoSpaceDE/>
        <w:autoSpaceDN/>
        <w:adjustRightInd/>
        <w:snapToGrid/>
        <w:spacing w:line="600" w:lineRule="exact"/>
        <w:ind w:left="0" w:firstLineChars="200" w:firstLine="640"/>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pPr>
      <w:r>
        <w:rPr>
          <w:rFonts w:ascii="CESI仿宋-GB13000" w:eastAsia="CESI仿宋-GB13000" w:cs="CESI仿宋-GB13000" w:hAnsi="CESI仿宋-GB13000"/>
          <w:i w:val="0"/>
          <w:iCs w:val="0"/>
          <w:caps w:val="0"/>
          <w:smallCaps w:val="0"/>
          <w:spacing w:val="0"/>
          <w:sz w:val="32"/>
          <w:szCs w:val="32"/>
          <w:shd w:val="clear" w:color="auto" w:fill="FFFFFF"/>
          <w:lang w:val="en-US" w:eastAsia="zh-CN"/>
        </w:rPr>
        <w:t>（二）</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遵循依申请公开程序。严格落实《河北省政府信息公开申请办理规范》文件，认真遵循依申请公开程序。202</w:t>
      </w:r>
      <w:r>
        <w:rPr>
          <w:rFonts w:ascii="CESI仿宋-GB13000" w:eastAsia="CESI仿宋-GB13000" w:cs="CESI仿宋-GB13000" w:hAnsi="CESI仿宋-GB13000"/>
          <w:i w:val="0"/>
          <w:iCs w:val="0"/>
          <w:caps w:val="0"/>
          <w:smallCaps w:val="0"/>
          <w:spacing w:val="0"/>
          <w:sz w:val="32"/>
          <w:szCs w:val="32"/>
          <w:shd w:val="clear" w:color="auto" w:fill="FFFFFF"/>
          <w:lang w:val="en-US" w:eastAsia="zh-CN"/>
        </w:rPr>
        <w:t>5</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年我局未发生依申请公开和未发生针对本机关有关政府信息公开事务的申诉、行政复议案件，也未引起相关的行政诉讼。</w:t>
      </w:r>
    </w:p>
    <w:p>
      <w:pPr>
        <w:keepNext w:val="0"/>
        <w:keepLines w:val="0"/>
        <w:pageBreakBefore w:val="0"/>
        <w:widowControl w:val="0"/>
        <w:shd w:val="clear" w:color="auto" w:fill="auto"/>
        <w:kinsoku/>
        <w:wordWrap/>
        <w:overflowPunct/>
        <w:topLinePunct w:val="0"/>
        <w:autoSpaceDE/>
        <w:autoSpaceDN/>
        <w:adjustRightInd/>
        <w:snapToGrid/>
        <w:spacing w:line="600" w:lineRule="exact"/>
        <w:ind w:left="0" w:firstLineChars="200" w:firstLine="640"/>
        <w:rPr>
          <w:rFonts w:ascii="CESI仿宋-GB13000" w:eastAsia="CESI仿宋-GB13000" w:cs="CESI仿宋-GB13000" w:hAnsi="CESI仿宋-GB13000"/>
          <w:i w:val="0"/>
          <w:iCs w:val="0"/>
          <w:caps w:val="0"/>
          <w:smallCaps w:val="0"/>
          <w:spacing w:val="0"/>
          <w:sz w:val="32"/>
          <w:szCs w:val="32"/>
          <w:shd w:val="clear" w:color="auto" w:fill="FFFFFF"/>
          <w:lang w:val="en-US" w:eastAsia="zh-CN"/>
        </w:rPr>
      </w:pP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（三）规范政府信息管理。一是扎实做好舆情搜集、研判、处置和回应，确保回应不超时、内容不敷衍。截至目前，办理</w:t>
      </w:r>
      <w:r>
        <w:rPr>
          <w:rFonts w:ascii="CESI仿宋-GB13000" w:eastAsia="CESI仿宋-GB13000" w:cs="CESI仿宋-GB13000" w:hAnsi="CESI仿宋-GB13000" w:hint="eastAsia"/>
          <w:i w:val="0"/>
          <w:iCs w:val="0"/>
          <w:caps w:val="0"/>
          <w:smallCaps w:val="0"/>
          <w:spacing w:val="0"/>
          <w:sz w:val="32"/>
          <w:szCs w:val="32"/>
          <w:shd w:val="solid" w:color="FFFFFF" w:fill="FFFFFF"/>
          <w:lang w:val="en-US" w:eastAsia="zh-CN"/>
        </w:rPr>
        <w:t>电子政务转办卡</w:t>
      </w:r>
      <w:r>
        <w:rPr>
          <w:rFonts w:ascii="CESI仿宋-GB13000" w:eastAsia="CESI仿宋-GB13000" w:cs="CESI仿宋-GB13000" w:hAnsi="CESI仿宋-GB13000"/>
          <w:i w:val="0"/>
          <w:iCs w:val="0"/>
          <w:caps w:val="0"/>
          <w:smallCaps w:val="0"/>
          <w:spacing w:val="0"/>
          <w:sz w:val="32"/>
          <w:szCs w:val="32"/>
          <w:shd w:val="solid" w:color="FFFFFF" w:fill="FFFFFF"/>
          <w:lang w:val="en-US" w:eastAsia="zh-CN"/>
        </w:rPr>
        <w:t>4</w:t>
      </w:r>
      <w:r>
        <w:rPr>
          <w:rFonts w:ascii="CESI仿宋-GB13000" w:eastAsia="CESI仿宋-GB13000" w:cs="CESI仿宋-GB13000" w:hAnsi="CESI仿宋-GB13000" w:hint="eastAsia"/>
          <w:i w:val="0"/>
          <w:iCs w:val="0"/>
          <w:caps w:val="0"/>
          <w:smallCaps w:val="0"/>
          <w:spacing w:val="0"/>
          <w:sz w:val="32"/>
          <w:szCs w:val="32"/>
          <w:shd w:val="solid" w:color="FFFFFF" w:fill="FFFFFF"/>
          <w:lang w:val="en-US" w:eastAsia="zh-CN"/>
        </w:rPr>
        <w:t>件、便民热线交办单</w:t>
      </w:r>
      <w:r>
        <w:rPr>
          <w:rFonts w:ascii="CESI仿宋-GB13000" w:eastAsia="CESI仿宋-GB13000" w:cs="CESI仿宋-GB13000" w:hAnsi="CESI仿宋-GB13000"/>
          <w:i w:val="0"/>
          <w:iCs w:val="0"/>
          <w:caps w:val="0"/>
          <w:smallCaps w:val="0"/>
          <w:spacing w:val="0"/>
          <w:sz w:val="32"/>
          <w:szCs w:val="32"/>
          <w:shd w:val="solid" w:color="FFFFFF" w:fill="FFFFFF"/>
          <w:lang w:val="en-US" w:eastAsia="zh-CN"/>
        </w:rPr>
        <w:t>200</w:t>
      </w:r>
      <w:r>
        <w:rPr>
          <w:rFonts w:ascii="CESI仿宋-GB13000" w:eastAsia="CESI仿宋-GB13000" w:cs="CESI仿宋-GB13000" w:hAnsi="CESI仿宋-GB13000" w:hint="eastAsia"/>
          <w:i w:val="0"/>
          <w:iCs w:val="0"/>
          <w:caps w:val="0"/>
          <w:smallCaps w:val="0"/>
          <w:spacing w:val="0"/>
          <w:sz w:val="32"/>
          <w:szCs w:val="32"/>
          <w:shd w:val="solid" w:color="FFFFFF" w:fill="FFFFFF"/>
          <w:lang w:val="en-US" w:eastAsia="zh-CN"/>
        </w:rPr>
        <w:t>余件</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时限内办结率达100%。未发生对重大政务舆情处置不得力、回应不妥当、报告不及时的事件。二是紧密围绕落实“放管服”政策,精简和规范行政许可申报程序，推进行政许可事项进一步下放和转移，有效提高办事效率和行政效能。三是积极推进“双随机、一公开”的监管模式，加强事中事后监管，把日常监管和“双随机、一公开”工作结合起来。202</w:t>
      </w:r>
      <w:r>
        <w:rPr>
          <w:rFonts w:ascii="CESI仿宋-GB13000" w:eastAsia="CESI仿宋-GB13000" w:cs="CESI仿宋-GB13000" w:hAnsi="CESI仿宋-GB13000"/>
          <w:i w:val="0"/>
          <w:iCs w:val="0"/>
          <w:caps w:val="0"/>
          <w:smallCaps w:val="0"/>
          <w:spacing w:val="0"/>
          <w:sz w:val="32"/>
          <w:szCs w:val="32"/>
          <w:shd w:val="clear" w:color="auto" w:fill="FFFFFF"/>
          <w:lang w:val="en-US" w:eastAsia="zh-CN"/>
        </w:rPr>
        <w:t>5</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年共公开</w:t>
      </w:r>
      <w:r>
        <w:rPr>
          <w:rFonts w:ascii="CESI仿宋-GB13000" w:eastAsia="CESI仿宋-GB13000" w:cs="CESI仿宋-GB13000" w:hAnsi="CESI仿宋-GB13000" w:hint="eastAsia"/>
          <w:i w:val="0"/>
          <w:iCs w:val="0"/>
          <w:caps w:val="0"/>
          <w:smallCaps w:val="0"/>
          <w:spacing w:val="0"/>
          <w:sz w:val="32"/>
          <w:szCs w:val="32"/>
          <w:shd w:val="solid" w:color="FFFFFF" w:fill="FFFFFF"/>
          <w:lang w:val="en-US" w:eastAsia="zh-CN"/>
        </w:rPr>
        <w:t>双随机抽查结果信息</w:t>
      </w:r>
      <w:r>
        <w:rPr>
          <w:rFonts w:ascii="CESI仿宋-GB13000" w:eastAsia="CESI仿宋-GB13000" w:cs="CESI仿宋-GB13000" w:hAnsi="CESI仿宋-GB13000"/>
          <w:i w:val="0"/>
          <w:iCs w:val="0"/>
          <w:caps w:val="0"/>
          <w:smallCaps w:val="0"/>
          <w:spacing w:val="0"/>
          <w:sz w:val="32"/>
          <w:szCs w:val="32"/>
          <w:shd w:val="solid" w:color="FFFFFF" w:fill="FFFFFF"/>
          <w:lang w:val="en-US" w:eastAsia="zh-CN"/>
        </w:rPr>
        <w:t>122</w:t>
      </w:r>
      <w:r>
        <w:rPr>
          <w:rFonts w:ascii="CESI仿宋-GB13000" w:eastAsia="CESI仿宋-GB13000" w:cs="CESI仿宋-GB13000" w:hAnsi="CESI仿宋-GB13000" w:hint="eastAsia"/>
          <w:i w:val="0"/>
          <w:iCs w:val="0"/>
          <w:caps w:val="0"/>
          <w:smallCaps w:val="0"/>
          <w:spacing w:val="0"/>
          <w:sz w:val="32"/>
          <w:szCs w:val="32"/>
          <w:shd w:val="solid" w:color="FFFFFF" w:fill="FFFFFF"/>
          <w:lang w:val="en-US" w:eastAsia="zh-CN"/>
        </w:rPr>
        <w:t>条</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。四是严格落实行政执法公示制度，规范行政执法行为。202</w:t>
      </w:r>
      <w:r>
        <w:rPr>
          <w:rFonts w:ascii="CESI仿宋-GB13000" w:eastAsia="CESI仿宋-GB13000" w:cs="CESI仿宋-GB13000" w:hAnsi="CESI仿宋-GB13000"/>
          <w:i w:val="0"/>
          <w:iCs w:val="0"/>
          <w:caps w:val="0"/>
          <w:smallCaps w:val="0"/>
          <w:spacing w:val="0"/>
          <w:sz w:val="32"/>
          <w:szCs w:val="32"/>
          <w:shd w:val="clear" w:color="auto" w:fill="FFFFFF"/>
          <w:lang w:val="en-US" w:eastAsia="zh-CN"/>
        </w:rPr>
        <w:t>5</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年在政府网站政务公开公布卫健局权责清单及行政执法证件</w:t>
      </w:r>
      <w:r>
        <w:rPr>
          <w:rFonts w:ascii="CESI仿宋-GB13000" w:eastAsia="CESI仿宋-GB13000" w:cs="CESI仿宋-GB13000" w:hAnsi="CESI仿宋-GB13000" w:hint="eastAsia"/>
          <w:i w:val="0"/>
          <w:iCs w:val="0"/>
          <w:caps w:val="0"/>
          <w:smallCaps w:val="0"/>
          <w:spacing w:val="0"/>
          <w:sz w:val="32"/>
          <w:szCs w:val="32"/>
          <w:shd w:val="solid" w:color="FFFFFF" w:fill="FFFFFF"/>
          <w:lang w:val="en-US" w:eastAsia="zh-CN"/>
        </w:rPr>
        <w:t>人员信息18人、公布行政处罚信息</w:t>
      </w:r>
      <w:r>
        <w:rPr>
          <w:rFonts w:ascii="CESI仿宋-GB13000" w:eastAsia="CESI仿宋-GB13000" w:cs="CESI仿宋-GB13000" w:hAnsi="CESI仿宋-GB13000"/>
          <w:i w:val="0"/>
          <w:iCs w:val="0"/>
          <w:caps w:val="0"/>
          <w:smallCaps w:val="0"/>
          <w:spacing w:val="0"/>
          <w:sz w:val="32"/>
          <w:szCs w:val="32"/>
          <w:shd w:val="solid" w:color="FFFFFF" w:fill="FFFFFF"/>
          <w:lang w:val="en-US" w:eastAsia="zh-CN"/>
        </w:rPr>
        <w:t>18</w:t>
      </w:r>
      <w:r>
        <w:rPr>
          <w:rFonts w:ascii="CESI仿宋-GB13000" w:eastAsia="CESI仿宋-GB13000" w:cs="CESI仿宋-GB13000" w:hAnsi="CESI仿宋-GB13000" w:hint="eastAsia"/>
          <w:i w:val="0"/>
          <w:iCs w:val="0"/>
          <w:caps w:val="0"/>
          <w:smallCaps w:val="0"/>
          <w:spacing w:val="0"/>
          <w:sz w:val="32"/>
          <w:szCs w:val="32"/>
          <w:shd w:val="solid" w:color="FFFFFF" w:fill="FFFFFF"/>
          <w:lang w:val="en-US" w:eastAsia="zh-CN"/>
        </w:rPr>
        <w:t>条</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w:t>
      </w:r>
      <w:r>
        <w:rPr>
          <w:rFonts w:ascii="CESI仿宋-GB13000" w:eastAsia="CESI仿宋-GB13000" w:cs="CESI仿宋-GB13000" w:hAnsi="CESI仿宋-GB13000"/>
          <w:i w:val="0"/>
          <w:iCs w:val="0"/>
          <w:caps w:val="0"/>
          <w:smallCaps w:val="0"/>
          <w:spacing w:val="0"/>
          <w:sz w:val="32"/>
          <w:szCs w:val="32"/>
          <w:shd w:val="clear" w:color="auto" w:fill="FFFFFF"/>
          <w:lang w:val="en-US" w:eastAsia="zh-CN"/>
        </w:rPr>
        <w:t>五</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是按照财政局要求，全面公开财政预决算信息，完善预决算公开操作规程，今年以来共公开预</w:t>
      </w:r>
      <w:r>
        <w:rPr>
          <w:rFonts w:ascii="CESI仿宋-GB13000" w:eastAsia="CESI仿宋-GB13000" w:cs="CESI仿宋-GB13000" w:hAnsi="CESI仿宋-GB13000" w:hint="eastAsia"/>
          <w:i w:val="0"/>
          <w:iCs w:val="0"/>
          <w:caps w:val="0"/>
          <w:smallCaps w:val="0"/>
          <w:spacing w:val="0"/>
          <w:sz w:val="32"/>
          <w:szCs w:val="32"/>
          <w:shd w:val="solid" w:color="FFFFFF" w:fill="FFFFFF"/>
          <w:lang w:val="en-US" w:eastAsia="zh-CN"/>
        </w:rPr>
        <w:t>决算信息3条。</w:t>
      </w:r>
    </w:p>
    <w:p>
      <w:pPr>
        <w:keepNext w:val="0"/>
        <w:keepLines w:val="0"/>
        <w:pageBreakBefore w:val="0"/>
        <w:widowControl w:val="0"/>
        <w:shd w:val="clear" w:color="auto" w:fill="auto"/>
        <w:kinsoku/>
        <w:wordWrap/>
        <w:overflowPunct/>
        <w:topLinePunct w:val="0"/>
        <w:autoSpaceDE/>
        <w:autoSpaceDN/>
        <w:adjustRightInd/>
        <w:snapToGrid/>
        <w:spacing w:line="600" w:lineRule="exact"/>
        <w:ind w:left="0" w:firstLineChars="200" w:firstLine="640"/>
        <w:rPr>
          <w:rFonts w:ascii="CESI仿宋-GB13000" w:eastAsia="CESI仿宋-GB13000" w:cs="CESI仿宋-GB13000" w:hAnsi="CESI仿宋-GB13000"/>
          <w:i w:val="0"/>
          <w:iCs w:val="0"/>
          <w:caps w:val="0"/>
          <w:smallCaps w:val="0"/>
          <w:spacing w:val="0"/>
          <w:sz w:val="32"/>
          <w:szCs w:val="32"/>
          <w:shd w:val="clear" w:color="auto" w:fill="FFFFFF"/>
          <w:lang w:val="en-US" w:eastAsia="zh-CN"/>
        </w:rPr>
      </w:pPr>
      <w:r>
        <w:rPr>
          <w:rFonts w:ascii="CESI仿宋-GB13000" w:eastAsia="CESI仿宋-GB13000" w:cs="CESI仿宋-GB13000" w:hAnsi="CESI仿宋-GB13000"/>
          <w:i w:val="0"/>
          <w:iCs w:val="0"/>
          <w:caps w:val="0"/>
          <w:smallCaps w:val="0"/>
          <w:spacing w:val="0"/>
          <w:sz w:val="32"/>
          <w:szCs w:val="32"/>
          <w:shd w:val="clear" w:color="auto" w:fill="FFFFFF"/>
          <w:lang w:val="en-US" w:eastAsia="zh-CN"/>
        </w:rPr>
        <w:t>（四）</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强化信息公开平台建设。重点抓好“宁晋县人民政府”政务网站信息报送和</w:t>
      </w:r>
      <w:r>
        <w:rPr>
          <w:rFonts w:ascii="CESI仿宋-GB13000" w:eastAsia="CESI仿宋-GB13000" w:cs="CESI仿宋-GB13000" w:hAnsi="CESI仿宋-GB13000" w:hint="eastAsia"/>
          <w:i w:val="0"/>
          <w:iCs w:val="0"/>
          <w:caps w:val="0"/>
          <w:smallCaps w:val="0"/>
          <w:strike w:val="0"/>
          <w:dstrike w:val="0"/>
          <w:spacing w:val="0"/>
          <w:sz w:val="32"/>
          <w:szCs w:val="32"/>
          <w:shd w:val="clear" w:color="auto" w:fill="FFFFFF"/>
          <w:lang w:val="en-US" w:eastAsia="zh-CN"/>
        </w:rPr>
        <w:t>宁晋报卫生健康专刊的建设，</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充分发挥其便捷、及时的政府信息公开载体作用。对于群众关心的问题以最快速度发布公示；让信息公开工作平台成为群众表达诉求、群众监督政府机关的重要平台。</w:t>
      </w:r>
    </w:p>
    <w:p>
      <w:pPr>
        <w:keepNext w:val="0"/>
        <w:keepLines w:val="0"/>
        <w:pageBreakBefore w:val="0"/>
        <w:widowControl w:val="0"/>
        <w:shd w:val="clear" w:color="auto" w:fill="auto"/>
        <w:kinsoku/>
        <w:wordWrap/>
        <w:overflowPunct/>
        <w:topLinePunct w:val="0"/>
        <w:autoSpaceDE/>
        <w:autoSpaceDN/>
        <w:adjustRightInd/>
        <w:snapToGrid/>
        <w:spacing w:line="600" w:lineRule="exact"/>
        <w:ind w:left="0" w:firstLineChars="200" w:firstLine="640"/>
        <w:rPr>
          <w:rFonts w:ascii="CESI仿宋-GB13000" w:eastAsia="CESI仿宋-GB13000" w:cs="CESI仿宋-GB13000" w:hAnsi="CESI仿宋-GB13000"/>
          <w:i w:val="0"/>
          <w:iCs w:val="0"/>
          <w:caps w:val="0"/>
          <w:smallCaps w:val="0"/>
          <w:spacing w:val="0"/>
          <w:sz w:val="32"/>
          <w:szCs w:val="32"/>
          <w:shd w:val="clear" w:color="auto" w:fill="FFFFFF"/>
          <w:lang w:val="en-US" w:eastAsia="zh-CN"/>
        </w:rPr>
      </w:pPr>
      <w:r>
        <w:rPr>
          <w:rFonts w:ascii="CESI仿宋-GB13000" w:eastAsia="CESI仿宋-GB13000" w:cs="CESI仿宋-GB13000" w:hAnsi="CESI仿宋-GB13000"/>
          <w:i w:val="0"/>
          <w:iCs w:val="0"/>
          <w:caps w:val="0"/>
          <w:smallCaps w:val="0"/>
          <w:spacing w:val="0"/>
          <w:sz w:val="32"/>
          <w:szCs w:val="32"/>
          <w:shd w:val="clear" w:color="auto" w:fill="FFFFFF"/>
          <w:lang w:val="en-US" w:eastAsia="zh-CN"/>
        </w:rPr>
        <w:t>（五）</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增强公开监督保障效力。严格按照政务公开信息程序进行公开，规范信息上传台账。根据省、市、县各级要求，定期开展“回头看”工作，强化主体责任，着力加强自身建设，自觉与上级政府对标对表。通过监测平台及自查自纠，对发现问题及时纠正，并制定解决方案，确保通过外部监督及内部自查提升自身公开能力，为更好开展信息公开工作打下基础。</w:t>
      </w: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auto"/>
        <w:spacing w:before="0" w:beforeAutospacing="0" w:after="0" w:afterAutospacing="0" w:line="600" w:lineRule="exact"/>
        <w:ind w:left="0" w:firstLineChars="200" w:firstLine="640"/>
        <w:jc w:val="both"/>
        <w:rPr>
          <w:rFonts w:ascii="CESI黑体-GB13000" w:eastAsia="CESI黑体-GB13000" w:cs="CESI黑体-GB13000" w:hAnsi="CESI黑体-GB13000" w:hint="eastAsia"/>
          <w:sz w:val="32"/>
          <w:szCs w:val="32"/>
        </w:rPr>
      </w:pPr>
      <w:r>
        <w:rPr>
          <w:rFonts w:ascii="CESI黑体-GB13000" w:eastAsia="CESI黑体-GB13000" w:cs="CESI黑体-GB13000" w:hAnsi="CESI黑体-GB13000" w:hint="eastAsia"/>
          <w:b w:val="0"/>
          <w:bCs w:val="0"/>
          <w:i w:val="0"/>
          <w:iCs w:val="0"/>
          <w:caps w:val="0"/>
          <w:smallCaps w:val="0"/>
          <w:spacing w:val="0"/>
          <w:sz w:val="32"/>
          <w:szCs w:val="32"/>
          <w:shd w:val="clear" w:color="auto" w:fill="FFFFFF"/>
        </w:rPr>
        <w:t>二、主动公开政府信息情况</w:t>
      </w:r>
    </w:p>
    <w:tbl>
      <w:tblPr>
        <w:jc w:val="center"/>
        <w:tblW w:w="9740" w:type="dxa"/>
        <w:tblBorders>
          <w:top w:val="none" w:sz="0" w:space="0" w:color="auto"/>
          <w:left w:val="none" w:sz="0" w:space="0" w:color="auto"/>
          <w:bottom w:val="none" w:sz="0" w:space="0" w:color="auto"/>
          <w:right w:val="none" w:sz="0" w:space="0" w:color="auto"/>
        </w:tblBorders>
        <w:shd w:val="clear" w:color="auto" w:fill="auto"/>
        <w:tblCellMar>
          <w:top w:w="0" w:type="dxa"/>
          <w:left w:w="0" w:type="dxa"/>
          <w:bottom w:w="0" w:type="dxa"/>
          <w:right w:w="0" w:type="dxa"/>
        </w:tblCellMar>
        <w:tblLook w:val="0600" w:firstRow="0" w:lastRow="0" w:firstColumn="0" w:lastColumn="0" w:noHBand="1" w:noVBand="1"/>
      </w:tblPr>
      <w:tblGrid>
        <w:gridCol w:w="2435"/>
        <w:gridCol w:w="2435"/>
        <w:gridCol w:w="2435"/>
        <w:gridCol w:w="2435"/>
      </w:tblGrid>
      <w:tr>
        <w:trPr>
          <w:trHeight w:val="340"/>
        </w:trPr>
        <w:tc>
          <w:tcPr>
            <w:tcW w:w="9740" w:type="dxa"/>
            <w:gridSpan w:val="4"/>
            <w:tcBorders>
              <w:top w:val="single" w:sz="8" w:space="0" w:color="auto"/>
              <w:left w:val="single" w:sz="8" w:space="0" w:color="auto"/>
              <w:bottom w:val="single" w:sz="8" w:space="0" w:color="auto"/>
              <w:right w:val="single" w:sz="8" w:space="0" w:color="auto"/>
            </w:tcBorders>
            <w:shd w:val="clear" w:color="auto" w:fill="C6D9F1"/>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第二十条第（一）项</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信息内容</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本年制发件数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本年废止件数</w:t>
            </w:r>
          </w:p>
        </w:tc>
        <w:tc>
          <w:tcPr>
            <w:tcW w:w="2435"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现行有效件数</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规章</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CESI黑体-GB13000" w:eastAsia="CESI黑体-GB13000" w:cs="CESI黑体-GB13000" w:hAnsi="CESI黑体-GB13000" w:hint="eastAsia"/>
              </w:rPr>
            </w:pPr>
            <w:r>
              <w:rPr>
                <w:rFonts w:ascii="CESI黑体-GB13000" w:eastAsia="CESI黑体-GB13000" w:cs="CESI黑体-GB13000" w:hAnsi="CESI黑体-GB13000" w:hint="eastAsia"/>
                <w:kern w:val="0"/>
                <w:sz w:val="20"/>
                <w:szCs w:val="20"/>
                <w:lang w:val="en-US" w:eastAsia="zh-CN"/>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CESI黑体-GB13000" w:eastAsia="CESI黑体-GB13000" w:cs="CESI黑体-GB13000" w:hAnsi="CESI黑体-GB13000" w:hint="eastAsia"/>
              </w:rPr>
            </w:pPr>
            <w:r>
              <w:rPr>
                <w:rFonts w:ascii="CESI黑体-GB13000" w:eastAsia="CESI黑体-GB13000" w:cs="CESI黑体-GB13000" w:hAnsi="CESI黑体-GB13000" w:hint="eastAsia"/>
                <w:kern w:val="0"/>
                <w:sz w:val="20"/>
                <w:szCs w:val="20"/>
                <w:lang w:val="en-US" w:eastAsia="zh-CN"/>
              </w:rPr>
              <w:t> 　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CESI黑体-GB13000" w:eastAsia="CESI黑体-GB13000" w:cs="CESI黑体-GB13000" w:hAnsi="CESI黑体-GB13000" w:hint="eastAsia"/>
              </w:rPr>
            </w:pPr>
            <w:r>
              <w:rPr>
                <w:rFonts w:ascii="CESI黑体-GB13000" w:eastAsia="CESI黑体-GB13000" w:cs="CESI黑体-GB13000" w:hAnsi="CESI黑体-GB13000" w:hint="eastAsia"/>
                <w:kern w:val="0"/>
                <w:sz w:val="21"/>
                <w:szCs w:val="21"/>
                <w:lang w:val="en-US" w:eastAsia="zh-CN"/>
              </w:rPr>
              <w:t> 0</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行政规范性文件</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CESI黑体-GB13000" w:eastAsia="CESI黑体-GB13000" w:cs="CESI黑体-GB13000" w:hAnsi="CESI黑体-GB13000" w:hint="eastAsia"/>
              </w:rPr>
            </w:pPr>
            <w:r>
              <w:rPr>
                <w:rFonts w:ascii="CESI黑体-GB13000" w:eastAsia="CESI黑体-GB13000" w:cs="CESI黑体-GB13000" w:hAnsi="CESI黑体-GB13000" w:hint="eastAsia"/>
                <w:kern w:val="0"/>
                <w:sz w:val="20"/>
                <w:szCs w:val="20"/>
                <w:lang w:val="en-US" w:eastAsia="zh-CN"/>
              </w:rPr>
              <w:t>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CESI黑体-GB13000" w:eastAsia="CESI黑体-GB13000" w:cs="CESI黑体-GB13000" w:hAnsi="CESI黑体-GB13000" w:hint="eastAsia"/>
              </w:rPr>
            </w:pPr>
            <w:r>
              <w:rPr>
                <w:rFonts w:ascii="CESI黑体-GB13000" w:eastAsia="CESI黑体-GB13000" w:cs="CESI黑体-GB13000" w:hAnsi="CESI黑体-GB13000" w:hint="eastAsia"/>
                <w:kern w:val="0"/>
                <w:sz w:val="20"/>
                <w:szCs w:val="20"/>
                <w:lang w:val="en-US" w:eastAsia="zh-CN"/>
              </w:rPr>
              <w:t> 　0</w:t>
            </w:r>
          </w:p>
        </w:tc>
        <w:tc>
          <w:tcPr>
            <w:tcW w:w="2435"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CESI黑体-GB13000" w:eastAsia="CESI黑体-GB13000" w:cs="CESI黑体-GB13000" w:hAnsi="CESI黑体-GB13000" w:hint="eastAsia"/>
              </w:rPr>
            </w:pPr>
            <w:r>
              <w:rPr>
                <w:rFonts w:ascii="CESI黑体-GB13000" w:eastAsia="CESI黑体-GB13000" w:cs="CESI黑体-GB13000" w:hAnsi="CESI黑体-GB13000" w:hint="eastAsia"/>
                <w:kern w:val="0"/>
                <w:sz w:val="21"/>
                <w:szCs w:val="21"/>
                <w:lang w:val="en-US" w:eastAsia="zh-CN"/>
              </w:rPr>
              <w:t> 0</w:t>
            </w:r>
          </w:p>
        </w:tc>
      </w:tr>
      <w:tr>
        <w:trPr>
          <w:trHeight w:val="340"/>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第二十条第（五）项</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信息内容</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本年处理决定数量</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行政许可</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CESI黑体-GB13000" w:eastAsia="CESI黑体-GB13000" w:cs="CESI黑体-GB13000" w:hAnsi="CESI黑体-GB13000" w:hint="eastAsia"/>
              </w:rPr>
            </w:pPr>
            <w:r>
              <w:rPr>
                <w:rFonts w:ascii="CESI黑体-GB13000" w:eastAsia="CESI黑体-GB13000" w:cs="CESI黑体-GB13000" w:hAnsi="CESI黑体-GB13000" w:hint="eastAsia"/>
              </w:rPr>
              <w:t>0</w:t>
            </w:r>
          </w:p>
        </w:tc>
      </w:tr>
      <w:tr>
        <w:trPr>
          <w:trHeight w:val="340"/>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第二十条第（六）项</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信息内容</w:t>
            </w:r>
          </w:p>
        </w:tc>
        <w:tc>
          <w:tcPr>
            <w:tcW w:w="7305" w:type="dxa"/>
            <w:gridSpan w:val="3"/>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本年处理决定数量</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行政处罚</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CESI黑体-GB13000" w:eastAsia="CESI黑体-GB13000" w:cs="CESI黑体-GB13000" w:hAnsi="CESI黑体-GB13000" w:hint="eastAsia"/>
              </w:rPr>
            </w:pPr>
            <w:r>
              <w:rPr>
                <w:rFonts w:ascii="CESI黑体-GB13000" w:eastAsia="CESI黑体-GB13000" w:cs="CESI黑体-GB13000" w:hAnsi="CESI黑体-GB13000"/>
              </w:rPr>
              <w:t>18</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行政强制</w:t>
            </w:r>
          </w:p>
        </w:tc>
        <w:tc>
          <w:tcPr>
            <w:tcW w:w="7305" w:type="dxa"/>
            <w:gridSpan w:val="3"/>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CESI黑体-GB13000" w:eastAsia="CESI黑体-GB13000" w:cs="CESI黑体-GB13000" w:hAnsi="CESI黑体-GB13000" w:hint="eastAsia"/>
              </w:rPr>
            </w:pPr>
            <w:r>
              <w:rPr>
                <w:rFonts w:ascii="CESI黑体-GB13000" w:eastAsia="CESI黑体-GB13000" w:cs="CESI黑体-GB13000" w:hAnsi="CESI黑体-GB13000" w:hint="eastAsia"/>
                <w:kern w:val="0"/>
                <w:sz w:val="20"/>
                <w:szCs w:val="20"/>
                <w:lang w:val="en-US" w:eastAsia="zh-CN"/>
              </w:rPr>
              <w:t>0</w:t>
            </w:r>
          </w:p>
        </w:tc>
      </w:tr>
      <w:tr>
        <w:trPr>
          <w:trHeight w:val="340"/>
        </w:trPr>
        <w:tc>
          <w:tcPr>
            <w:tcW w:w="9740" w:type="dxa"/>
            <w:gridSpan w:val="4"/>
            <w:tcBorders>
              <w:top w:val="nil"/>
              <w:left w:val="single" w:sz="8" w:space="0" w:color="auto"/>
              <w:bottom w:val="single" w:sz="8" w:space="0" w:color="auto"/>
              <w:right w:val="single" w:sz="8" w:space="0" w:color="auto"/>
            </w:tcBorders>
            <w:shd w:val="clear" w:color="auto" w:fill="C6D9F1"/>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第二十条第（八）项</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信息内容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本年收费金额（单位：万元）</w:t>
            </w:r>
          </w:p>
        </w:tc>
      </w:tr>
      <w:tr>
        <w:trPr>
          <w:trHeight w:val="340"/>
        </w:trPr>
        <w:tc>
          <w:tcPr>
            <w:tcW w:w="2435" w:type="dxa"/>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行政事业性收费</w:t>
            </w:r>
          </w:p>
        </w:tc>
        <w:tc>
          <w:tcPr>
            <w:tcW w:w="7305" w:type="dxa"/>
            <w:gridSpan w:val="3"/>
            <w:tcBorders>
              <w:top w:val="nil"/>
              <w:left w:val="nil"/>
              <w:bottom w:val="single" w:sz="8" w:space="0" w:color="auto"/>
              <w:right w:val="single" w:sz="8" w:space="0" w:color="000000"/>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ascii="CESI黑体-GB13000" w:eastAsia="CESI黑体-GB13000" w:cs="CESI黑体-GB13000" w:hAnsi="CESI黑体-GB13000" w:hint="eastAsia"/>
                <w:sz w:val="24"/>
              </w:rPr>
            </w:pPr>
            <w:r>
              <w:rPr>
                <w:rFonts w:ascii="CESI黑体-GB13000" w:eastAsia="CESI黑体-GB13000" w:cs="CESI黑体-GB13000" w:hAnsi="CESI黑体-GB13000"/>
                <w:kern w:val="0"/>
                <w:sz w:val="20"/>
                <w:szCs w:val="20"/>
              </w:rPr>
              <w:t>248.72</w:t>
            </w:r>
          </w:p>
        </w:tc>
      </w:tr>
    </w:tbl>
    <w:p>
      <w:pPr>
        <w:keepNext w:val="0"/>
        <w:keepLines w:val="0"/>
        <w:widowControl/>
        <w:suppressLineNumbers w:val="0"/>
        <w:jc w:val="left"/>
      </w:pP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firstLineChars="200" w:firstLine="640"/>
        <w:jc w:val="both"/>
        <w:rPr>
          <w:rFonts w:ascii="CESI黑体-GB13000" w:eastAsia="CESI黑体-GB13000" w:cs="CESI黑体-GB13000" w:hAnsi="CESI黑体-GB13000" w:hint="eastAsia"/>
          <w:sz w:val="32"/>
          <w:szCs w:val="32"/>
        </w:rPr>
      </w:pPr>
      <w:r>
        <w:rPr>
          <w:rFonts w:ascii="CESI黑体-GB13000" w:eastAsia="CESI黑体-GB13000" w:cs="CESI黑体-GB13000" w:hAnsi="CESI黑体-GB13000" w:hint="eastAsia"/>
          <w:i w:val="0"/>
          <w:iCs w:val="0"/>
          <w:caps w:val="0"/>
          <w:smallCaps w:val="0"/>
          <w:spacing w:val="0"/>
          <w:sz w:val="32"/>
          <w:szCs w:val="32"/>
          <w:shd w:val="clear" w:color="auto" w:fill="FFFFFF"/>
        </w:rPr>
        <w:t>三、收到和处理政府信息公开申请情况</w:t>
      </w:r>
    </w:p>
    <w:tbl>
      <w:tblPr>
        <w:jc w:val="center"/>
        <w:tblW w:w="9748"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shd w:val="clear" w:color="auto" w:fill="auto"/>
        <w:tblCellMar>
          <w:top w:w="0" w:type="dxa"/>
          <w:left w:w="0" w:type="dxa"/>
          <w:bottom w:w="0" w:type="dxa"/>
          <w:right w:w="0" w:type="dxa"/>
        </w:tblCellMar>
        <w:tblLook w:val="0600" w:firstRow="0" w:lastRow="0" w:firstColumn="0" w:lastColumn="0" w:noHBand="1" w:noVBand="1"/>
      </w:tblPr>
      <w:tblGrid>
        <w:gridCol w:w="754"/>
        <w:gridCol w:w="921"/>
        <w:gridCol w:w="3272"/>
        <w:gridCol w:w="686"/>
        <w:gridCol w:w="686"/>
        <w:gridCol w:w="686"/>
        <w:gridCol w:w="686"/>
        <w:gridCol w:w="686"/>
        <w:gridCol w:w="686"/>
        <w:gridCol w:w="686"/>
      </w:tblGrid>
      <w:tr>
        <w:tc>
          <w:tcPr>
            <w:tcW w:w="5150" w:type="dxa"/>
            <w:gridSpan w:val="3"/>
            <w:vMerge w:val="restart"/>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楷体" w:eastAsia="楷体" w:cs="楷体" w:hAnsi="楷体" w:hint="eastAsia"/>
                <w:kern w:val="0"/>
                <w:sz w:val="20"/>
                <w:szCs w:val="20"/>
                <w:lang w:val="en-US" w:eastAsia="zh-CN"/>
              </w:rPr>
              <w:t>（本列数据的勾稽关系为：第一项加第二项之和，等于第三项加第四项之和）</w:t>
            </w:r>
          </w:p>
        </w:tc>
        <w:tc>
          <w:tcPr>
            <w:tcW w:w="4998" w:type="dxa"/>
            <w:gridSpan w:val="7"/>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申请人情况</w:t>
            </w:r>
          </w:p>
        </w:tc>
      </w:tr>
      <w:tr>
        <w:tc>
          <w:tcPr>
            <w:tcW w:w="5150"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tc>
        <w:tc>
          <w:tcPr>
            <w:tcW w:w="714" w:type="dxa"/>
            <w:vMerge w:val="restart"/>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自然人</w:t>
            </w:r>
          </w:p>
        </w:tc>
        <w:tc>
          <w:tcPr>
            <w:tcW w:w="3570" w:type="dxa"/>
            <w:gridSpan w:val="5"/>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法人或其他组织</w:t>
            </w:r>
          </w:p>
        </w:tc>
        <w:tc>
          <w:tcPr>
            <w:tcW w:w="714" w:type="dxa"/>
            <w:vMerge w:val="restart"/>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总计</w:t>
            </w:r>
          </w:p>
        </w:tc>
      </w:tr>
      <w:tr>
        <w:tc>
          <w:tcPr>
            <w:tcW w:w="5150" w:type="dxa"/>
            <w:gridSpan w:val="3"/>
            <w:vMerge/>
            <w:tcBorders>
              <w:top w:val="single" w:sz="8" w:space="0" w:color="auto"/>
              <w:left w:val="single" w:sz="8" w:space="0" w:color="auto"/>
              <w:bottom w:val="outset" w:sz="8" w:space="0" w:color="auto"/>
              <w:right w:val="single" w:sz="8" w:space="0" w:color="auto"/>
            </w:tcBorders>
            <w:shd w:val="clear" w:color="auto" w:fill="auto"/>
            <w:tcMar>
              <w:left w:w="108" w:type="dxa"/>
              <w:right w:w="108" w:type="dxa"/>
            </w:tcMar>
            <w:vAlign w:val="center"/>
          </w:tcPr>
          <w:p/>
        </w:tc>
        <w:tc>
          <w:tcPr>
            <w:tcW w:w="714" w:type="dxa"/>
            <w:vMerge/>
            <w:tcBorders>
              <w:top w:val="nil"/>
              <w:left w:val="nil"/>
              <w:bottom w:val="single" w:sz="8" w:space="0" w:color="auto"/>
              <w:right w:val="single" w:sz="8" w:space="0" w:color="auto"/>
            </w:tcBorders>
            <w:shd w:val="clear" w:color="auto" w:fill="auto"/>
            <w:tcMar>
              <w:left w:w="57" w:type="dxa"/>
              <w:right w:w="57" w:type="dxa"/>
            </w:tcMar>
            <w:vAlign w:val="center"/>
          </w:tcP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商业</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企业</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科研</w:t>
            </w:r>
          </w:p>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机构</w:t>
            </w:r>
          </w:p>
        </w:tc>
        <w:tc>
          <w:tcPr>
            <w:tcW w:w="714"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社会公益组织</w:t>
            </w:r>
          </w:p>
        </w:tc>
        <w:tc>
          <w:tcPr>
            <w:tcW w:w="714"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法律服务机构</w:t>
            </w:r>
          </w:p>
        </w:tc>
        <w:tc>
          <w:tcPr>
            <w:tcW w:w="714"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宋体" w:eastAsia="宋体" w:cs="宋体" w:hAnsi="宋体" w:hint="eastAsia"/>
                <w:kern w:val="0"/>
                <w:sz w:val="20"/>
                <w:szCs w:val="20"/>
                <w:lang w:val="en-US" w:eastAsia="zh-CN"/>
              </w:rPr>
              <w:t>其他</w:t>
            </w:r>
          </w:p>
        </w:tc>
        <w:tc>
          <w:tcPr>
            <w:tcW w:w="714" w:type="dxa"/>
            <w:vMerge/>
            <w:tcBorders>
              <w:top w:val="single" w:sz="8" w:space="0" w:color="auto"/>
              <w:left w:val="nil"/>
              <w:bottom w:val="outset" w:sz="8" w:space="0" w:color="auto"/>
              <w:right w:val="single" w:sz="8" w:space="0" w:color="auto"/>
            </w:tcBorders>
            <w:shd w:val="clear" w:color="auto" w:fill="auto"/>
            <w:tcMar>
              <w:left w:w="57" w:type="dxa"/>
              <w:right w:w="57" w:type="dxa"/>
            </w:tcMar>
            <w:vAlign w:val="center"/>
          </w:tcPr>
          <w:p/>
        </w:tc>
      </w:tr>
      <w:tr>
        <w:tc>
          <w:tcPr>
            <w:tcW w:w="5150"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一、本年新收政府信息公开申请数量</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5150"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二、上年结转政府信息公开申请数量</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val="restart"/>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三、本年度办理结果</w:t>
            </w:r>
          </w:p>
        </w:tc>
        <w:tc>
          <w:tcPr>
            <w:tcW w:w="4365"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（一）予以公开</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4365"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（二）部分公开</w:t>
            </w:r>
            <w:r>
              <w:rPr>
                <w:rFonts w:ascii="楷体" w:eastAsia="楷体" w:cs="楷体" w:hAnsi="楷体" w:hint="eastAsia"/>
                <w:kern w:val="0"/>
                <w:sz w:val="20"/>
                <w:szCs w:val="20"/>
                <w:lang w:val="en-US" w:eastAsia="zh-CN"/>
              </w:rPr>
              <w:t>（区分处理的，只计这一情形，不计其他情形）</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jc w:val="center"/>
              <w:rPr>
                <w:rFonts w:cs="Calibri"/>
                <w:kern w:val="0"/>
                <w:sz w:val="20"/>
                <w:szCs w:val="20"/>
              </w:rPr>
            </w:pPr>
            <w:r>
              <w:rPr>
                <w:rFonts w:cs="Calibri"/>
                <w:kern w:val="0"/>
                <w:sz w:val="20"/>
                <w:szCs w:val="20"/>
              </w:rPr>
              <w:t>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（三）不予公开</w:t>
            </w: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1.属于国家秘密</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single" w:sz="8" w:space="0" w:color="auto"/>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2.其他法律行政法规禁止公开</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3.危及“三安全一稳定”</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4.保护第三方合法权益</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5.属于三类内部事务信息</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6.属于四类过程性信息</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7.属于行政执法案卷</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8.属于行政查询事项</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（四）无法提供</w:t>
            </w: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1.本机关不掌握相关政府信息</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2.没有现成信息需要另行制作</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3.补正后申请内容仍不明确</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val="restart"/>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（五）不予处理</w:t>
            </w: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1.信访举报投诉类申请</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2.重复申请</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3.要求提供公开出版物</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4.无正当理由大量反复申请</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rPr>
          <w:trHeight w:val="779"/>
        </w:trP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nil"/>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both"/>
            </w:pPr>
            <w:r>
              <w:rPr>
                <w:rFonts w:ascii="宋体" w:eastAsia="宋体" w:cs="宋体" w:hAnsi="宋体" w:hint="eastAsia"/>
                <w:kern w:val="0"/>
                <w:sz w:val="20"/>
                <w:szCs w:val="20"/>
                <w:lang w:val="en-US" w:eastAsia="zh-CN"/>
              </w:rPr>
              <w:t>5.要求行政机关确认或重新出具已获取信息</w:t>
            </w:r>
          </w:p>
        </w:tc>
        <w:tc>
          <w:tcPr>
            <w:tcW w:w="714" w:type="dxa"/>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val="restart"/>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（六）其他处理</w:t>
            </w:r>
          </w:p>
        </w:tc>
        <w:tc>
          <w:tcPr>
            <w:tcW w:w="3406"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both"/>
            </w:pPr>
            <w:r>
              <w:rPr>
                <w:rFonts w:ascii="宋体" w:eastAsia="宋体" w:cs="宋体" w:hAnsi="宋体" w:hint="eastAsia"/>
                <w:kern w:val="0"/>
                <w:sz w:val="20"/>
                <w:szCs w:val="20"/>
                <w:lang w:val="en-US" w:eastAsia="zh-CN"/>
              </w:rPr>
              <w:t>1.申请人无正当理由逾期不补正、行政机关不再处理其政府信息公开申请</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both"/>
            </w:pPr>
            <w:r>
              <w:rPr>
                <w:rFonts w:ascii="宋体" w:eastAsia="宋体" w:cs="宋体" w:hAnsi="宋体" w:hint="eastAsia"/>
                <w:kern w:val="0"/>
                <w:sz w:val="20"/>
                <w:szCs w:val="20"/>
                <w:lang w:val="en-US" w:eastAsia="zh-CN"/>
              </w:rPr>
              <w:t>2.申请人逾期未按收费通知要求缴纳费用、行政机关不再处理其政府信息公开申请</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959" w:type="dxa"/>
            <w:vMerge/>
            <w:tcBorders>
              <w:top w:val="outset" w:sz="8" w:space="0" w:color="auto"/>
              <w:left w:val="nil"/>
              <w:bottom w:val="outset" w:sz="8" w:space="0" w:color="auto"/>
              <w:right w:val="single" w:sz="8" w:space="0" w:color="auto"/>
            </w:tcBorders>
            <w:shd w:val="clear" w:color="auto" w:fill="auto"/>
            <w:tcMar>
              <w:left w:w="57" w:type="dxa"/>
              <w:right w:w="57" w:type="dxa"/>
            </w:tcMar>
            <w:vAlign w:val="center"/>
          </w:tcPr>
          <w:p/>
        </w:tc>
        <w:tc>
          <w:tcPr>
            <w:tcW w:w="3406"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3.其他</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785" w:type="dxa"/>
            <w:vMerge/>
            <w:tcBorders>
              <w:top w:val="nil"/>
              <w:left w:val="single" w:sz="8" w:space="0" w:color="auto"/>
              <w:bottom w:val="outset" w:sz="8" w:space="0" w:color="auto"/>
              <w:right w:val="single" w:sz="8" w:space="0" w:color="auto"/>
            </w:tcBorders>
            <w:shd w:val="clear" w:color="auto" w:fill="auto"/>
            <w:tcMar>
              <w:left w:w="57" w:type="dxa"/>
              <w:right w:w="57" w:type="dxa"/>
            </w:tcMar>
            <w:vAlign w:val="center"/>
          </w:tcPr>
          <w:p/>
        </w:tc>
        <w:tc>
          <w:tcPr>
            <w:tcW w:w="4365" w:type="dxa"/>
            <w:gridSpan w:val="2"/>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（七）总计</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r>
      <w:tr>
        <w:tc>
          <w:tcPr>
            <w:tcW w:w="5150" w:type="dxa"/>
            <w:gridSpan w:val="3"/>
            <w:tcBorders>
              <w:top w:val="nil"/>
              <w:left w:val="single" w:sz="8" w:space="0" w:color="auto"/>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pPr>
            <w:r>
              <w:rPr>
                <w:rFonts w:ascii="宋体" w:eastAsia="宋体" w:cs="宋体" w:hAnsi="宋体" w:hint="eastAsia"/>
                <w:kern w:val="0"/>
                <w:sz w:val="20"/>
                <w:szCs w:val="20"/>
                <w:lang w:val="en-US" w:eastAsia="zh-CN"/>
              </w:rPr>
              <w:t>四、结转下年度继续办理</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pPr>
            <w:r>
              <w:rPr>
                <w:rFonts w:ascii="Calibri" w:eastAsia="宋体" w:cs="Calibri" w:hAnsi="Calibri"/>
                <w:kern w:val="0"/>
                <w:sz w:val="20"/>
                <w:szCs w:val="20"/>
                <w:lang w:val="en-US" w:eastAsia="zh-CN"/>
              </w:rPr>
              <w:t> 0</w:t>
            </w:r>
          </w:p>
        </w:tc>
        <w:tc>
          <w:tcPr>
            <w:tcW w:w="714" w:type="dxa"/>
            <w:tcBorders>
              <w:top w:val="nil"/>
              <w:left w:val="nil"/>
              <w:bottom w:val="single" w:sz="8" w:space="0" w:color="auto"/>
              <w:right w:val="single" w:sz="8" w:space="0" w:color="auto"/>
            </w:tcBorders>
            <w:shd w:val="clear" w:color="auto" w:fill="auto"/>
            <w:tcMar>
              <w:left w:w="57" w:type="dxa"/>
              <w:right w:w="57" w:type="dxa"/>
            </w:tcMar>
            <w:vAlign w:val="center"/>
          </w:tcPr>
          <w:p>
            <w:pPr>
              <w:jc w:val="center"/>
              <w:rPr>
                <w:rFonts w:ascii="宋体" w:hint="eastAsia"/>
                <w:sz w:val="24"/>
                <w:szCs w:val="24"/>
              </w:rPr>
            </w:pPr>
            <w:r>
              <w:rPr>
                <w:rFonts w:cs="Calibri"/>
                <w:kern w:val="0"/>
                <w:sz w:val="20"/>
                <w:szCs w:val="20"/>
              </w:rPr>
              <w:t>0</w:t>
            </w:r>
          </w:p>
        </w:tc>
      </w:tr>
    </w:tbl>
    <w:p>
      <w:pPr>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ind w:left="0" w:right="0" w:firstLine="0"/>
        <w:rPr>
          <w:rFonts w:ascii="宋体" w:eastAsia="宋体" w:cs="宋体" w:hAnsi="宋体" w:hint="eastAsia"/>
          <w:i w:val="0"/>
          <w:iCs w:val="0"/>
          <w:caps w:val="0"/>
          <w:smallCaps w:val="0"/>
          <w:spacing w:val="0"/>
          <w:sz w:val="24"/>
          <w:szCs w:val="24"/>
        </w:rPr>
      </w:pPr>
    </w:p>
    <w:p>
      <w:pPr>
        <w:pStyle w:val="15"/>
        <w:keepNext w:val="0"/>
        <w:keepLines w:val="0"/>
        <w:widowControl/>
        <w:suppressLineNumbers w:val="0"/>
        <w:pBdr>
          <w:top w:val="none" w:sz="0" w:space="0" w:color="auto"/>
          <w:left w:val="none" w:sz="0" w:space="0" w:color="auto"/>
          <w:bottom w:val="none" w:sz="0" w:space="0" w:color="auto"/>
          <w:right w:val="none" w:sz="0" w:space="0" w:color="auto"/>
        </w:pBdr>
        <w:shd w:val="clear" w:color="auto" w:fill="FFFFFF"/>
        <w:spacing w:before="0" w:beforeAutospacing="0" w:after="0" w:afterAutospacing="0" w:line="600" w:lineRule="exact"/>
        <w:ind w:firstLineChars="200" w:firstLine="640"/>
        <w:jc w:val="both"/>
        <w:rPr>
          <w:rFonts w:ascii="CESI黑体-GB13000" w:eastAsia="CESI黑体-GB13000" w:cs="CESI黑体-GB13000" w:hAnsi="CESI黑体-GB13000" w:hint="eastAsia"/>
          <w:sz w:val="32"/>
          <w:szCs w:val="32"/>
        </w:rPr>
      </w:pPr>
      <w:r>
        <w:rPr>
          <w:rFonts w:ascii="CESI黑体-GB13000" w:eastAsia="CESI黑体-GB13000" w:cs="CESI黑体-GB13000" w:hAnsi="CESI黑体-GB13000" w:hint="eastAsia"/>
          <w:i w:val="0"/>
          <w:iCs w:val="0"/>
          <w:caps w:val="0"/>
          <w:smallCaps w:val="0"/>
          <w:spacing w:val="0"/>
          <w:sz w:val="32"/>
          <w:szCs w:val="32"/>
          <w:shd w:val="clear" w:color="auto" w:fill="FFFFFF"/>
        </w:rPr>
        <w:t>四、政府信息公开行政复议、行政诉讼情况</w:t>
      </w:r>
    </w:p>
    <w:tbl>
      <w:tblPr>
        <w:jc w:val="center"/>
        <w:tblW w:w="9748" w:type="dxa"/>
        <w:tblBorders>
          <w:top w:val="none" w:sz="0" w:space="0" w:color="auto"/>
          <w:left w:val="none" w:sz="0" w:space="0" w:color="auto"/>
          <w:bottom w:val="none" w:sz="0" w:space="0" w:color="auto"/>
          <w:right w:val="none" w:sz="0" w:space="0" w:color="auto"/>
          <w:insideH w:val="outset" w:sz="6" w:space="0" w:color="auto"/>
          <w:insideV w:val="outset" w:sz="6" w:space="0" w:color="auto"/>
        </w:tblBorders>
        <w:shd w:val="clear" w:color="auto" w:fill="auto"/>
        <w:tblCellMar>
          <w:top w:w="0" w:type="dxa"/>
          <w:left w:w="0" w:type="dxa"/>
          <w:bottom w:w="0" w:type="dxa"/>
          <w:right w:w="0" w:type="dxa"/>
        </w:tblCellMar>
        <w:tblLook w:val="0600" w:firstRow="0" w:lastRow="0" w:firstColumn="0" w:lastColumn="0" w:noHBand="1" w:noVBand="1"/>
      </w:tblPr>
      <w:tblGrid>
        <w:gridCol w:w="649"/>
        <w:gridCol w:w="649"/>
        <w:gridCol w:w="649"/>
        <w:gridCol w:w="649"/>
        <w:gridCol w:w="649"/>
        <w:gridCol w:w="649"/>
        <w:gridCol w:w="649"/>
        <w:gridCol w:w="650"/>
        <w:gridCol w:w="650"/>
        <w:gridCol w:w="650"/>
        <w:gridCol w:w="650"/>
        <w:gridCol w:w="650"/>
        <w:gridCol w:w="650"/>
        <w:gridCol w:w="650"/>
        <w:gridCol w:w="650"/>
      </w:tblGrid>
      <w:tr>
        <w:tc>
          <w:tcPr>
            <w:tcW w:w="3210"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行政复议</w:t>
            </w:r>
          </w:p>
        </w:tc>
        <w:tc>
          <w:tcPr>
            <w:tcW w:w="6428" w:type="dxa"/>
            <w:gridSpan w:val="10"/>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行政诉讼</w:t>
            </w:r>
          </w:p>
        </w:tc>
      </w:tr>
      <w:tr>
        <w:tc>
          <w:tcPr>
            <w:tcW w:w="642"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结果维持</w:t>
            </w:r>
          </w:p>
        </w:tc>
        <w:tc>
          <w:tcPr>
            <w:tcW w:w="642" w:type="dxa"/>
            <w:vMerge w:val="restart"/>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纠正</w:t>
            </w:r>
          </w:p>
        </w:tc>
        <w:tc>
          <w:tcPr>
            <w:tcW w:w="642"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其他</w:t>
              <w:br/>
              <w:t>结果</w:t>
            </w:r>
          </w:p>
        </w:tc>
        <w:tc>
          <w:tcPr>
            <w:tcW w:w="642"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尚未</w:t>
              <w:br/>
              <w:t>审结</w:t>
            </w:r>
          </w:p>
        </w:tc>
        <w:tc>
          <w:tcPr>
            <w:tcW w:w="642" w:type="dxa"/>
            <w:vMerge w:val="restart"/>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总计</w:t>
            </w:r>
          </w:p>
        </w:tc>
        <w:tc>
          <w:tcPr>
            <w:tcW w:w="3213"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未经复议直接起诉</w:t>
            </w:r>
          </w:p>
        </w:tc>
        <w:tc>
          <w:tcPr>
            <w:tcW w:w="3215" w:type="dxa"/>
            <w:gridSpan w:val="5"/>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复议后起诉</w:t>
            </w:r>
          </w:p>
        </w:tc>
      </w:tr>
      <w:tr>
        <w:tc>
          <w:tcPr>
            <w:tcW w:w="642"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2" w:type="dxa"/>
            <w:vMerge/>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2"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2"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2" w:type="dxa"/>
            <w:vMerge/>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维持</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纠正</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其他</w:t>
              <w:br/>
              <w:t>结果</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尚未</w:t>
              <w:br/>
              <w:t>审结</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总计</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维持</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结果</w:t>
              <w:br/>
              <w:t>纠正</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其他</w:t>
              <w:br/>
              <w:t>结果</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尚未</w:t>
              <w:br/>
              <w:t>审结</w:t>
            </w:r>
          </w:p>
        </w:tc>
        <w:tc>
          <w:tcPr>
            <w:tcW w:w="643" w:type="dxa"/>
            <w:tcBorders>
              <w:top w:val="single" w:sz="8" w:space="0" w:color="auto"/>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宋体" w:eastAsia="宋体" w:cs="宋体" w:hAnsi="宋体" w:hint="eastAsia"/>
                <w:kern w:val="0"/>
                <w:sz w:val="20"/>
                <w:szCs w:val="20"/>
                <w:lang w:val="en-US" w:eastAsia="zh-CN"/>
              </w:rPr>
              <w:t>总计</w:t>
            </w:r>
          </w:p>
        </w:tc>
      </w:tr>
      <w:tr>
        <w:trPr>
          <w:trHeight w:val="672"/>
        </w:trPr>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kern w:val="0"/>
                <w:sz w:val="20"/>
                <w:szCs w:val="20"/>
                <w:lang w:val="en-US" w:eastAsia="zh-CN"/>
              </w:rPr>
              <w:t> 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hint="eastAsia"/>
                <w:kern w:val="0"/>
                <w:sz w:val="20"/>
                <w:szCs w:val="20"/>
                <w:lang w:val="en-US" w:eastAsia="zh-CN"/>
              </w:rPr>
              <w:t> </w:t>
            </w:r>
            <w:r>
              <w:rPr>
                <w:rFonts w:ascii="黑体" w:eastAsia="黑体" w:cs="黑体" w:hAnsi="宋体"/>
                <w:kern w:val="0"/>
                <w:sz w:val="20"/>
                <w:szCs w:val="20"/>
                <w:lang w:val="en-US" w:eastAsia="zh-CN"/>
              </w:rPr>
              <w:t>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hint="eastAsia"/>
                <w:kern w:val="0"/>
                <w:sz w:val="20"/>
                <w:szCs w:val="20"/>
                <w:lang w:val="en-US" w:eastAsia="zh-CN"/>
              </w:rPr>
              <w:t> </w:t>
            </w:r>
            <w:r>
              <w:rPr>
                <w:rFonts w:ascii="黑体" w:eastAsia="黑体" w:cs="黑体" w:hAnsi="宋体"/>
                <w:kern w:val="0"/>
                <w:sz w:val="20"/>
                <w:szCs w:val="20"/>
                <w:lang w:val="en-US" w:eastAsia="zh-CN"/>
              </w:rPr>
              <w:t>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hint="eastAsia"/>
                <w:kern w:val="0"/>
                <w:sz w:val="20"/>
                <w:szCs w:val="20"/>
                <w:lang w:val="en-US" w:eastAsia="zh-CN"/>
              </w:rPr>
              <w:t> </w:t>
            </w:r>
            <w:r>
              <w:rPr>
                <w:rFonts w:ascii="黑体" w:eastAsia="黑体" w:cs="黑体" w:hAnsi="宋体"/>
                <w:kern w:val="0"/>
                <w:sz w:val="20"/>
                <w:szCs w:val="20"/>
                <w:lang w:val="en-US" w:eastAsia="zh-CN"/>
              </w:rPr>
              <w:t>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hint="eastAsia"/>
                <w:kern w:val="0"/>
                <w:sz w:val="20"/>
                <w:szCs w:val="20"/>
                <w:lang w:val="en-US" w:eastAsia="zh-CN"/>
              </w:rPr>
              <w:t> </w:t>
            </w:r>
            <w:r>
              <w:rPr>
                <w:rFonts w:ascii="黑体" w:eastAsia="黑体" w:cs="黑体" w:hAnsi="宋体"/>
                <w:kern w:val="0"/>
                <w:sz w:val="20"/>
                <w:szCs w:val="20"/>
                <w:lang w:val="en-US" w:eastAsia="zh-CN"/>
              </w:rPr>
              <w:t>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hint="eastAsia"/>
                <w:kern w:val="0"/>
                <w:sz w:val="20"/>
                <w:szCs w:val="20"/>
                <w:lang w:val="en-US" w:eastAsia="zh-CN"/>
              </w:rPr>
              <w:t> </w:t>
            </w:r>
            <w:r>
              <w:rPr>
                <w:rFonts w:ascii="黑体" w:eastAsia="黑体" w:cs="黑体" w:hAnsi="宋体"/>
                <w:kern w:val="0"/>
                <w:sz w:val="20"/>
                <w:szCs w:val="20"/>
                <w:lang w:val="en-US" w:eastAsia="zh-CN"/>
              </w:rPr>
              <w:t>0</w:t>
            </w:r>
          </w:p>
        </w:tc>
        <w:tc>
          <w:tcPr>
            <w:tcW w:w="642"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hint="eastAsia"/>
                <w:kern w:val="0"/>
                <w:sz w:val="20"/>
                <w:szCs w:val="20"/>
                <w:lang w:val="en-US" w:eastAsia="zh-CN"/>
              </w:rPr>
              <w:t> </w:t>
            </w:r>
            <w:r>
              <w:rPr>
                <w:rFonts w:ascii="黑体" w:eastAsia="黑体" w:cs="黑体" w:hAnsi="宋体"/>
                <w:kern w:val="0"/>
                <w:sz w:val="20"/>
                <w:szCs w:val="20"/>
                <w:lang w:val="en-US" w:eastAsia="zh-CN"/>
              </w:rPr>
              <w:t>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hint="eastAsia"/>
                <w:kern w:val="0"/>
                <w:sz w:val="20"/>
                <w:szCs w:val="20"/>
                <w:lang w:val="en-US" w:eastAsia="zh-CN"/>
              </w:rPr>
              <w:t> </w:t>
            </w:r>
            <w:r>
              <w:rPr>
                <w:rFonts w:ascii="黑体" w:eastAsia="黑体" w:cs="黑体" w:hAnsi="宋体"/>
                <w:kern w:val="0"/>
                <w:sz w:val="20"/>
                <w:szCs w:val="20"/>
                <w:lang w:val="en-US" w:eastAsia="zh-CN"/>
              </w:rPr>
              <w:t>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hint="eastAsia"/>
                <w:kern w:val="0"/>
                <w:sz w:val="20"/>
                <w:szCs w:val="20"/>
                <w:lang w:val="en-US" w:eastAsia="zh-CN"/>
              </w:rPr>
              <w:t> </w:t>
            </w:r>
            <w:r>
              <w:rPr>
                <w:rFonts w:ascii="黑体" w:eastAsia="黑体" w:cs="黑体" w:hAnsi="宋体"/>
                <w:kern w:val="0"/>
                <w:sz w:val="20"/>
                <w:szCs w:val="20"/>
                <w:lang w:val="en-US" w:eastAsia="zh-CN"/>
              </w:rPr>
              <w:t>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hint="eastAsia"/>
                <w:kern w:val="0"/>
                <w:sz w:val="20"/>
                <w:szCs w:val="20"/>
                <w:lang w:val="en-US" w:eastAsia="zh-CN"/>
              </w:rPr>
              <w:t> </w:t>
            </w:r>
            <w:r>
              <w:rPr>
                <w:rFonts w:ascii="黑体" w:eastAsia="黑体" w:cs="黑体" w:hAnsi="宋体"/>
                <w:kern w:val="0"/>
                <w:sz w:val="20"/>
                <w:szCs w:val="20"/>
                <w:lang w:val="en-US" w:eastAsia="zh-CN"/>
              </w:rPr>
              <w:t>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hint="eastAsia"/>
                <w:kern w:val="0"/>
                <w:sz w:val="20"/>
                <w:szCs w:val="20"/>
                <w:lang w:val="en-US" w:eastAsia="zh-CN"/>
              </w:rPr>
              <w:t> </w:t>
            </w:r>
            <w:r>
              <w:rPr>
                <w:rFonts w:ascii="黑体" w:eastAsia="黑体" w:cs="黑体" w:hAnsi="宋体"/>
                <w:kern w:val="0"/>
                <w:sz w:val="20"/>
                <w:szCs w:val="20"/>
                <w:lang w:val="en-US" w:eastAsia="zh-CN"/>
              </w:rPr>
              <w:t>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hint="eastAsia"/>
                <w:kern w:val="0"/>
                <w:sz w:val="20"/>
                <w:szCs w:val="20"/>
                <w:lang w:val="en-US" w:eastAsia="zh-CN"/>
              </w:rPr>
              <w:t> </w:t>
            </w:r>
            <w:r>
              <w:rPr>
                <w:rFonts w:ascii="黑体" w:eastAsia="黑体" w:cs="黑体" w:hAnsi="宋体"/>
                <w:kern w:val="0"/>
                <w:sz w:val="20"/>
                <w:szCs w:val="20"/>
                <w:lang w:val="en-US" w:eastAsia="zh-CN"/>
              </w:rPr>
              <w:t>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hint="eastAsia"/>
                <w:kern w:val="0"/>
                <w:sz w:val="20"/>
                <w:szCs w:val="20"/>
                <w:lang w:val="en-US" w:eastAsia="zh-CN"/>
              </w:rPr>
              <w:t> </w:t>
            </w:r>
            <w:r>
              <w:rPr>
                <w:rFonts w:ascii="黑体" w:eastAsia="黑体" w:cs="黑体" w:hAnsi="宋体"/>
                <w:kern w:val="0"/>
                <w:sz w:val="20"/>
                <w:szCs w:val="20"/>
                <w:lang w:val="en-US" w:eastAsia="zh-CN"/>
              </w:rPr>
              <w:t>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firstLine="0"/>
              <w:jc w:val="center"/>
            </w:pPr>
            <w:r>
              <w:rPr>
                <w:rFonts w:ascii="黑体" w:eastAsia="黑体" w:cs="黑体" w:hAnsi="宋体" w:hint="eastAsia"/>
                <w:kern w:val="0"/>
                <w:sz w:val="20"/>
                <w:szCs w:val="20"/>
                <w:lang w:val="en-US" w:eastAsia="zh-CN"/>
              </w:rPr>
              <w:t> </w:t>
            </w:r>
            <w:r>
              <w:rPr>
                <w:rFonts w:ascii="黑体" w:eastAsia="黑体" w:cs="黑体" w:hAnsi="宋体"/>
                <w:kern w:val="0"/>
                <w:sz w:val="20"/>
                <w:szCs w:val="20"/>
                <w:lang w:val="en-US" w:eastAsia="zh-CN"/>
              </w:rPr>
              <w:t>0</w:t>
            </w:r>
          </w:p>
        </w:tc>
        <w:tc>
          <w:tcPr>
            <w:tcW w:w="643" w:type="dxa"/>
            <w:tcBorders>
              <w:top w:val="nil"/>
              <w:left w:val="single" w:sz="8" w:space="0" w:color="auto"/>
              <w:bottom w:val="single" w:sz="8" w:space="0" w:color="auto"/>
              <w:right w:val="single" w:sz="8" w:space="0" w:color="auto"/>
            </w:tcBorders>
            <w:shd w:val="clear" w:color="auto" w:fill="auto"/>
            <w:tcMar>
              <w:left w:w="108" w:type="dxa"/>
              <w:right w:w="108" w:type="dxa"/>
            </w:tcMar>
            <w:vAlign w:val="center"/>
          </w:tcPr>
          <w:p>
            <w:pPr>
              <w:jc w:val="center"/>
              <w:rPr>
                <w:rFonts w:ascii="CESI黑体-GB13000" w:eastAsia="CESI黑体-GB13000" w:cs="CESI黑体-GB13000" w:hAnsi="CESI黑体-GB13000" w:hint="eastAsia"/>
                <w:sz w:val="24"/>
                <w:szCs w:val="24"/>
              </w:rPr>
            </w:pPr>
            <w:r>
              <w:rPr>
                <w:rFonts w:ascii="黑体" w:eastAsia="黑体" w:cs="黑体" w:hAnsi="宋体" w:hint="eastAsia"/>
                <w:kern w:val="0"/>
                <w:sz w:val="20"/>
                <w:szCs w:val="20"/>
              </w:rPr>
              <w:t>0</w:t>
            </w:r>
          </w:p>
        </w:tc>
      </w:tr>
    </w:tbl>
    <w:p>
      <w:pPr>
        <w:keepNext w:val="0"/>
        <w:keepLines w:val="0"/>
        <w:widowControl/>
        <w:suppressLineNumbers w:val="0"/>
        <w:jc w:val="left"/>
      </w:pPr>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auto"/>
        <w:kinsoku/>
        <w:wordWrap/>
        <w:overflowPunct/>
        <w:topLinePunct w:val="0"/>
        <w:autoSpaceDE/>
        <w:autoSpaceDN/>
        <w:adjustRightInd/>
        <w:snapToGrid/>
        <w:spacing w:before="0" w:beforeAutospacing="0" w:after="0" w:afterAutospacing="0" w:line="600" w:lineRule="exact"/>
        <w:ind w:left="0" w:firstLineChars="200" w:firstLine="640"/>
        <w:jc w:val="both"/>
        <w:rPr>
          <w:rFonts w:ascii="CESI黑体-GB13000" w:eastAsia="CESI黑体-GB13000" w:cs="CESI黑体-GB13000" w:hAnsi="CESI黑体-GB13000" w:hint="eastAsia"/>
          <w:sz w:val="32"/>
          <w:szCs w:val="32"/>
          <w:shd w:val="clear" w:color="auto" w:fill="FFFFFF"/>
        </w:rPr>
      </w:pPr>
      <w:r>
        <w:rPr>
          <w:rFonts w:ascii="CESI黑体-GB13000" w:eastAsia="CESI黑体-GB13000" w:cs="CESI黑体-GB13000" w:hAnsi="CESI黑体-GB13000" w:hint="eastAsia"/>
          <w:b w:val="0"/>
          <w:bCs w:val="0"/>
          <w:i w:val="0"/>
          <w:iCs w:val="0"/>
          <w:caps w:val="0"/>
          <w:smallCaps w:val="0"/>
          <w:spacing w:val="0"/>
          <w:sz w:val="32"/>
          <w:szCs w:val="32"/>
          <w:shd w:val="clear" w:color="auto" w:fill="FFFFFF"/>
        </w:rPr>
        <w:t>五、存在的主要问题及改进情况</w:t>
      </w:r>
    </w:p>
    <w:p>
      <w:pPr>
        <w:keepNext w:val="0"/>
        <w:keepLines w:val="0"/>
        <w:pageBreakBefore w:val="0"/>
        <w:widowControl/>
        <w:suppressLineNumbers w:val="0"/>
        <w:kinsoku/>
        <w:wordWrap/>
        <w:overflowPunct/>
        <w:topLinePunct w:val="0"/>
        <w:autoSpaceDE/>
        <w:autoSpaceDN/>
        <w:adjustRightInd/>
        <w:snapToGrid/>
        <w:spacing w:beforeAutospacing="0" w:afterAutospacing="0" w:line="600" w:lineRule="exact"/>
        <w:ind w:firstLineChars="200" w:firstLine="640"/>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pP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存在问题：一是</w:t>
      </w:r>
      <w:r>
        <w:rPr>
          <w:rStyle w:val="0"/>
          <w:rFonts w:ascii="CESI仿宋-GB13000" w:eastAsia="CESI仿宋-GB13000" w:cs="CESI仿宋-GB13000" w:hAnsi="CESI仿宋-GB13000" w:hint="eastAsia"/>
          <w:bCs/>
          <w:sz w:val="32"/>
          <w:szCs w:val="32"/>
          <w:shd w:val="clear" w:color="auto" w:fill="FFFFFF"/>
        </w:rPr>
        <w:t>公开内容的深度与解读有待加强。</w:t>
      </w:r>
      <w:r>
        <w:rPr>
          <w:rFonts w:ascii="CESI仿宋-GB13000" w:eastAsia="CESI仿宋-GB13000" w:cs="CESI仿宋-GB13000" w:hAnsi="CESI仿宋-GB13000" w:hint="eastAsia"/>
          <w:sz w:val="32"/>
          <w:szCs w:val="32"/>
          <w:shd w:val="clear" w:color="auto" w:fill="FFFFFF"/>
        </w:rPr>
        <w:t>部分</w:t>
      </w:r>
      <w:r>
        <w:rPr>
          <w:rFonts w:ascii="CESI仿宋-GB13000" w:eastAsia="CESI仿宋-GB13000" w:cs="CESI仿宋-GB13000" w:hAnsi="CESI仿宋-GB13000"/>
          <w:sz w:val="32"/>
          <w:szCs w:val="32"/>
          <w:shd w:val="clear" w:color="auto" w:fill="FFFFFF"/>
        </w:rPr>
        <w:t>文件</w:t>
      </w:r>
      <w:r>
        <w:rPr>
          <w:rFonts w:ascii="CESI仿宋-GB13000" w:eastAsia="CESI仿宋-GB13000" w:cs="CESI仿宋-GB13000" w:hAnsi="CESI仿宋-GB13000" w:hint="eastAsia"/>
          <w:sz w:val="32"/>
          <w:szCs w:val="32"/>
          <w:shd w:val="clear" w:color="auto" w:fill="FFFFFF"/>
        </w:rPr>
        <w:t>公开以原文发布为主，配套的解读形式相对单一，导致</w:t>
      </w:r>
      <w:r>
        <w:rPr>
          <w:rFonts w:ascii="CESI仿宋-GB13000" w:eastAsia="CESI仿宋-GB13000" w:cs="CESI仿宋-GB13000" w:hAnsi="CESI仿宋-GB13000"/>
          <w:sz w:val="32"/>
          <w:szCs w:val="32"/>
          <w:shd w:val="clear" w:color="auto" w:fill="FFFFFF"/>
        </w:rPr>
        <w:t>相关</w:t>
      </w:r>
      <w:r>
        <w:rPr>
          <w:rFonts w:ascii="CESI仿宋-GB13000" w:eastAsia="CESI仿宋-GB13000" w:cs="CESI仿宋-GB13000" w:hAnsi="CESI仿宋-GB13000" w:hint="eastAsia"/>
          <w:sz w:val="32"/>
          <w:szCs w:val="32"/>
          <w:shd w:val="clear" w:color="auto" w:fill="FFFFFF"/>
        </w:rPr>
        <w:t>举措的传达效果</w:t>
      </w:r>
      <w:r>
        <w:rPr>
          <w:rFonts w:ascii="CESI仿宋-GB13000" w:eastAsia="CESI仿宋-GB13000" w:cs="CESI仿宋-GB13000" w:hAnsi="CESI仿宋-GB13000"/>
          <w:sz w:val="32"/>
          <w:szCs w:val="32"/>
          <w:shd w:val="clear" w:color="auto" w:fill="FFFFFF"/>
        </w:rPr>
        <w:t>与期望</w:t>
      </w:r>
      <w:r>
        <w:rPr>
          <w:rFonts w:ascii="CESI仿宋-GB13000" w:eastAsia="CESI仿宋-GB13000" w:cs="CESI仿宋-GB13000" w:hAnsi="CESI仿宋-GB13000" w:hint="eastAsia"/>
          <w:sz w:val="32"/>
          <w:szCs w:val="32"/>
          <w:shd w:val="clear" w:color="auto" w:fill="FFFFFF"/>
        </w:rPr>
        <w:t>存在一定差距。</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二是</w:t>
      </w:r>
      <w:r>
        <w:rPr>
          <w:rStyle w:val="0"/>
          <w:rFonts w:ascii="CESI仿宋-GB13000" w:eastAsia="CESI仿宋-GB13000" w:cs="CESI仿宋-GB13000" w:hAnsi="CESI仿宋-GB13000" w:hint="eastAsia"/>
          <w:bCs/>
          <w:sz w:val="32"/>
          <w:szCs w:val="32"/>
          <w:shd w:val="clear" w:color="auto" w:fill="FFFFFF"/>
        </w:rPr>
        <w:t>公开的及时性与规范性需进一步提升。</w:t>
      </w:r>
      <w:r>
        <w:rPr>
          <w:rFonts w:ascii="CESI仿宋-GB13000" w:eastAsia="CESI仿宋-GB13000" w:cs="CESI仿宋-GB13000" w:hAnsi="CESI仿宋-GB13000" w:hint="eastAsia"/>
          <w:sz w:val="32"/>
          <w:szCs w:val="32"/>
          <w:shd w:val="clear" w:color="auto" w:fill="FFFFFF"/>
        </w:rPr>
        <w:t>少数股室在信息生成后，未能及时发布，存在一定的滞后现象。部分公开信息的格式、要素不够统一规范，公开的整体质量</w:t>
      </w:r>
      <w:r>
        <w:rPr>
          <w:rFonts w:ascii="CESI仿宋-GB13000" w:eastAsia="CESI仿宋-GB13000" w:cs="CESI仿宋-GB13000" w:hAnsi="CESI仿宋-GB13000"/>
          <w:sz w:val="32"/>
          <w:szCs w:val="32"/>
          <w:shd w:val="clear" w:color="auto" w:fill="FFFFFF"/>
        </w:rPr>
        <w:t>有待提升</w:t>
      </w:r>
      <w:r>
        <w:rPr>
          <w:rFonts w:ascii="CESI仿宋-GB13000" w:eastAsia="CESI仿宋-GB13000" w:cs="CESI仿宋-GB13000" w:hAnsi="CESI仿宋-GB13000" w:hint="eastAsia"/>
          <w:sz w:val="32"/>
          <w:szCs w:val="32"/>
          <w:shd w:val="clear" w:color="auto" w:fill="FFFFFF"/>
        </w:rPr>
        <w:t>。</w:t>
      </w:r>
    </w:p>
    <w:p>
      <w:pPr>
        <w:keepNext w:val="0"/>
        <w:keepLines w:val="0"/>
        <w:pageBreakBefore w:val="0"/>
        <w:widowControl/>
        <w:suppressLineNumbers w:val="0"/>
        <w:kinsoku/>
        <w:wordWrap/>
        <w:overflowPunct/>
        <w:topLinePunct w:val="0"/>
        <w:autoSpaceDE/>
        <w:autoSpaceDN/>
        <w:adjustRightInd/>
        <w:snapToGrid/>
        <w:spacing w:beforeAutospacing="0" w:afterAutospacing="0" w:line="600" w:lineRule="exact"/>
        <w:ind w:firstLineChars="200" w:firstLine="640"/>
        <w:rPr>
          <w:rFonts w:ascii="CESI仿宋-GB13000" w:eastAsia="CESI仿宋-GB13000" w:cs="CESI仿宋-GB13000" w:hAnsi="CESI仿宋-GB13000" w:hint="eastAsia"/>
          <w:sz w:val="32"/>
          <w:szCs w:val="32"/>
          <w:shd w:val="clear" w:color="auto" w:fill="FFFFFF"/>
        </w:rPr>
      </w:pP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改进措施：</w:t>
      </w:r>
      <w:r>
        <w:rPr>
          <w:rFonts w:ascii="CESI仿宋-GB13000" w:eastAsia="CESI仿宋-GB13000" w:cs="CESI仿宋-GB13000" w:hAnsi="CESI仿宋-GB13000" w:hint="eastAsia"/>
          <w:sz w:val="32"/>
          <w:szCs w:val="32"/>
          <w:shd w:val="clear" w:color="auto" w:fill="FFFFFF"/>
        </w:rPr>
        <w:t>组织学习《</w:t>
      </w:r>
      <w:r>
        <w:rPr>
          <w:rFonts w:ascii="CESI仿宋-GB13000" w:eastAsia="CESI仿宋-GB13000" w:cs="CESI仿宋-GB13000" w:hAnsi="CESI仿宋-GB13000"/>
          <w:sz w:val="32"/>
          <w:szCs w:val="32"/>
          <w:shd w:val="clear" w:color="auto" w:fill="FFFFFF"/>
        </w:rPr>
        <w:t>中华人民共和国政府信息公开条例</w:t>
      </w:r>
      <w:r>
        <w:rPr>
          <w:rFonts w:ascii="CESI仿宋-GB13000" w:eastAsia="CESI仿宋-GB13000" w:cs="CESI仿宋-GB13000" w:hAnsi="CESI仿宋-GB13000" w:hint="eastAsia"/>
          <w:sz w:val="32"/>
          <w:szCs w:val="32"/>
          <w:shd w:val="clear" w:color="auto" w:fill="FFFFFF"/>
        </w:rPr>
        <w:t>》，建立政策文件解读机制，要求文件起草股室必须配套解读。</w:t>
      </w:r>
      <w:r>
        <w:rPr>
          <w:rFonts w:ascii="CESI仿宋-GB13000" w:eastAsia="CESI仿宋-GB13000" w:cs="CESI仿宋-GB13000" w:hAnsi="CESI仿宋-GB13000"/>
          <w:sz w:val="32"/>
          <w:szCs w:val="32"/>
          <w:shd w:val="clear" w:color="auto" w:fill="FFFFFF"/>
        </w:rPr>
        <w:t>同时，</w:t>
      </w:r>
      <w:r>
        <w:rPr>
          <w:rFonts w:ascii="CESI仿宋-GB13000" w:eastAsia="CESI仿宋-GB13000" w:cs="CESI仿宋-GB13000" w:hAnsi="CESI仿宋-GB13000" w:hint="eastAsia"/>
          <w:sz w:val="32"/>
          <w:szCs w:val="32"/>
          <w:shd w:val="clear" w:color="auto" w:fill="FFFFFF"/>
        </w:rPr>
        <w:t>进一步明确各股室的信息公开职责、时限要求和审核发布流程。推行信息公开内容与格式标准化模板，不定期对信息发布的时效性和规范性进行检查。</w:t>
      </w:r>
      <w:bookmarkStart w:id="0" w:name="_GoBack"/>
      <w:bookmarkEnd w:id="0"/>
    </w:p>
    <w:p>
      <w:pPr>
        <w:pStyle w:val="15"/>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auto"/>
        <w:kinsoku/>
        <w:wordWrap/>
        <w:overflowPunct/>
        <w:topLinePunct w:val="0"/>
        <w:autoSpaceDE/>
        <w:autoSpaceDN/>
        <w:adjustRightInd/>
        <w:snapToGrid/>
        <w:spacing w:before="0" w:beforeAutospacing="0" w:after="0" w:afterAutospacing="0" w:line="600" w:lineRule="exact"/>
        <w:ind w:left="0" w:firstLineChars="200" w:firstLine="640"/>
        <w:jc w:val="both"/>
        <w:rPr>
          <w:rFonts w:ascii="CESI黑体-GB13000" w:eastAsia="CESI黑体-GB13000" w:cs="CESI黑体-GB13000" w:hAnsi="CESI黑体-GB13000" w:hint="eastAsia"/>
          <w:b w:val="0"/>
          <w:bCs w:val="0"/>
          <w:i w:val="0"/>
          <w:iCs w:val="0"/>
          <w:caps w:val="0"/>
          <w:smallCaps w:val="0"/>
          <w:spacing w:val="0"/>
          <w:sz w:val="32"/>
          <w:szCs w:val="32"/>
          <w:shd w:val="clear" w:color="auto" w:fill="FFFFFF"/>
          <w:lang w:val="en-US" w:eastAsia="zh-CN"/>
        </w:rPr>
      </w:pPr>
      <w:r>
        <w:rPr>
          <w:rFonts w:ascii="CESI黑体-GB13000" w:eastAsia="CESI黑体-GB13000" w:cs="CESI黑体-GB13000" w:hAnsi="CESI黑体-GB13000" w:hint="eastAsia"/>
          <w:b w:val="0"/>
          <w:bCs w:val="0"/>
          <w:i w:val="0"/>
          <w:iCs w:val="0"/>
          <w:caps w:val="0"/>
          <w:smallCaps w:val="0"/>
          <w:spacing w:val="0"/>
          <w:sz w:val="32"/>
          <w:szCs w:val="32"/>
          <w:shd w:val="clear" w:color="auto" w:fill="FFFFFF"/>
        </w:rPr>
        <w:t>六、其他需要报告的事项</w:t>
      </w:r>
    </w:p>
    <w:p>
      <w:pPr>
        <w:spacing w:line="600" w:lineRule="exact"/>
        <w:ind w:firstLineChars="200" w:firstLine="640"/>
      </w:pP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202</w:t>
      </w:r>
      <w:r>
        <w:rPr>
          <w:rFonts w:ascii="CESI仿宋-GB13000" w:eastAsia="CESI仿宋-GB13000" w:cs="CESI仿宋-GB13000" w:hAnsi="CESI仿宋-GB13000"/>
          <w:i w:val="0"/>
          <w:iCs w:val="0"/>
          <w:caps w:val="0"/>
          <w:smallCaps w:val="0"/>
          <w:spacing w:val="0"/>
          <w:sz w:val="32"/>
          <w:szCs w:val="32"/>
          <w:shd w:val="clear" w:color="auto" w:fill="FFFFFF"/>
          <w:lang w:val="en-US" w:eastAsia="zh-CN"/>
        </w:rPr>
        <w:t>5</w:t>
      </w:r>
      <w:r>
        <w:rPr>
          <w:rFonts w:ascii="CESI仿宋-GB13000" w:eastAsia="CESI仿宋-GB13000" w:cs="CESI仿宋-GB13000" w:hAnsi="CESI仿宋-GB13000" w:hint="eastAsia"/>
          <w:i w:val="0"/>
          <w:iCs w:val="0"/>
          <w:caps w:val="0"/>
          <w:smallCaps w:val="0"/>
          <w:spacing w:val="0"/>
          <w:sz w:val="32"/>
          <w:szCs w:val="32"/>
          <w:shd w:val="clear" w:color="auto" w:fill="FFFFFF"/>
          <w:lang w:val="en-US" w:eastAsia="zh-CN"/>
        </w:rPr>
        <w:t>年，宁晋县卫生健康局没有收取信息处理费，无其他需要报告事项。</w:t>
      </w:r>
    </w:p>
    <w:sectPr>
      <w:pgSz w:w="11906" w:h="16838"/>
      <w:pgMar w:top="1701" w:right="1474" w:bottom="1701" w:left="1587" w:header="851" w:footer="992" w:gutter="0"/>
      <w:cols w:num="1" w:space="425"/>
      <w:docGrid w:type="lines" w:linePitch="312" w:charSpace="0"/>
    </w:sectPr>
  </w:body>
</w:document>
</file>

<file path=word/fontTable.xml><?xml version="1.0" encoding="utf-8"?>
<w:fonts xmlns:w="http://schemas.openxmlformats.org/wordprocessingml/2006/main" xmlns:r="http://schemas.openxmlformats.org/officeDocument/2006/relationships">
  <w:font w:name="CESI小标宋-GB13000">
    <w:panose1 w:val="02000500000000000000"/>
    <w:charset w:val="86"/>
    <w:family w:val="auto"/>
    <w:pitch w:val="variable"/>
    <w:sig w:usb0="800002BF" w:usb1="18CF7CF8" w:usb2="00000016" w:usb3="00000000" w:csb0="0004000F" w:csb1="00000000"/>
  </w:font>
  <w:font w:name="宋体">
    <w:altName w:val="华文宋体"/>
    <w:panose1 w:val="02010600030101010101"/>
    <w:charset w:val="86"/>
    <w:family w:val="auto"/>
    <w:pitch w:val="variable"/>
    <w:sig w:usb0="00000003" w:usb1="288F0000" w:usb2="00000006" w:usb3="00000000" w:csb0="00040001" w:csb1="00000000"/>
  </w:font>
  <w:font w:name="CESI仿宋-GB13000">
    <w:panose1 w:val="02000500000000000000"/>
    <w:charset w:val="86"/>
    <w:family w:val="auto"/>
    <w:pitch w:val="variable"/>
    <w:sig w:usb0="800002BF" w:usb1="18CF7CF8" w:usb2="00000016" w:usb3="00000000" w:csb0="0004000F" w:csb1="00000000"/>
  </w:font>
  <w:font w:name="CESI黑体-GB13000">
    <w:panose1 w:val="02000500000000000000"/>
    <w:charset w:val="86"/>
    <w:family w:val="auto"/>
    <w:pitch w:val="variable"/>
    <w:sig w:usb0="800002BF" w:usb1="38CF7CF8" w:usb2="00000016" w:usb3="00000000" w:csb0="0004000F" w:csb1="00000000"/>
  </w:font>
  <w:font w:name="楷体">
    <w:altName w:val="方正楷体_GBK"/>
    <w:panose1 w:val="02010609060101010101"/>
    <w:charset w:val="86"/>
    <w:family w:val="auto"/>
    <w:pitch w:val="variable"/>
    <w:sig w:usb0="800002BF" w:usb1="38CF7CFA" w:usb2="00000016" w:usb3="00000000" w:csb0="00040001" w:csb1="00000000"/>
  </w:font>
  <w:font w:name="Calibri">
    <w:altName w:val="DejaVu Sans"/>
    <w:panose1 w:val="020F0502020204030204"/>
    <w:charset w:val="00"/>
    <w:family w:val="swiss"/>
    <w:pitch w:val="variable"/>
    <w:sig w:usb0="E00002FF" w:usb1="4000ACFF" w:usb2="00000001" w:usb3="00000000" w:csb0="2000019F" w:csb1="00000000"/>
  </w:font>
  <w:font w:name="黑体">
    <w:altName w:val="方正黑体_GBK"/>
    <w:panose1 w:val="02010609060101010101"/>
    <w:charset w:val="86"/>
    <w:family w:val="auto"/>
    <w:pitch w:val="variable"/>
    <w:sig w:usb0="800002BF" w:usb1="38CF7CFA" w:usb2="00000016" w:usb3="00000000" w:csb0="00040001" w:csb1="00000000"/>
  </w:font>
  <w:font w:name="Times New Roman">
    <w:altName w:val="DejaVu Sans"/>
    <w:panose1 w:val="02020603050405020304"/>
    <w:charset w:val="50"/>
    <w:family w:val="auto"/>
    <w:pitch w:val="variable"/>
    <w:sig w:usb0="E0002AFF" w:usb1="C0007841" w:usb2="00000009" w:usb3="00000000" w:csb0="400001FF" w:csb1="FFFF0000"/>
  </w:font>
  <w:font w:name="Lucida Sans">
    <w:altName w:val="DejaVu Sans"/>
    <w:panose1 w:val="020B0602030504020204"/>
    <w:charset w:val="00"/>
    <w:family w:val="auto"/>
    <w:pitch w:val="variable"/>
    <w:sig w:usb0="00000003" w:usb1="00000000" w:usb2="00000000" w:usb3="00000000" w:csb0="20000001" w:csb1="00000000"/>
  </w:font>
  <w:font w:name="Arial">
    <w:altName w:val="DejaVu Sans"/>
    <w:panose1 w:val="020B0604020202020204"/>
    <w:charset w:val="01"/>
    <w:family w:val="swiss"/>
    <w:pitch w:val="variable"/>
    <w:sig w:usb0="E0002AFF" w:usb1="C0007843" w:usb2="00000009" w:usb3="00000000" w:csb0="400001FF" w:csb1="FFFF0000"/>
  </w:font>
  <w:font w:name="方正兰亭黑_GBK">
    <w:panose1 w:val="02000000000000000000"/>
    <w:charset w:val="86"/>
    <w:family w:val="script"/>
    <w:pitch w:val="variable"/>
    <w:sig w:usb0="A00002BF" w:usb1="3ACF7CFA" w:usb2="00080016" w:usb3="00000000" w:csb0="00040001"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drawingGridHorizontalSpacing w:val="105"/>
  <w:drawingGridVerticalSpacing w:val="156"/>
  <w:displayHorizontalDrawingGridEvery w:val="1"/>
  <w:displayVerticalDrawingGridEvery w:val="1"/>
  <w:noPunctuationKerning/>
  <w:characterSpacingControl w:val="compressPunctuation"/>
  <w:compat>
    <w:spaceForUL/>
    <w:balanceSingleByteDoubleByteWidth/>
    <w:ulTrailSpace/>
    <w:doNotExpandShiftReturn/>
    <w:adjustLineHeightInTable/>
    <w:doNotUseIndentAsNumberingTabStop/>
    <w:compatSetting w:name="compatibilityMode" w:uri="http://schemas.microsoft.com/office/word" w:val="14"/>
  </w:compat>
  <w:docVars>
    <w:docVar w:name="commondata" w:val="eyJoZGlkIjoiOTQyODQ4M2E5MTJjMmI5MWNmMzZkOTBjNmY4NWJjMzMifQ=="/>
  </w:docVars>
  <m:mathPr>
    <m:mathFont m:val="Cambria Math"/>
    <m:brkBin m:val="before"/>
    <m:brkBinSub m:val="--"/>
    <m:smallFrac m:val="0"/>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qFormat/>
    <w:pPr>
      <w:widowControl w:val="0"/>
      <w:jc w:val="both"/>
    </w:pPr>
    <w:rPr>
      <w:rFonts w:ascii="Calibri" w:eastAsia="宋体" w:cs="Arial" w:hAnsi="Calibri"/>
      <w:kern w:val="2"/>
      <w:sz w:val="21"/>
      <w:szCs w:val="24"/>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Arial" w:hAnsi="Calibri"/>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方正兰亭黑_GBK" w:eastAsia="黑体" w:hAnsi="方正兰亭黑_GBK"/>
      <w:b/>
      <w:bCs/>
      <w:sz w:val="32"/>
      <w:szCs w:val="32"/>
    </w:rPr>
  </w:style>
  <w:style w:type="character" w:customStyle="1" w:styleId="2Char">
    <w:name w:val="heading 2 Char"/>
    <w:basedOn w:val="10"/>
    <w:link w:val="2"/>
    <w:rPr>
      <w:rFonts w:ascii="方正兰亭黑_GBK" w:eastAsia="黑体" w:cs="Arial" w:hAnsi="方正兰亭黑_GBK"/>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Calibri" w:eastAsia="宋体" w:cs="Arial" w:hAnsi="Calibri"/>
      <w:b/>
      <w:bCs/>
      <w:kern w:val="2"/>
      <w:sz w:val="32"/>
      <w:szCs w:val="32"/>
      <w:lang w:val="en-US" w:eastAsia="zh-CN" w:bidi="ar-SA"/>
    </w:rPr>
  </w:style>
  <w:style w:type="character" w:default="1" w:styleId="10">
    <w:name w:val="Default Paragraph Font"/>
    <w:qFormat/>
  </w:style>
  <w:style w:type="paragraph" w:styleId="15">
    <w:name w:val="Normal (Web)"/>
    <w:qFormat/>
    <w:basedOn w:val="0"/>
    <w:pPr>
      <w:spacing w:before="0" w:beforeAutospacing="1" w:after="0" w:afterAutospacing="1"/>
      <w:ind w:left="0" w:right="0"/>
      <w:jc w:val="left"/>
    </w:pPr>
    <w:rPr>
      <w:kern w:val="0"/>
      <w:sz w:val="24"/>
      <w:lang w:val="en-US" w:eastAsia="zh-CN"/>
    </w:rPr>
  </w:style>
  <w:style w:type="character" w:styleId="16">
    <w:name w:val="Strong"/>
    <w:qFormat/>
    <w:basedOn w:val="0"/>
    <w:rPr>
      <w:b/>
      <w:bC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 Id="rId5" Type="http://schemas.openxmlformats.org/officeDocument/2006/relationships/theme" Target="theme/theme1.xml"/></Relationships>
</file>

<file path=word/theme/theme1.xml><?xml version="1.0" encoding="utf-8"?>
<a:theme xmlns:a="http://schemas.openxmlformats.org/drawingml/2006/main" name="Office 主题">
  <a:themeElements>
    <a:clrScheme name="Office 主题">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ctr"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265859CF-9B70-417D-AF7B-6F394968CCF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3211</TotalTime>
  <Application>WPS_Yozo_Office9.0.5065.191ZH</Application>
  <Pages>5</Pages>
  <Words>0</Words>
  <Characters>2275</Characters>
  <Lines>0</Lines>
  <Paragraphs>24</Paragraphs>
  <CharactersWithSpaces>3034</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user</cp:lastModifiedBy>
  <cp:revision>1</cp:revision>
  <cp:lastPrinted>2026-01-04T08:43:07Z</cp:lastPrinted>
  <dcterms:created xsi:type="dcterms:W3CDTF">2022-01-06T07:29:00Z</dcterms:created>
  <dcterms:modified xsi:type="dcterms:W3CDTF">2026-01-08T07:10:07Z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2052-11.8.2.11500</vt:lpwstr>
  </property>
  <property fmtid="{D5CDD505-2E9C-101B-9397-08002B2CF9AE}" pid="3" name="ICV">
    <vt:lpwstr>1157CE926B71424ABCEDD46E97C11597</vt:lpwstr>
  </property>
</Properties>
</file>