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96EF7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bCs w:val="0"/>
          <w:i w:val="0"/>
          <w:caps w:val="0"/>
          <w:smallCaps w:val="0"/>
          <w:color w:val="333333"/>
          <w:spacing w:val="0"/>
          <w:sz w:val="44"/>
          <w:szCs w:val="44"/>
          <w:shd w:val="clear" w:color="auto" w:fill="FFFFFF"/>
          <w:lang w:val="en-US" w:eastAsia="zh-CN"/>
        </w:rPr>
      </w:pPr>
      <w:r>
        <w:rPr>
          <w:rFonts w:hint="eastAsia" w:ascii="宋体" w:hAnsi="宋体" w:eastAsia="宋体" w:cs="宋体"/>
          <w:b/>
          <w:bCs w:val="0"/>
          <w:i w:val="0"/>
          <w:caps w:val="0"/>
          <w:smallCaps w:val="0"/>
          <w:color w:val="333333"/>
          <w:spacing w:val="0"/>
          <w:sz w:val="44"/>
          <w:szCs w:val="44"/>
          <w:shd w:val="clear" w:color="auto" w:fill="FFFFFF"/>
          <w:lang w:val="en-US" w:eastAsia="zh-CN"/>
        </w:rPr>
        <w:t>宁晋县商务局2025年政府信息公开工作年度</w:t>
      </w:r>
    </w:p>
    <w:p w14:paraId="5F248D9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bCs w:val="0"/>
          <w:i w:val="0"/>
          <w:caps w:val="0"/>
          <w:smallCaps w:val="0"/>
          <w:color w:val="333333"/>
          <w:spacing w:val="0"/>
          <w:sz w:val="44"/>
          <w:szCs w:val="44"/>
          <w:shd w:val="clear" w:color="auto" w:fill="FFFFFF"/>
          <w:lang w:val="en-US" w:eastAsia="zh-CN"/>
        </w:rPr>
      </w:pPr>
      <w:r>
        <w:rPr>
          <w:rFonts w:hint="eastAsia" w:ascii="宋体" w:hAnsi="宋体" w:eastAsia="宋体" w:cs="宋体"/>
          <w:b/>
          <w:bCs w:val="0"/>
          <w:i w:val="0"/>
          <w:caps w:val="0"/>
          <w:smallCaps w:val="0"/>
          <w:color w:val="333333"/>
          <w:spacing w:val="0"/>
          <w:sz w:val="44"/>
          <w:szCs w:val="44"/>
          <w:shd w:val="clear" w:color="auto" w:fill="FFFFFF"/>
          <w:lang w:val="en-US" w:eastAsia="zh-CN"/>
        </w:rPr>
        <w:t>报  告</w:t>
      </w:r>
    </w:p>
    <w:p w14:paraId="3C802ED5">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eastAsia" w:ascii="宋体" w:hAnsi="宋体" w:eastAsia="宋体" w:cs="宋体"/>
          <w:i w:val="0"/>
          <w:iCs w:val="0"/>
          <w:caps w:val="0"/>
          <w:smallCaps w:val="0"/>
          <w:color w:val="333333"/>
          <w:spacing w:val="0"/>
          <w:sz w:val="24"/>
          <w:szCs w:val="24"/>
        </w:rPr>
      </w:pPr>
    </w:p>
    <w:p w14:paraId="631AA49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420"/>
        <w:jc w:val="both"/>
        <w:textAlignment w:val="auto"/>
        <w:rPr>
          <w:rFonts w:hint="eastAsia" w:ascii="宋体" w:hAnsi="宋体" w:eastAsia="宋体" w:cs="宋体"/>
          <w:i w:val="0"/>
          <w:iCs w:val="0"/>
          <w:caps w:val="0"/>
          <w:smallCaps w:val="0"/>
          <w:color w:val="333333"/>
          <w:spacing w:val="0"/>
          <w:sz w:val="24"/>
          <w:szCs w:val="24"/>
        </w:rPr>
      </w:pPr>
    </w:p>
    <w:p w14:paraId="1DA0DBE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640" w:firstLineChars="200"/>
        <w:jc w:val="both"/>
        <w:textAlignment w:val="auto"/>
        <w:rPr>
          <w:rFonts w:hint="eastAsia" w:ascii="宋体" w:hAnsi="宋体" w:eastAsia="宋体" w:cs="宋体"/>
          <w:i w:val="0"/>
          <w:iCs w:val="0"/>
          <w:caps w:val="0"/>
          <w:smallCaps w:val="0"/>
          <w:color w:val="333333"/>
          <w:spacing w:val="0"/>
          <w:sz w:val="32"/>
          <w:szCs w:val="32"/>
        </w:rPr>
      </w:pPr>
      <w:r>
        <w:rPr>
          <w:rFonts w:hint="eastAsia" w:ascii="仿宋_GB2312" w:hAnsi="仿宋_GB2312" w:eastAsia="仿宋_GB2312" w:cs="仿宋_GB2312"/>
          <w:kern w:val="2"/>
          <w:sz w:val="32"/>
          <w:szCs w:val="32"/>
          <w:lang w:val="en-US" w:eastAsia="zh-CN" w:bidi="ar-SA"/>
        </w:rPr>
        <w:t>2025年，我局严格</w:t>
      </w:r>
      <w:r>
        <w:rPr>
          <w:rFonts w:hint="eastAsia" w:ascii="仿宋_GB2312" w:hAnsi="仿宋_GB2312" w:eastAsia="仿宋_GB2312" w:cs="仿宋_GB2312"/>
          <w:caps w:val="0"/>
          <w:smallCaps w:val="0"/>
          <w:color w:val="000000"/>
          <w:sz w:val="32"/>
          <w:szCs w:val="32"/>
          <w:vertAlign w:val="baseline"/>
          <w:lang w:val="en-US" w:eastAsia="zh-CN"/>
        </w:rPr>
        <w:t>按照《中华人民共和国政府信息公开条例》和国家、省、市</w:t>
      </w:r>
      <w:r>
        <w:rPr>
          <w:rFonts w:ascii="仿宋_GB2312" w:hAnsi="仿宋_GB2312" w:eastAsia="仿宋_GB2312" w:cs="仿宋_GB2312"/>
          <w:caps w:val="0"/>
          <w:smallCaps w:val="0"/>
          <w:color w:val="000000"/>
          <w:sz w:val="32"/>
          <w:szCs w:val="32"/>
          <w:vertAlign w:val="baseline"/>
          <w:lang w:val="en-US" w:eastAsia="zh-CN"/>
        </w:rPr>
        <w:t>、县</w:t>
      </w:r>
      <w:r>
        <w:rPr>
          <w:rFonts w:hint="eastAsia" w:ascii="仿宋_GB2312" w:hAnsi="仿宋_GB2312" w:eastAsia="仿宋_GB2312" w:cs="仿宋_GB2312"/>
          <w:caps w:val="0"/>
          <w:smallCaps w:val="0"/>
          <w:color w:val="000000"/>
          <w:sz w:val="32"/>
          <w:szCs w:val="32"/>
          <w:vertAlign w:val="baseline"/>
          <w:lang w:val="en-US" w:eastAsia="zh-CN"/>
        </w:rPr>
        <w:t>相关通知要求，</w:t>
      </w:r>
      <w:r>
        <w:rPr>
          <w:rFonts w:hint="eastAsia" w:ascii="仿宋_GB2312" w:hAnsi="仿宋_GB2312" w:eastAsia="仿宋_GB2312" w:cs="仿宋_GB2312"/>
          <w:kern w:val="2"/>
          <w:sz w:val="32"/>
          <w:szCs w:val="32"/>
          <w:lang w:val="en-US" w:eastAsia="zh-CN" w:bidi="ar-SA"/>
        </w:rPr>
        <w:t>紧密结合商务工作实际，坚持依法行政</w:t>
      </w:r>
      <w:r>
        <w:rPr>
          <w:rFonts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优质行政</w:t>
      </w:r>
      <w:r>
        <w:rPr>
          <w:rFonts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廉洁行政，进一步完善政务公开各项制度，确保政府信息公开工作持续良好开展。</w:t>
      </w:r>
      <w:r>
        <w:rPr>
          <w:rFonts w:ascii="仿宋_GB2312" w:hAnsi="宋体" w:eastAsia="仿宋_GB2312" w:cs="仿宋_GB2312"/>
          <w:i w:val="0"/>
          <w:iCs w:val="0"/>
          <w:caps w:val="0"/>
          <w:color w:val="000000"/>
          <w:spacing w:val="0"/>
          <w:sz w:val="32"/>
          <w:szCs w:val="32"/>
          <w:shd w:val="clear" w:fill="FFFFFF"/>
        </w:rPr>
        <w:t>本年报的时间统计期限为2025年1月1日至2025年12月31日。</w:t>
      </w:r>
    </w:p>
    <w:p w14:paraId="55A118D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right="0" w:firstLine="643" w:firstLineChars="200"/>
        <w:jc w:val="both"/>
        <w:textAlignment w:val="auto"/>
        <w:rPr>
          <w:rFonts w:hint="eastAsia" w:ascii="宋体" w:hAnsi="宋体" w:eastAsia="宋体" w:cs="宋体"/>
          <w:b/>
          <w:bCs/>
          <w:i w:val="0"/>
          <w:iCs w:val="0"/>
          <w:caps w:val="0"/>
          <w:smallCaps w:val="0"/>
          <w:color w:val="333333"/>
          <w:spacing w:val="0"/>
          <w:sz w:val="24"/>
          <w:szCs w:val="24"/>
        </w:rPr>
      </w:pPr>
      <w:r>
        <w:rPr>
          <w:rFonts w:hint="eastAsia" w:ascii="黑体" w:hAnsi="黑体" w:eastAsia="黑体" w:cs="黑体"/>
          <w:b/>
          <w:bCs/>
          <w:i w:val="0"/>
          <w:iCs w:val="0"/>
          <w:caps w:val="0"/>
          <w:smallCaps w:val="0"/>
          <w:color w:val="333333"/>
          <w:spacing w:val="0"/>
          <w:sz w:val="32"/>
          <w:szCs w:val="32"/>
          <w:shd w:val="clear" w:color="auto" w:fill="FFFFFF"/>
        </w:rPr>
        <w:t>一、总体情况</w:t>
      </w:r>
    </w:p>
    <w:p w14:paraId="2619E2FF">
      <w:pPr>
        <w:keepNext w:val="0"/>
        <w:keepLines w:val="0"/>
        <w:pageBreakBefore w:val="0"/>
        <w:kinsoku/>
        <w:wordWrap/>
        <w:overflowPunct/>
        <w:topLinePunct w:val="0"/>
        <w:autoSpaceDE/>
        <w:autoSpaceDN/>
        <w:bidi w:val="0"/>
        <w:adjustRightInd/>
        <w:snapToGrid/>
        <w:spacing w:line="640" w:lineRule="exact"/>
        <w:ind w:firstLine="643" w:firstLineChars="200"/>
        <w:textAlignment w:val="auto"/>
        <w:rPr>
          <w:rFonts w:hint="eastAsia" w:ascii="楷体_GB2312" w:hAnsi="楷体_GB2312" w:eastAsia="楷体_GB2312" w:cs="楷体_GB2312"/>
          <w:b/>
          <w:bCs/>
          <w:kern w:val="2"/>
          <w:sz w:val="32"/>
          <w:szCs w:val="32"/>
          <w:lang w:val="en-US" w:eastAsia="zh-CN" w:bidi="ar-SA"/>
        </w:rPr>
      </w:pPr>
      <w:r>
        <w:rPr>
          <w:rFonts w:hint="eastAsia" w:ascii="楷体_GB2312" w:hAnsi="楷体_GB2312" w:eastAsia="楷体_GB2312" w:cs="楷体_GB2312"/>
          <w:b/>
          <w:bCs/>
          <w:kern w:val="2"/>
          <w:sz w:val="32"/>
          <w:szCs w:val="32"/>
          <w:lang w:val="en-US" w:eastAsia="zh-CN" w:bidi="ar-SA"/>
        </w:rPr>
        <w:t>（一）主动公开政府信息情况。</w:t>
      </w:r>
      <w:r>
        <w:rPr>
          <w:rFonts w:hint="eastAsia" w:ascii="仿宋_GB2312" w:hAnsi="仿宋_GB2312" w:eastAsia="仿宋_GB2312" w:cs="仿宋_GB2312"/>
          <w:kern w:val="2"/>
          <w:sz w:val="32"/>
          <w:szCs w:val="32"/>
          <w:lang w:val="en-US" w:eastAsia="zh-CN" w:bidi="ar-SA"/>
        </w:rPr>
        <w:t>截至2025年12月31日，我局通过政府网站政府信息公开平台主动公开全县商务信息79条。其中，机构职能类信息1条，公告公示类信息15条，县域商业建设行动（电子商务进农村综合示范）专栏发布信息46条，部门部署中发布信息5条，权责和公共服务清单发布信息1条，行政执法公示栏发布信息5条，涉企行政检查公示栏发布信息6条，为商务系统行业企业发展提供了强有力的信息支撑。</w:t>
      </w:r>
    </w:p>
    <w:p w14:paraId="6CD31CB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645"/>
        <w:jc w:val="both"/>
        <w:textAlignment w:val="auto"/>
        <w:rPr>
          <w:rFonts w:hint="default" w:ascii="楷体_GB2312" w:hAnsi="楷体_GB2312" w:eastAsia="楷体_GB2312" w:cs="楷体_GB2312"/>
          <w:b/>
          <w:bCs/>
          <w:kern w:val="2"/>
          <w:sz w:val="32"/>
          <w:szCs w:val="32"/>
          <w:lang w:val="en-US" w:eastAsia="zh-CN" w:bidi="ar-SA"/>
        </w:rPr>
      </w:pPr>
      <w:r>
        <w:rPr>
          <w:rFonts w:hint="eastAsia" w:ascii="楷体_GB2312" w:hAnsi="楷体_GB2312" w:eastAsia="楷体_GB2312" w:cs="楷体_GB2312"/>
          <w:b/>
          <w:bCs/>
          <w:kern w:val="2"/>
          <w:sz w:val="32"/>
          <w:szCs w:val="32"/>
          <w:lang w:val="en-US" w:eastAsia="zh-CN" w:bidi="ar-SA"/>
        </w:rPr>
        <w:t>（二）依申请公开情况。</w:t>
      </w:r>
      <w:r>
        <w:rPr>
          <w:rFonts w:hint="eastAsia" w:ascii="仿宋_GB2312" w:hAnsi="仿宋_GB2312" w:eastAsia="仿宋_GB2312" w:cs="仿宋_GB2312"/>
          <w:kern w:val="2"/>
          <w:sz w:val="32"/>
          <w:szCs w:val="32"/>
          <w:lang w:val="en-US" w:eastAsia="zh-CN" w:bidi="ar-SA"/>
        </w:rPr>
        <w:t>2025年未收到有关本单位的政府信息公开申请。</w:t>
      </w:r>
    </w:p>
    <w:p w14:paraId="427320F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right="0" w:firstLine="643" w:firstLineChars="200"/>
        <w:jc w:val="both"/>
        <w:textAlignment w:val="auto"/>
        <w:rPr>
          <w:rFonts w:hint="eastAsia" w:ascii="楷体_GB2312" w:hAnsi="楷体_GB2312" w:eastAsia="楷体_GB2312" w:cs="楷体_GB2312"/>
          <w:b/>
          <w:bCs/>
          <w:kern w:val="2"/>
          <w:sz w:val="32"/>
          <w:szCs w:val="32"/>
          <w:lang w:val="en-US" w:eastAsia="zh-CN" w:bidi="ar-SA"/>
        </w:rPr>
      </w:pPr>
      <w:r>
        <w:rPr>
          <w:rFonts w:hint="eastAsia" w:ascii="楷体_GB2312" w:hAnsi="楷体_GB2312" w:eastAsia="楷体_GB2312" w:cs="楷体_GB2312"/>
          <w:b/>
          <w:bCs/>
          <w:kern w:val="2"/>
          <w:sz w:val="32"/>
          <w:szCs w:val="32"/>
          <w:lang w:val="en-US" w:eastAsia="zh-CN" w:bidi="ar-SA"/>
        </w:rPr>
        <w:t>（三）政府信息管理情况。</w:t>
      </w:r>
      <w:r>
        <w:rPr>
          <w:rFonts w:hint="eastAsia" w:ascii="仿宋_GB2312" w:hAnsi="仿宋_GB2312" w:eastAsia="仿宋_GB2312" w:cs="仿宋_GB2312"/>
          <w:kern w:val="2"/>
          <w:sz w:val="32"/>
          <w:szCs w:val="32"/>
          <w:lang w:val="en-US" w:eastAsia="zh-CN" w:bidi="ar-SA"/>
        </w:rPr>
        <w:t>为确保信息公开工作落到实处，我局</w:t>
      </w:r>
      <w:r>
        <w:rPr>
          <w:rFonts w:ascii="仿宋_GB2312" w:hAnsi="仿宋_GB2312" w:eastAsia="仿宋_GB2312" w:cs="仿宋_GB2312"/>
          <w:kern w:val="2"/>
          <w:sz w:val="32"/>
          <w:szCs w:val="32"/>
          <w:lang w:val="en-US" w:eastAsia="zh-CN" w:bidi="ar-SA"/>
        </w:rPr>
        <w:t>确定</w:t>
      </w:r>
      <w:r>
        <w:rPr>
          <w:rFonts w:hint="eastAsia" w:ascii="仿宋_GB2312" w:hAnsi="仿宋_GB2312" w:eastAsia="仿宋_GB2312" w:cs="仿宋_GB2312"/>
          <w:kern w:val="2"/>
          <w:sz w:val="32"/>
          <w:szCs w:val="32"/>
          <w:lang w:val="en-US" w:eastAsia="zh-CN" w:bidi="ar-SA"/>
        </w:rPr>
        <w:t>办公室</w:t>
      </w:r>
      <w:r>
        <w:rPr>
          <w:rFonts w:ascii="仿宋_GB2312" w:hAnsi="仿宋_GB2312" w:eastAsia="仿宋_GB2312" w:cs="仿宋_GB2312"/>
          <w:kern w:val="2"/>
          <w:sz w:val="32"/>
          <w:szCs w:val="32"/>
          <w:lang w:val="en-US" w:eastAsia="zh-CN" w:bidi="ar-SA"/>
        </w:rPr>
        <w:t>为</w:t>
      </w:r>
      <w:r>
        <w:rPr>
          <w:rFonts w:hint="eastAsia" w:ascii="仿宋_GB2312" w:hAnsi="仿宋_GB2312" w:eastAsia="仿宋_GB2312" w:cs="仿宋_GB2312"/>
          <w:kern w:val="2"/>
          <w:sz w:val="32"/>
          <w:szCs w:val="32"/>
          <w:lang w:val="en-US" w:eastAsia="zh-CN" w:bidi="ar-SA"/>
        </w:rPr>
        <w:t>信息公开工作主管科室，并指定专门人员管理此项工作，负责督促、协调、监督全局信息公开工作，积极与各科室联系沟通，盯紧热点信息、及时获悉、及时公开发布。</w:t>
      </w:r>
    </w:p>
    <w:p w14:paraId="42A358F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645"/>
        <w:jc w:val="both"/>
        <w:textAlignment w:val="auto"/>
        <w:rPr>
          <w:rFonts w:hint="eastAsia" w:ascii="楷体_GB2312" w:hAnsi="楷体_GB2312" w:eastAsia="楷体_GB2312" w:cs="楷体_GB2312"/>
          <w:b/>
          <w:bCs/>
          <w:kern w:val="2"/>
          <w:sz w:val="32"/>
          <w:szCs w:val="32"/>
          <w:lang w:val="en-US" w:eastAsia="zh-CN" w:bidi="ar-SA"/>
        </w:rPr>
      </w:pPr>
      <w:r>
        <w:rPr>
          <w:rFonts w:hint="eastAsia" w:ascii="楷体_GB2312" w:hAnsi="楷体_GB2312" w:eastAsia="楷体_GB2312" w:cs="楷体_GB2312"/>
          <w:b/>
          <w:bCs/>
          <w:kern w:val="2"/>
          <w:sz w:val="32"/>
          <w:szCs w:val="32"/>
          <w:lang w:val="en-US" w:eastAsia="zh-CN" w:bidi="ar-SA"/>
        </w:rPr>
        <w:t>（四）政府信息平台建设情况。</w:t>
      </w:r>
      <w:r>
        <w:rPr>
          <w:rFonts w:hint="eastAsia" w:ascii="仿宋_GB2312" w:hAnsi="仿宋_GB2312" w:eastAsia="仿宋_GB2312" w:cs="仿宋_GB2312"/>
          <w:kern w:val="2"/>
          <w:sz w:val="32"/>
          <w:szCs w:val="32"/>
          <w:lang w:val="en-US" w:eastAsia="zh-CN" w:bidi="ar-SA"/>
        </w:rPr>
        <w:t>按照县委</w:t>
      </w:r>
      <w:r>
        <w:rPr>
          <w:rFonts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县政府统一部署，</w:t>
      </w:r>
      <w:r>
        <w:rPr>
          <w:rFonts w:ascii="仿宋_GB2312" w:hAnsi="仿宋_GB2312" w:eastAsia="仿宋_GB2312" w:cs="仿宋_GB2312"/>
          <w:kern w:val="2"/>
          <w:sz w:val="32"/>
          <w:szCs w:val="32"/>
          <w:lang w:val="en-US" w:eastAsia="zh-CN" w:bidi="ar-SA"/>
        </w:rPr>
        <w:t>主动</w:t>
      </w:r>
      <w:r>
        <w:rPr>
          <w:rFonts w:hint="eastAsia" w:ascii="仿宋_GB2312" w:hAnsi="仿宋_GB2312" w:eastAsia="仿宋_GB2312" w:cs="仿宋_GB2312"/>
          <w:kern w:val="2"/>
          <w:sz w:val="32"/>
          <w:szCs w:val="32"/>
          <w:lang w:val="en-US" w:eastAsia="zh-CN" w:bidi="ar-SA"/>
        </w:rPr>
        <w:t>及时在网站、单位政务公开栏等公开各项工作，更新商务工作实时动态，不断丰富信息资源。</w:t>
      </w:r>
    </w:p>
    <w:p w14:paraId="5AB5743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645"/>
        <w:jc w:val="both"/>
        <w:textAlignment w:val="auto"/>
        <w:rPr>
          <w:rFonts w:hint="eastAsia" w:ascii="宋体" w:hAnsi="宋体" w:eastAsia="宋体" w:cs="宋体"/>
          <w:i w:val="0"/>
          <w:iCs w:val="0"/>
          <w:caps w:val="0"/>
          <w:smallCaps w:val="0"/>
          <w:color w:val="333333"/>
          <w:spacing w:val="0"/>
          <w:sz w:val="24"/>
          <w:szCs w:val="24"/>
        </w:rPr>
      </w:pPr>
      <w:r>
        <w:rPr>
          <w:rFonts w:hint="eastAsia" w:ascii="楷体_GB2312" w:hAnsi="楷体_GB2312" w:eastAsia="楷体_GB2312" w:cs="楷体_GB2312"/>
          <w:b/>
          <w:bCs/>
          <w:kern w:val="2"/>
          <w:sz w:val="32"/>
          <w:szCs w:val="32"/>
          <w:lang w:val="en-US" w:eastAsia="zh-CN" w:bidi="ar-SA"/>
        </w:rPr>
        <w:t>（五）政府信息监督保障情况。</w:t>
      </w:r>
      <w:r>
        <w:rPr>
          <w:rFonts w:hint="eastAsia" w:ascii="仿宋_GB2312" w:hAnsi="仿宋_GB2312" w:eastAsia="仿宋_GB2312" w:cs="仿宋_GB2312"/>
          <w:kern w:val="2"/>
          <w:sz w:val="32"/>
          <w:szCs w:val="32"/>
          <w:lang w:val="en-US" w:eastAsia="zh-CN" w:bidi="ar-SA"/>
        </w:rPr>
        <w:t>我局严格遵守信息员-股室负责人-主管副职-主要负责人层级审核机制，严格执行互联网网站和政务新媒体信息发布保密审查制度，尤其是在政府网站发布的信息，严格按要求填写《行政机关互联网网站和政务新媒体信息发布保密审查表》、《政务新媒体稿件送审签》，确保发布的信息内容不涉密、不泄密，确保政府网站信息发布程序规范。</w:t>
      </w:r>
    </w:p>
    <w:tbl>
      <w:tblPr>
        <w:tblStyle w:val="8"/>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2B81A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0A4542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第二十条第（一）项</w:t>
            </w:r>
          </w:p>
        </w:tc>
      </w:tr>
      <w:tr w14:paraId="27CF2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CAA5F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8B9CE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本年</w:t>
            </w:r>
            <w:r>
              <w:rPr>
                <w:rFonts w:hint="eastAsia" w:ascii="宋体" w:hAnsi="宋体" w:eastAsia="宋体" w:cs="宋体"/>
                <w:kern w:val="0"/>
                <w:sz w:val="20"/>
                <w:szCs w:val="20"/>
                <w:lang w:val="en-US" w:eastAsia="zh-CN"/>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B31B0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C3739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现行有效件</w:t>
            </w:r>
            <w:r>
              <w:rPr>
                <w:rFonts w:hint="eastAsia" w:ascii="宋体" w:hAnsi="宋体" w:eastAsia="宋体" w:cs="宋体"/>
                <w:kern w:val="0"/>
                <w:sz w:val="20"/>
                <w:szCs w:val="20"/>
                <w:lang w:val="en-US" w:eastAsia="zh-CN"/>
              </w:rPr>
              <w:t>数</w:t>
            </w:r>
          </w:p>
        </w:tc>
      </w:tr>
      <w:tr w14:paraId="56CF5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34B68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1A8A0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lang w:val="en-US"/>
              </w:rPr>
            </w:pPr>
            <w:r>
              <w:rPr>
                <w:rFonts w:hint="eastAsia" w:ascii="宋体" w:hAns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2557A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lang w:val="en-US"/>
              </w:rPr>
            </w:pPr>
            <w:r>
              <w:rPr>
                <w:rFonts w:hint="eastAsia" w:ascii="宋体" w:hAns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3E242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lang w:val="en-US"/>
              </w:rPr>
            </w:pPr>
            <w:r>
              <w:rPr>
                <w:rFonts w:ascii="Calibri" w:hAnsi="Calibri" w:eastAsia="宋体" w:cs="Calibri"/>
                <w:kern w:val="0"/>
                <w:sz w:val="21"/>
                <w:szCs w:val="21"/>
                <w:lang w:val="en-US" w:eastAsia="zh-CN"/>
              </w:rPr>
              <w:t> </w:t>
            </w:r>
            <w:r>
              <w:rPr>
                <w:rFonts w:hint="eastAsia" w:ascii="Calibri" w:hAnsi="Calibri" w:cs="Calibri"/>
                <w:kern w:val="0"/>
                <w:sz w:val="21"/>
                <w:szCs w:val="21"/>
                <w:lang w:val="en-US" w:eastAsia="zh-CN"/>
              </w:rPr>
              <w:t>0</w:t>
            </w:r>
          </w:p>
        </w:tc>
      </w:tr>
      <w:tr w14:paraId="71160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CB431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48EE8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lang w:val="en-US"/>
              </w:rPr>
            </w:pPr>
            <w:r>
              <w:rPr>
                <w:rFonts w:hint="eastAsia" w:ascii="宋体" w:hAns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B2BB0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lang w:val="en-US"/>
              </w:rPr>
            </w:pPr>
            <w:r>
              <w:rPr>
                <w:rFonts w:hint="eastAsia" w:ascii="宋体" w:hAns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B49EA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lang w:val="en-US"/>
              </w:rPr>
            </w:pPr>
            <w:r>
              <w:rPr>
                <w:rFonts w:ascii="Calibri" w:hAnsi="Calibri" w:eastAsia="宋体" w:cs="Calibri"/>
                <w:kern w:val="0"/>
                <w:sz w:val="21"/>
                <w:szCs w:val="21"/>
                <w:lang w:val="en-US" w:eastAsia="zh-CN"/>
              </w:rPr>
              <w:t> </w:t>
            </w:r>
            <w:r>
              <w:rPr>
                <w:rFonts w:hint="eastAsia" w:ascii="Calibri" w:hAnsi="Calibri" w:cs="Calibri"/>
                <w:kern w:val="0"/>
                <w:sz w:val="21"/>
                <w:szCs w:val="21"/>
                <w:lang w:val="en-US" w:eastAsia="zh-CN"/>
              </w:rPr>
              <w:t>0</w:t>
            </w:r>
          </w:p>
        </w:tc>
      </w:tr>
      <w:tr w14:paraId="454FE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6127A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第二十条第（五）项</w:t>
            </w:r>
          </w:p>
        </w:tc>
      </w:tr>
      <w:tr w14:paraId="33E1B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D144C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4706B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本年处理决定数量</w:t>
            </w:r>
          </w:p>
        </w:tc>
      </w:tr>
      <w:tr w14:paraId="47609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E1BE0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AE13D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lang w:val="en-US"/>
              </w:rPr>
            </w:pPr>
            <w:r>
              <w:rPr>
                <w:rFonts w:ascii="Calibri" w:hAnsi="Calibri" w:eastAsia="宋体" w:cs="Calibri"/>
                <w:kern w:val="0"/>
                <w:sz w:val="21"/>
                <w:szCs w:val="21"/>
                <w:lang w:val="en-US" w:eastAsia="zh-CN"/>
              </w:rPr>
              <w:t> </w:t>
            </w:r>
            <w:r>
              <w:rPr>
                <w:rFonts w:hint="eastAsia" w:ascii="Calibri" w:hAnsi="Calibri" w:cs="Calibri"/>
                <w:kern w:val="0"/>
                <w:sz w:val="21"/>
                <w:szCs w:val="21"/>
                <w:lang w:val="en-US" w:eastAsia="zh-CN"/>
              </w:rPr>
              <w:t>0</w:t>
            </w:r>
          </w:p>
        </w:tc>
      </w:tr>
      <w:tr w14:paraId="1641F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FA2DA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第二十条第（六）项</w:t>
            </w:r>
          </w:p>
        </w:tc>
      </w:tr>
      <w:tr w14:paraId="45AF0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8D2A2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5AB30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rPr>
              <w:t>本年处理决定数量</w:t>
            </w:r>
          </w:p>
        </w:tc>
      </w:tr>
      <w:tr w14:paraId="5A9F6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D347C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7CA5F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lang w:val="en-US"/>
              </w:rPr>
            </w:pPr>
            <w:r>
              <w:rPr>
                <w:rFonts w:hint="eastAsia" w:ascii="宋体" w:hAnsi="宋体" w:eastAsia="宋体" w:cs="宋体"/>
                <w:color w:val="000000"/>
                <w:kern w:val="0"/>
                <w:sz w:val="20"/>
                <w:szCs w:val="20"/>
                <w:lang w:val="en-US" w:eastAsia="zh-CN"/>
              </w:rPr>
              <w:t>　0</w:t>
            </w:r>
          </w:p>
        </w:tc>
      </w:tr>
      <w:tr w14:paraId="12E83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B2E65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91DBE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lang w:val="en-US"/>
              </w:rPr>
            </w:pPr>
            <w:r>
              <w:rPr>
                <w:rFonts w:hint="eastAsia" w:ascii="宋体" w:hAnsi="宋体" w:eastAsia="宋体" w:cs="宋体"/>
                <w:color w:val="000000"/>
                <w:kern w:val="0"/>
                <w:sz w:val="20"/>
                <w:szCs w:val="20"/>
                <w:lang w:val="en-US" w:eastAsia="zh-CN"/>
              </w:rPr>
              <w:t>　0</w:t>
            </w:r>
          </w:p>
        </w:tc>
      </w:tr>
      <w:tr w14:paraId="44513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231E7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第二十条第（八）项</w:t>
            </w:r>
          </w:p>
        </w:tc>
      </w:tr>
      <w:tr w14:paraId="17CA2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77305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3CBCDD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rPr>
              <w:t>本年收费金额（单位：万元）</w:t>
            </w:r>
          </w:p>
        </w:tc>
      </w:tr>
      <w:tr w14:paraId="58A97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2CBD0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68BEBAF1">
            <w:pPr>
              <w:rPr>
                <w:rFonts w:hint="eastAsia" w:ascii="宋体" w:eastAsia="宋体"/>
                <w:sz w:val="24"/>
                <w:szCs w:val="24"/>
                <w:lang w:val="en-US" w:eastAsia="zh-CN"/>
              </w:rPr>
            </w:pPr>
            <w:r>
              <w:rPr>
                <w:rFonts w:hint="eastAsia" w:ascii="宋体"/>
                <w:sz w:val="24"/>
                <w:szCs w:val="24"/>
                <w:lang w:val="en-US" w:eastAsia="zh-CN"/>
              </w:rPr>
              <w:t>0</w:t>
            </w:r>
          </w:p>
        </w:tc>
      </w:tr>
    </w:tbl>
    <w:p w14:paraId="70BE73AF">
      <w:pPr>
        <w:keepNext w:val="0"/>
        <w:keepLines w:val="0"/>
        <w:widowControl/>
        <w:suppressLineNumbers w:val="0"/>
        <w:jc w:val="left"/>
      </w:pPr>
    </w:p>
    <w:p w14:paraId="63160672">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420"/>
        <w:jc w:val="both"/>
        <w:textAlignment w:val="auto"/>
        <w:rPr>
          <w:rFonts w:hint="eastAsia" w:ascii="黑体" w:hAnsi="黑体" w:eastAsia="黑体" w:cs="黑体"/>
          <w:b/>
          <w:bCs/>
          <w:i w:val="0"/>
          <w:iCs w:val="0"/>
          <w:caps w:val="0"/>
          <w:smallCaps w:val="0"/>
          <w:color w:val="333333"/>
          <w:spacing w:val="0"/>
          <w:sz w:val="32"/>
          <w:szCs w:val="32"/>
          <w:shd w:val="clear" w:color="auto" w:fill="FFFFFF"/>
        </w:rPr>
      </w:pPr>
      <w:r>
        <w:rPr>
          <w:rFonts w:hint="eastAsia" w:ascii="黑体" w:hAnsi="黑体" w:eastAsia="黑体" w:cs="黑体"/>
          <w:b/>
          <w:bCs/>
          <w:i w:val="0"/>
          <w:iCs w:val="0"/>
          <w:caps w:val="0"/>
          <w:smallCaps w:val="0"/>
          <w:color w:val="333333"/>
          <w:spacing w:val="0"/>
          <w:sz w:val="32"/>
          <w:szCs w:val="32"/>
          <w:shd w:val="clear" w:color="auto" w:fill="FFFFFF"/>
        </w:rPr>
        <w:t>收到和处理政府信息公开申请情况</w:t>
      </w:r>
    </w:p>
    <w:p w14:paraId="490A1927">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420"/>
        <w:jc w:val="both"/>
        <w:rPr>
          <w:rFonts w:hint="eastAsia" w:ascii="宋体" w:hAnsi="宋体" w:eastAsia="宋体" w:cs="宋体"/>
          <w:i w:val="0"/>
          <w:iCs w:val="0"/>
          <w:caps w:val="0"/>
          <w:smallCaps w:val="0"/>
          <w:color w:val="333333"/>
          <w:spacing w:val="0"/>
          <w:sz w:val="24"/>
          <w:szCs w:val="24"/>
        </w:rPr>
      </w:pPr>
    </w:p>
    <w:tbl>
      <w:tblPr>
        <w:tblStyle w:val="8"/>
        <w:tblW w:w="9748"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072CF8F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BC5FF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7AE0E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申请人情况</w:t>
            </w:r>
          </w:p>
        </w:tc>
      </w:tr>
      <w:tr w14:paraId="1BD502E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0966E39"/>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26C619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2F769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5F2F3A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总计</w:t>
            </w:r>
          </w:p>
        </w:tc>
      </w:tr>
      <w:tr w14:paraId="098D0DF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26D663A"/>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19929372"/>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BDC9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商业</w:t>
            </w:r>
          </w:p>
          <w:p w14:paraId="238F8D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CE47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科研</w:t>
            </w:r>
          </w:p>
          <w:p w14:paraId="7E608C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6EDF1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CDD09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1B6F6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1FA6D130"/>
        </w:tc>
      </w:tr>
      <w:tr w14:paraId="202EBA6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40CED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CF8A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822E2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7752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903E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6DA15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2C81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1F3F24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01B057B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95BA7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825B3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2BA3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BF68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8B32C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EE51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A66C6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32E584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19D4C8F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D17F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74725E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2764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D713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DCA8A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C7C63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8B894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A0DEB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tcPr>
          <w:p w14:paraId="69252F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41CC713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464503C"/>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D4CF8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（二）部分公开</w:t>
            </w:r>
            <w:r>
              <w:rPr>
                <w:rFonts w:hint="eastAsia" w:ascii="楷体" w:hAnsi="楷体" w:eastAsia="楷体" w:cs="楷体"/>
                <w:kern w:val="0"/>
                <w:sz w:val="20"/>
                <w:szCs w:val="20"/>
                <w:lang w:val="en-US" w:eastAsia="zh-CN"/>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D0F0A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2D00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F2E1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D42A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8DB62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C6E6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1D24B2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7BB5306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EFB7CE7"/>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77DC0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1E21BE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53E587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0366A8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2762F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26016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8C0EE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B100C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tcPr>
          <w:p w14:paraId="2A32FA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4D0B6AE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2473D11"/>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2D8D982"/>
        </w:tc>
        <w:tc>
          <w:tcPr>
            <w:tcW w:w="3220" w:type="dxa"/>
            <w:tcBorders>
              <w:top w:val="nil"/>
              <w:left w:val="nil"/>
              <w:bottom w:val="single" w:color="auto" w:sz="8" w:space="0"/>
              <w:right w:val="single" w:color="auto" w:sz="8" w:space="0"/>
            </w:tcBorders>
            <w:shd w:val="clear" w:color="auto" w:fill="auto"/>
            <w:tcMar>
              <w:left w:w="57" w:type="dxa"/>
              <w:right w:w="57" w:type="dxa"/>
            </w:tcMar>
          </w:tcPr>
          <w:p w14:paraId="295C6F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98B78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31A72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1A4C3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0EF4F4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90B82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7D33D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0F0D2D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0458AAE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E917978"/>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843BBDC"/>
        </w:tc>
        <w:tc>
          <w:tcPr>
            <w:tcW w:w="3220" w:type="dxa"/>
            <w:tcBorders>
              <w:top w:val="nil"/>
              <w:left w:val="nil"/>
              <w:bottom w:val="single" w:color="auto" w:sz="8" w:space="0"/>
              <w:right w:val="single" w:color="auto" w:sz="8" w:space="0"/>
            </w:tcBorders>
            <w:shd w:val="clear" w:color="auto" w:fill="auto"/>
            <w:tcMar>
              <w:left w:w="57" w:type="dxa"/>
              <w:right w:w="57" w:type="dxa"/>
            </w:tcMar>
          </w:tcPr>
          <w:p w14:paraId="0C0327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116C4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E84BE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021586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031CF9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B4064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65762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686324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2650556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11C8A64"/>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E0DAA50"/>
        </w:tc>
        <w:tc>
          <w:tcPr>
            <w:tcW w:w="3220" w:type="dxa"/>
            <w:tcBorders>
              <w:top w:val="nil"/>
              <w:left w:val="nil"/>
              <w:bottom w:val="single" w:color="auto" w:sz="8" w:space="0"/>
              <w:right w:val="single" w:color="auto" w:sz="8" w:space="0"/>
            </w:tcBorders>
            <w:shd w:val="clear" w:color="auto" w:fill="auto"/>
            <w:tcMar>
              <w:left w:w="57" w:type="dxa"/>
              <w:right w:w="57" w:type="dxa"/>
            </w:tcMar>
          </w:tcPr>
          <w:p w14:paraId="4E87F1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5CD112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92FFC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1D4D5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077E8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A357F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9FA49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3D3400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r>
      <w:tr w14:paraId="06F1C42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67B5B9F"/>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6175069"/>
        </w:tc>
        <w:tc>
          <w:tcPr>
            <w:tcW w:w="3220" w:type="dxa"/>
            <w:tcBorders>
              <w:top w:val="nil"/>
              <w:left w:val="nil"/>
              <w:bottom w:val="single" w:color="auto" w:sz="8" w:space="0"/>
              <w:right w:val="single" w:color="auto" w:sz="8" w:space="0"/>
            </w:tcBorders>
            <w:shd w:val="clear" w:color="auto" w:fill="auto"/>
            <w:tcMar>
              <w:left w:w="57" w:type="dxa"/>
              <w:right w:w="57" w:type="dxa"/>
            </w:tcMar>
          </w:tcPr>
          <w:p w14:paraId="0FEFF3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EB0CB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5C6C00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A2EAF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DC180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81F7D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AF2E6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1D96B6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62297EA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662EADF"/>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CDF9382"/>
        </w:tc>
        <w:tc>
          <w:tcPr>
            <w:tcW w:w="3220" w:type="dxa"/>
            <w:tcBorders>
              <w:top w:val="nil"/>
              <w:left w:val="nil"/>
              <w:bottom w:val="single" w:color="auto" w:sz="8" w:space="0"/>
              <w:right w:val="single" w:color="auto" w:sz="8" w:space="0"/>
            </w:tcBorders>
            <w:shd w:val="clear" w:color="auto" w:fill="auto"/>
            <w:tcMar>
              <w:left w:w="57" w:type="dxa"/>
              <w:right w:w="57" w:type="dxa"/>
            </w:tcMar>
          </w:tcPr>
          <w:p w14:paraId="499603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B4EBE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31CA5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7346D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768F0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3829B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C6E73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4B793D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43A7BF1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6E3C2D4"/>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BBEF5CF"/>
        </w:tc>
        <w:tc>
          <w:tcPr>
            <w:tcW w:w="3220" w:type="dxa"/>
            <w:tcBorders>
              <w:top w:val="nil"/>
              <w:left w:val="nil"/>
              <w:bottom w:val="single" w:color="auto" w:sz="8" w:space="0"/>
              <w:right w:val="single" w:color="auto" w:sz="8" w:space="0"/>
            </w:tcBorders>
            <w:shd w:val="clear" w:color="auto" w:fill="auto"/>
            <w:tcMar>
              <w:left w:w="57" w:type="dxa"/>
              <w:right w:w="57" w:type="dxa"/>
            </w:tcMar>
          </w:tcPr>
          <w:p w14:paraId="7529AD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698DF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5CB667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1D939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AAE8E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0C65E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30EA0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3D6D11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2CF3C00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030FC17"/>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4300AF6"/>
        </w:tc>
        <w:tc>
          <w:tcPr>
            <w:tcW w:w="3220" w:type="dxa"/>
            <w:tcBorders>
              <w:top w:val="nil"/>
              <w:left w:val="nil"/>
              <w:bottom w:val="single" w:color="auto" w:sz="8" w:space="0"/>
              <w:right w:val="single" w:color="auto" w:sz="8" w:space="0"/>
            </w:tcBorders>
            <w:shd w:val="clear" w:color="auto" w:fill="auto"/>
            <w:tcMar>
              <w:left w:w="57" w:type="dxa"/>
              <w:right w:w="57" w:type="dxa"/>
            </w:tcMar>
          </w:tcPr>
          <w:p w14:paraId="481CD0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48ADD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357DB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2B2D6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A0A7E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F24BE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5DA860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2B961E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r>
      <w:tr w14:paraId="3DDBD12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B00ECB9"/>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B9470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0A8BE5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A5C67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25C71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D9664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E8901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DAF1E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2747D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16AF47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2B3D9D3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9003F3D"/>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9A01D8D"/>
        </w:tc>
        <w:tc>
          <w:tcPr>
            <w:tcW w:w="3220" w:type="dxa"/>
            <w:tcBorders>
              <w:top w:val="nil"/>
              <w:left w:val="nil"/>
              <w:bottom w:val="single" w:color="auto" w:sz="8" w:space="0"/>
              <w:right w:val="single" w:color="auto" w:sz="8" w:space="0"/>
            </w:tcBorders>
            <w:shd w:val="clear" w:color="auto" w:fill="auto"/>
            <w:tcMar>
              <w:left w:w="57" w:type="dxa"/>
              <w:right w:w="57" w:type="dxa"/>
            </w:tcMar>
          </w:tcPr>
          <w:p w14:paraId="311DD9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FAC92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6838E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D8971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D4538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55407D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BA81E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31EA1A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728C41F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8C9F534"/>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A405665"/>
        </w:tc>
        <w:tc>
          <w:tcPr>
            <w:tcW w:w="3220" w:type="dxa"/>
            <w:tcBorders>
              <w:top w:val="nil"/>
              <w:left w:val="nil"/>
              <w:bottom w:val="single" w:color="auto" w:sz="8" w:space="0"/>
              <w:right w:val="single" w:color="auto" w:sz="8" w:space="0"/>
            </w:tcBorders>
            <w:shd w:val="clear" w:color="auto" w:fill="auto"/>
            <w:tcMar>
              <w:left w:w="57" w:type="dxa"/>
              <w:right w:w="57" w:type="dxa"/>
            </w:tcMar>
          </w:tcPr>
          <w:p w14:paraId="12E705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922A3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70FF8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56D0B0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B7C00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2E9D3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8DAF6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2110BA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r>
      <w:tr w14:paraId="14E7633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2EC1621"/>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0FD041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362483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9BDF0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6C78F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025FDB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60CFD1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59803C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0AE626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516FCD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73BFBD6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F94A4DA"/>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0AFBB9C"/>
        </w:tc>
        <w:tc>
          <w:tcPr>
            <w:tcW w:w="3220" w:type="dxa"/>
            <w:tcBorders>
              <w:top w:val="nil"/>
              <w:left w:val="nil"/>
              <w:bottom w:val="single" w:color="auto" w:sz="8" w:space="0"/>
              <w:right w:val="single" w:color="auto" w:sz="8" w:space="0"/>
            </w:tcBorders>
            <w:shd w:val="clear" w:color="auto" w:fill="auto"/>
            <w:tcMar>
              <w:left w:w="57" w:type="dxa"/>
              <w:right w:w="57" w:type="dxa"/>
            </w:tcMar>
          </w:tcPr>
          <w:p w14:paraId="531C6A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56B47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CD9C1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7A2F8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039EF1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992BF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B49E8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0852F9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08E1B3B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E00FBA2"/>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AC08374"/>
        </w:tc>
        <w:tc>
          <w:tcPr>
            <w:tcW w:w="3220" w:type="dxa"/>
            <w:tcBorders>
              <w:top w:val="nil"/>
              <w:left w:val="nil"/>
              <w:bottom w:val="single" w:color="auto" w:sz="8" w:space="0"/>
              <w:right w:val="single" w:color="auto" w:sz="8" w:space="0"/>
            </w:tcBorders>
            <w:shd w:val="clear" w:color="auto" w:fill="auto"/>
            <w:tcMar>
              <w:left w:w="57" w:type="dxa"/>
              <w:right w:w="57" w:type="dxa"/>
            </w:tcMar>
          </w:tcPr>
          <w:p w14:paraId="681A0D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29154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EA37B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B823D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2CB02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2818DE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0C442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5DD9C8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14E426D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BDA5D8F"/>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9B3C6C0"/>
        </w:tc>
        <w:tc>
          <w:tcPr>
            <w:tcW w:w="3220" w:type="dxa"/>
            <w:tcBorders>
              <w:top w:val="nil"/>
              <w:left w:val="nil"/>
              <w:bottom w:val="single" w:color="auto" w:sz="8" w:space="0"/>
              <w:right w:val="single" w:color="auto" w:sz="8" w:space="0"/>
            </w:tcBorders>
            <w:shd w:val="clear" w:color="auto" w:fill="auto"/>
            <w:tcMar>
              <w:left w:w="57" w:type="dxa"/>
              <w:right w:w="57" w:type="dxa"/>
            </w:tcMar>
          </w:tcPr>
          <w:p w14:paraId="784409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34FA27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745D4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41E54E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14B3F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104FC3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tcPr>
          <w:p w14:paraId="7F5EFF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7E5439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r>
      <w:tr w14:paraId="06382E2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B959DD2"/>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9E11DD8"/>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5D27D6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tcPr>
          <w:p w14:paraId="00B1E0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outset" w:color="auto" w:sz="8" w:space="0"/>
              <w:right w:val="single" w:color="auto" w:sz="8" w:space="0"/>
            </w:tcBorders>
            <w:shd w:val="clear" w:color="auto" w:fill="auto"/>
            <w:tcMar>
              <w:left w:w="57" w:type="dxa"/>
              <w:right w:w="57" w:type="dxa"/>
            </w:tcMar>
          </w:tcPr>
          <w:p w14:paraId="3DDBD1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tcPr>
          <w:p w14:paraId="311FBD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outset" w:color="auto" w:sz="8" w:space="0"/>
              <w:right w:val="single" w:color="auto" w:sz="8" w:space="0"/>
            </w:tcBorders>
            <w:shd w:val="clear" w:color="auto" w:fill="auto"/>
            <w:tcMar>
              <w:left w:w="57" w:type="dxa"/>
              <w:right w:w="57" w:type="dxa"/>
            </w:tcMar>
          </w:tcPr>
          <w:p w14:paraId="38DD10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tcPr>
          <w:p w14:paraId="667C98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outset" w:color="auto" w:sz="8" w:space="0"/>
              <w:right w:val="single" w:color="auto" w:sz="8" w:space="0"/>
            </w:tcBorders>
            <w:shd w:val="clear" w:color="auto" w:fill="auto"/>
            <w:tcMar>
              <w:left w:w="57" w:type="dxa"/>
              <w:right w:w="57" w:type="dxa"/>
            </w:tcMar>
          </w:tcPr>
          <w:p w14:paraId="35604D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outset" w:color="auto" w:sz="8" w:space="0"/>
              <w:right w:val="single" w:color="auto" w:sz="8" w:space="0"/>
            </w:tcBorders>
            <w:shd w:val="clear" w:color="auto" w:fill="auto"/>
            <w:tcMar>
              <w:left w:w="57" w:type="dxa"/>
              <w:right w:w="57" w:type="dxa"/>
            </w:tcMar>
          </w:tcPr>
          <w:p w14:paraId="503636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4B6CF47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C358DA6"/>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68955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0562B7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0AA4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3441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08B6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988C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DA2F5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D018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58E4F2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5AB0CB3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066F697"/>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F209BF4"/>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28362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79AD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D177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C7E2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1FEE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F4B2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88D4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790D37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47B2FE9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5D135B2"/>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9D379C5"/>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1F523C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8670B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63A4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8710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FE31A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4A0A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5605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751F7C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4A7EECA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A65D9AC"/>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A53E8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A8DF4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9B0B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9027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3B3A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F4D3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FA8B2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34B414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r>
      <w:tr w14:paraId="77ED5CF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912A4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EAF0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62FB0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lang w:val="en-US"/>
              </w:rPr>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74BD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BF9C0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8069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6A07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rPr>
              <w:t>0</w:t>
            </w:r>
            <w:r>
              <w:rPr>
                <w:rFonts w:ascii="Calibri" w:hAnsi="Calibri" w:eastAsia="宋体" w:cs="Calibri"/>
                <w:kern w:val="0"/>
                <w:sz w:val="20"/>
                <w:szCs w:val="20"/>
                <w:lang w:val="en-US" w:eastAsia="zh-CN"/>
              </w:rPr>
              <w:t> </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157FF98C">
            <w:pPr>
              <w:rPr>
                <w:rFonts w:hint="eastAsia" w:ascii="宋体" w:eastAsia="宋体"/>
                <w:sz w:val="24"/>
                <w:szCs w:val="24"/>
                <w:lang w:val="en-US" w:eastAsia="zh-CN"/>
              </w:rPr>
            </w:pPr>
            <w:r>
              <w:rPr>
                <w:rFonts w:hint="eastAsia" w:ascii="宋体"/>
                <w:sz w:val="24"/>
                <w:szCs w:val="24"/>
                <w:lang w:val="en-US" w:eastAsia="zh-CN"/>
              </w:rPr>
              <w:t>0</w:t>
            </w:r>
          </w:p>
        </w:tc>
      </w:tr>
    </w:tbl>
    <w:p w14:paraId="35017B83">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eastAsia" w:ascii="宋体" w:hAnsi="宋体" w:eastAsia="宋体" w:cs="宋体"/>
          <w:i w:val="0"/>
          <w:iCs w:val="0"/>
          <w:caps w:val="0"/>
          <w:smallCaps w:val="0"/>
          <w:color w:val="333333"/>
          <w:spacing w:val="0"/>
          <w:sz w:val="24"/>
          <w:szCs w:val="24"/>
        </w:rPr>
      </w:pPr>
    </w:p>
    <w:p w14:paraId="1E4A642E">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420"/>
        <w:jc w:val="both"/>
        <w:textAlignment w:val="auto"/>
        <w:rPr>
          <w:rFonts w:hint="eastAsia" w:ascii="黑体" w:hAnsi="黑体" w:eastAsia="黑体" w:cs="黑体"/>
          <w:b/>
          <w:bCs/>
          <w:i w:val="0"/>
          <w:iCs w:val="0"/>
          <w:caps w:val="0"/>
          <w:smallCaps w:val="0"/>
          <w:color w:val="333333"/>
          <w:spacing w:val="0"/>
          <w:sz w:val="32"/>
          <w:szCs w:val="32"/>
          <w:shd w:val="clear" w:color="auto" w:fill="FFFFFF"/>
        </w:rPr>
      </w:pPr>
      <w:r>
        <w:rPr>
          <w:rFonts w:hint="eastAsia" w:ascii="黑体" w:hAnsi="黑体" w:eastAsia="黑体" w:cs="黑体"/>
          <w:b/>
          <w:bCs/>
          <w:i w:val="0"/>
          <w:iCs w:val="0"/>
          <w:caps w:val="0"/>
          <w:smallCaps w:val="0"/>
          <w:color w:val="333333"/>
          <w:spacing w:val="0"/>
          <w:sz w:val="32"/>
          <w:szCs w:val="32"/>
          <w:shd w:val="clear" w:color="auto" w:fill="FFFFFF"/>
        </w:rPr>
        <w:t>政府信息公开行政复议、行政诉讼情况</w:t>
      </w:r>
    </w:p>
    <w:p w14:paraId="7FEB8CE7">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eastAsia" w:ascii="宋体" w:hAnsi="宋体" w:eastAsia="宋体" w:cs="宋体"/>
          <w:i w:val="0"/>
          <w:iCs w:val="0"/>
          <w:caps w:val="0"/>
          <w:smallCaps w:val="0"/>
          <w:color w:val="333333"/>
          <w:spacing w:val="0"/>
          <w:sz w:val="24"/>
          <w:szCs w:val="24"/>
        </w:rPr>
      </w:pPr>
    </w:p>
    <w:tbl>
      <w:tblPr>
        <w:tblStyle w:val="8"/>
        <w:tblW w:w="9748"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1D8C703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4EBF6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E6D64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行政诉讼</w:t>
            </w:r>
          </w:p>
        </w:tc>
      </w:tr>
      <w:tr w14:paraId="13C8B86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C01C4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2522B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结果</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988FC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其他</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DEEBE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尚未</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0D2B9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DD2F0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7C83C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复议后起诉</w:t>
            </w:r>
          </w:p>
        </w:tc>
      </w:tr>
      <w:tr w14:paraId="3316969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6E2CDBE"/>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694F7BA"/>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4146686"/>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99CE961"/>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A4B8B42"/>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4C8BE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结果</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74323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结果</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2953B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其他</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6BEE5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尚未</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BB89A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75FED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结果</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40519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结果</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61DB0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rPr>
              <w:t>其他</w:t>
            </w:r>
            <w:r>
              <w:rPr>
                <w:rFonts w:hint="eastAsia" w:ascii="宋体" w:hAnsi="宋体" w:eastAsia="宋体" w:cs="宋体"/>
                <w:color w:val="000000"/>
                <w:kern w:val="0"/>
                <w:sz w:val="20"/>
                <w:szCs w:val="20"/>
                <w:lang w:val="en-US" w:eastAsia="zh-CN"/>
              </w:rPr>
              <w:br w:type="textWrapping"/>
            </w:r>
            <w:r>
              <w:rPr>
                <w:rFonts w:hint="eastAsia" w:ascii="宋体" w:hAnsi="宋体" w:eastAsia="宋体" w:cs="宋体"/>
                <w:color w:val="000000"/>
                <w:kern w:val="0"/>
                <w:sz w:val="20"/>
                <w:szCs w:val="20"/>
                <w:lang w:val="en-US" w:eastAsia="zh-CN"/>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D7FE5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rPr>
              <w:t>尚未</w:t>
            </w:r>
            <w:r>
              <w:rPr>
                <w:rFonts w:hint="eastAsia" w:ascii="宋体" w:hAnsi="宋体" w:eastAsia="宋体" w:cs="宋体"/>
                <w:kern w:val="0"/>
                <w:sz w:val="20"/>
                <w:szCs w:val="20"/>
                <w:lang w:val="en-US" w:eastAsia="zh-CN"/>
              </w:rPr>
              <w:br w:type="textWrapping"/>
            </w:r>
            <w:r>
              <w:rPr>
                <w:rFonts w:hint="eastAsia" w:ascii="宋体" w:hAnsi="宋体" w:eastAsia="宋体" w:cs="宋体"/>
                <w:kern w:val="0"/>
                <w:sz w:val="20"/>
                <w:szCs w:val="20"/>
                <w:lang w:val="en-US" w:eastAsia="zh-CN"/>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62880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rPr>
              <w:t>总计</w:t>
            </w:r>
          </w:p>
        </w:tc>
      </w:tr>
      <w:tr w14:paraId="1270338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6425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ascii="黑体" w:hAnsi="宋体" w:eastAsia="黑体" w:cs="黑体"/>
                <w:kern w:val="0"/>
                <w:sz w:val="20"/>
                <w:szCs w:val="20"/>
                <w:lang w:val="en-US" w:eastAsia="zh-CN"/>
              </w:rPr>
              <w:t> </w:t>
            </w:r>
            <w:r>
              <w:rPr>
                <w:rFonts w:hint="eastAsia" w:ascii="黑体" w:hAnsi="宋体" w:eastAsia="黑体" w:cs="黑体"/>
                <w:kern w:val="0"/>
                <w:sz w:val="20"/>
                <w:szCs w:val="20"/>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652C9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hint="eastAsia" w:ascii="黑体" w:hAnsi="宋体" w:eastAsia="黑体" w:cs="黑体"/>
                <w:kern w:val="0"/>
                <w:sz w:val="20"/>
                <w:szCs w:val="20"/>
                <w:lang w:val="en-US" w:eastAsia="zh-CN"/>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CD54E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hint="eastAsia" w:ascii="黑体" w:hAnsi="宋体" w:eastAsia="黑体" w:cs="黑体"/>
                <w:kern w:val="0"/>
                <w:sz w:val="20"/>
                <w:szCs w:val="20"/>
                <w:lang w:val="en-US" w:eastAsia="zh-CN"/>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27E0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hint="eastAsia" w:ascii="黑体" w:hAnsi="宋体" w:eastAsia="黑体" w:cs="黑体"/>
                <w:kern w:val="0"/>
                <w:sz w:val="20"/>
                <w:szCs w:val="20"/>
                <w:lang w:val="en-US" w:eastAsia="zh-CN"/>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1224D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3C7CE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hint="eastAsia" w:ascii="黑体" w:hAnsi="宋体" w:eastAsia="黑体" w:cs="黑体"/>
                <w:kern w:val="0"/>
                <w:sz w:val="20"/>
                <w:szCs w:val="20"/>
                <w:lang w:val="en-US" w:eastAsia="zh-CN"/>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201DD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hint="eastAsia" w:ascii="黑体" w:hAnsi="宋体" w:eastAsia="黑体" w:cs="黑体"/>
                <w:kern w:val="0"/>
                <w:sz w:val="20"/>
                <w:szCs w:val="20"/>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2D4FC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hint="eastAsia" w:ascii="黑体" w:hAnsi="宋体" w:eastAsia="黑体" w:cs="黑体"/>
                <w:kern w:val="0"/>
                <w:sz w:val="20"/>
                <w:szCs w:val="20"/>
                <w:lang w:val="en-US" w:eastAsia="zh-CN"/>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6D59F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hint="eastAsia" w:ascii="黑体" w:hAnsi="宋体" w:eastAsia="黑体" w:cs="黑体"/>
                <w:kern w:val="0"/>
                <w:sz w:val="20"/>
                <w:szCs w:val="20"/>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350CF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30016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hint="eastAsia" w:ascii="黑体" w:hAnsi="宋体" w:eastAsia="黑体" w:cs="黑体"/>
                <w:kern w:val="0"/>
                <w:sz w:val="20"/>
                <w:szCs w:val="20"/>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BF7D6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72FAF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lang w:val="en-US"/>
              </w:rPr>
            </w:pPr>
            <w:r>
              <w:rPr>
                <w:rFonts w:hint="eastAsia" w:ascii="黑体" w:hAnsi="宋体" w:eastAsia="黑体" w:cs="黑体"/>
                <w:kern w:val="0"/>
                <w:sz w:val="20"/>
                <w:szCs w:val="20"/>
                <w:lang w:val="en-US" w:eastAsia="zh-CN"/>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C08AD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1712564">
            <w:pPr>
              <w:rPr>
                <w:rFonts w:hint="eastAsia" w:ascii="宋体" w:eastAsia="宋体"/>
                <w:sz w:val="24"/>
                <w:szCs w:val="24"/>
                <w:lang w:val="en-US" w:eastAsia="zh-CN"/>
              </w:rPr>
            </w:pPr>
            <w:r>
              <w:rPr>
                <w:rFonts w:hint="eastAsia" w:ascii="宋体"/>
                <w:sz w:val="24"/>
                <w:szCs w:val="24"/>
                <w:lang w:val="en-US" w:eastAsia="zh-CN"/>
              </w:rPr>
              <w:t>0</w:t>
            </w:r>
          </w:p>
        </w:tc>
      </w:tr>
    </w:tbl>
    <w:p w14:paraId="16283336">
      <w:pPr>
        <w:keepNext w:val="0"/>
        <w:keepLines w:val="0"/>
        <w:widowControl/>
        <w:suppressLineNumbers w:val="0"/>
        <w:jc w:val="left"/>
      </w:pPr>
    </w:p>
    <w:p w14:paraId="684EFD1E">
      <w:pPr>
        <w:pStyle w:val="7"/>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right="0" w:rightChars="0" w:firstLine="643" w:firstLineChars="200"/>
        <w:jc w:val="both"/>
        <w:textAlignment w:val="auto"/>
        <w:rPr>
          <w:rFonts w:hint="eastAsia" w:ascii="黑体" w:hAnsi="黑体" w:eastAsia="黑体" w:cs="黑体"/>
          <w:b/>
          <w:bCs/>
          <w:i w:val="0"/>
          <w:iCs w:val="0"/>
          <w:caps w:val="0"/>
          <w:smallCaps w:val="0"/>
          <w:color w:val="333333"/>
          <w:spacing w:val="0"/>
          <w:sz w:val="32"/>
          <w:szCs w:val="32"/>
          <w:shd w:val="clear" w:color="auto" w:fill="FFFFFF"/>
        </w:rPr>
      </w:pPr>
      <w:bookmarkStart w:id="0" w:name="_GoBack"/>
      <w:bookmarkEnd w:id="0"/>
      <w:r>
        <w:rPr>
          <w:rFonts w:hint="eastAsia" w:ascii="黑体" w:hAnsi="黑体" w:eastAsia="黑体" w:cs="黑体"/>
          <w:b/>
          <w:bCs/>
          <w:i w:val="0"/>
          <w:iCs w:val="0"/>
          <w:caps w:val="0"/>
          <w:smallCaps w:val="0"/>
          <w:color w:val="333333"/>
          <w:spacing w:val="0"/>
          <w:sz w:val="32"/>
          <w:szCs w:val="32"/>
          <w:shd w:val="clear" w:color="auto" w:fill="FFFFFF"/>
          <w:lang w:val="en-US" w:eastAsia="zh-CN"/>
        </w:rPr>
        <w:t>四、</w:t>
      </w:r>
      <w:r>
        <w:rPr>
          <w:rFonts w:hint="eastAsia" w:ascii="黑体" w:hAnsi="黑体" w:eastAsia="黑体" w:cs="黑体"/>
          <w:b/>
          <w:bCs/>
          <w:i w:val="0"/>
          <w:iCs w:val="0"/>
          <w:caps w:val="0"/>
          <w:smallCaps w:val="0"/>
          <w:color w:val="333333"/>
          <w:spacing w:val="0"/>
          <w:sz w:val="32"/>
          <w:szCs w:val="32"/>
          <w:shd w:val="clear" w:color="auto" w:fill="FFFFFF"/>
        </w:rPr>
        <w:t>存在的主要问题及改进情况</w:t>
      </w:r>
    </w:p>
    <w:p w14:paraId="13193A5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645"/>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w:t>
      </w:r>
      <w:r>
        <w:rPr>
          <w:rFonts w:ascii="仿宋_GB2312" w:hAnsi="仿宋_GB2312" w:eastAsia="仿宋_GB2312" w:cs="仿宋_GB2312"/>
          <w:kern w:val="2"/>
          <w:sz w:val="32"/>
          <w:szCs w:val="32"/>
          <w:lang w:val="en-US" w:eastAsia="zh-CN" w:bidi="ar-SA"/>
        </w:rPr>
        <w:t>5</w:t>
      </w:r>
      <w:r>
        <w:rPr>
          <w:rFonts w:hint="eastAsia" w:ascii="仿宋_GB2312" w:hAnsi="仿宋_GB2312" w:eastAsia="仿宋_GB2312" w:cs="仿宋_GB2312"/>
          <w:kern w:val="2"/>
          <w:sz w:val="32"/>
          <w:szCs w:val="32"/>
          <w:lang w:val="en-US" w:eastAsia="zh-CN" w:bidi="ar-SA"/>
        </w:rPr>
        <w:t>年，我局政府信息公开工作在深化政府信息公开内容，完善政府信息公开的体制机制等方面取得了新的进展，但主动公开政府信息内容与公众的需求还存在一些差距</w:t>
      </w:r>
      <w:r>
        <w:rPr>
          <w:rFonts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具体表现在</w:t>
      </w:r>
      <w:r>
        <w:rPr>
          <w:rFonts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一是对政府信息公开工作的必要性认识仍需进一步提高；二是公开内容有待进一步深化。</w:t>
      </w:r>
    </w:p>
    <w:p w14:paraId="157036D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645"/>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改进措施：一是加强宣传教育。通过召开专门的会议，向具体负责信息公开工作的工作人员宣讲有关政府信息公开的政策法规,当前推进政府信息公开的必要性，提高对政府信息公开的思想认识</w:t>
      </w:r>
      <w:r>
        <w:rPr>
          <w:rFonts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二是加强督查指导。不定期地对全局各科室信息公开工作进行督促检查，总结推广好的经验做法，及时发现并解决工作中存在的问题，推动政府信息公开工作</w:t>
      </w:r>
      <w:r>
        <w:rPr>
          <w:rFonts w:ascii="仿宋_GB2312" w:hAnsi="仿宋_GB2312" w:eastAsia="仿宋_GB2312" w:cs="仿宋_GB2312"/>
          <w:kern w:val="2"/>
          <w:sz w:val="32"/>
          <w:szCs w:val="32"/>
          <w:lang w:val="en-US" w:eastAsia="zh-CN" w:bidi="ar-SA"/>
        </w:rPr>
        <w:t>健康</w:t>
      </w:r>
      <w:r>
        <w:rPr>
          <w:rFonts w:hint="eastAsia" w:ascii="仿宋_GB2312" w:hAnsi="仿宋_GB2312" w:eastAsia="仿宋_GB2312" w:cs="仿宋_GB2312"/>
          <w:kern w:val="2"/>
          <w:sz w:val="32"/>
          <w:szCs w:val="32"/>
          <w:lang w:val="en-US" w:eastAsia="zh-CN" w:bidi="ar-SA"/>
        </w:rPr>
        <w:t>开展。</w:t>
      </w:r>
    </w:p>
    <w:p w14:paraId="251B72E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643" w:firstLineChars="200"/>
        <w:jc w:val="both"/>
        <w:textAlignment w:val="auto"/>
        <w:rPr>
          <w:rFonts w:hint="eastAsia" w:ascii="黑体" w:hAnsi="黑体" w:eastAsia="黑体" w:cs="黑体"/>
          <w:b/>
          <w:bCs/>
          <w:i w:val="0"/>
          <w:iCs w:val="0"/>
          <w:caps w:val="0"/>
          <w:smallCaps w:val="0"/>
          <w:color w:val="333333"/>
          <w:spacing w:val="0"/>
          <w:sz w:val="32"/>
          <w:szCs w:val="32"/>
          <w:shd w:val="clear" w:color="auto" w:fill="FFFFFF"/>
        </w:rPr>
      </w:pPr>
      <w:r>
        <w:rPr>
          <w:rFonts w:hint="eastAsia" w:ascii="黑体" w:hAnsi="黑体" w:eastAsia="黑体" w:cs="黑体"/>
          <w:b/>
          <w:bCs/>
          <w:i w:val="0"/>
          <w:iCs w:val="0"/>
          <w:caps w:val="0"/>
          <w:smallCaps w:val="0"/>
          <w:color w:val="333333"/>
          <w:spacing w:val="0"/>
          <w:sz w:val="32"/>
          <w:szCs w:val="32"/>
          <w:shd w:val="clear" w:color="auto" w:fill="FFFFFF"/>
          <w:lang w:val="en-US" w:eastAsia="zh-CN"/>
        </w:rPr>
        <w:t>五、</w:t>
      </w:r>
      <w:r>
        <w:rPr>
          <w:rFonts w:hint="eastAsia" w:ascii="黑体" w:hAnsi="黑体" w:eastAsia="黑体" w:cs="黑体"/>
          <w:b/>
          <w:bCs/>
          <w:i w:val="0"/>
          <w:iCs w:val="0"/>
          <w:caps w:val="0"/>
          <w:smallCaps w:val="0"/>
          <w:color w:val="333333"/>
          <w:spacing w:val="0"/>
          <w:sz w:val="32"/>
          <w:szCs w:val="32"/>
          <w:shd w:val="clear" w:color="auto" w:fill="FFFFFF"/>
        </w:rPr>
        <w:t>其他需要报告的事项</w:t>
      </w:r>
    </w:p>
    <w:p w14:paraId="58B9F0B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right="0" w:firstLine="640"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2025年，商务局没有收取信息处理费。无其他需要报告的事项。</w:t>
      </w:r>
    </w:p>
    <w:p w14:paraId="5B7CADD3">
      <w:pPr>
        <w:rPr>
          <w:rFonts w:hint="default" w:ascii="仿宋_GB2312" w:hAnsi="仿宋_GB2312" w:eastAsia="仿宋_GB2312" w:cs="仿宋_GB2312"/>
          <w:kern w:val="2"/>
          <w:sz w:val="32"/>
          <w:szCs w:val="32"/>
          <w:lang w:val="en-US" w:eastAsia="zh-CN" w:bidi="ar-SA"/>
        </w:rPr>
      </w:pPr>
      <w:r>
        <w:rPr>
          <w:rFonts w:hint="eastAsia"/>
          <w:lang w:val="en-US" w:eastAsia="zh-CN"/>
        </w:rPr>
        <w:t xml:space="preserve">                                                                </w:t>
      </w:r>
      <w:r>
        <w:rPr>
          <w:rFonts w:hint="eastAsia" w:ascii="仿宋_GB2312" w:hAnsi="仿宋_GB2312" w:eastAsia="仿宋_GB2312" w:cs="仿宋_GB2312"/>
          <w:kern w:val="2"/>
          <w:sz w:val="32"/>
          <w:szCs w:val="32"/>
          <w:lang w:val="en-US" w:eastAsia="zh-CN" w:bidi="ar-SA"/>
        </w:rPr>
        <w:t>2026年1月8日</w:t>
      </w:r>
    </w:p>
    <w:sectPr>
      <w:footerReference r:id="rId3" w:type="default"/>
      <w:pgSz w:w="11906" w:h="16838"/>
      <w:pgMar w:top="1814" w:right="1417" w:bottom="1701" w:left="141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8D50DD">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CB0DBD">
                          <w:pPr>
                            <w:pStyle w:val="5"/>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DCB0DBD">
                    <w:pPr>
                      <w:pStyle w:val="5"/>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F180160"/>
    <w:multiLevelType w:val="singleLevel"/>
    <w:tmpl w:val="4F180160"/>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4"/>
  </w:compat>
  <w:docVars>
    <w:docVar w:name="commondata" w:val="eyJoZGlkIjoiOTQyODQ4M2E5MTJjMmI5MWNmMzZkOTBjNmY4NWJjMzMifQ=="/>
  </w:docVars>
  <w:rsids>
    <w:rsidRoot w:val="00000000"/>
    <w:rsid w:val="00CD1788"/>
    <w:rsid w:val="02074EB9"/>
    <w:rsid w:val="09260FD1"/>
    <w:rsid w:val="092C7268"/>
    <w:rsid w:val="0A3B7763"/>
    <w:rsid w:val="1647748F"/>
    <w:rsid w:val="1BEB1F58"/>
    <w:rsid w:val="22AD4B1E"/>
    <w:rsid w:val="2A2C0A1E"/>
    <w:rsid w:val="2D3E1194"/>
    <w:rsid w:val="307D2E0A"/>
    <w:rsid w:val="311361E2"/>
    <w:rsid w:val="36085CF8"/>
    <w:rsid w:val="366C0B20"/>
    <w:rsid w:val="3A5A6053"/>
    <w:rsid w:val="3CF61143"/>
    <w:rsid w:val="3D5567B2"/>
    <w:rsid w:val="3E82529D"/>
    <w:rsid w:val="475F3D89"/>
    <w:rsid w:val="4AE64EED"/>
    <w:rsid w:val="4B8244EA"/>
    <w:rsid w:val="50D41344"/>
    <w:rsid w:val="58292046"/>
    <w:rsid w:val="5B3E21DC"/>
    <w:rsid w:val="62394D2F"/>
    <w:rsid w:val="678F6F3E"/>
    <w:rsid w:val="73D634A1"/>
    <w:rsid w:val="74BD3EB5"/>
    <w:rsid w:val="76C131C7"/>
    <w:rsid w:val="7D380D29"/>
    <w:rsid w:val="7D8F0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rPr>
  </w:style>
  <w:style w:type="character" w:customStyle="1" w:styleId="10">
    <w:name w:val="heading 1 Char"/>
    <w:basedOn w:val="9"/>
    <w:link w:val="2"/>
    <w:qFormat/>
    <w:uiPriority w:val="0"/>
    <w:rPr>
      <w:rFonts w:ascii="Calibri" w:hAnsi="Calibri" w:eastAsia="宋体" w:cs="Arial"/>
      <w:b/>
      <w:bCs/>
      <w:kern w:val="44"/>
      <w:sz w:val="44"/>
      <w:szCs w:val="44"/>
      <w:lang w:val="en-US" w:eastAsia="zh-CN" w:bidi="ar-SA"/>
    </w:rPr>
  </w:style>
  <w:style w:type="character" w:customStyle="1" w:styleId="11">
    <w:name w:val="heading 2 Char"/>
    <w:basedOn w:val="9"/>
    <w:link w:val="3"/>
    <w:uiPriority w:val="0"/>
    <w:rPr>
      <w:rFonts w:ascii="Times New Roman" w:hAnsi="Calibri" w:eastAsia="黑体" w:cs="Arial"/>
      <w:b/>
      <w:bCs/>
      <w:kern w:val="2"/>
      <w:sz w:val="32"/>
      <w:szCs w:val="32"/>
      <w:lang w:val="en-US" w:eastAsia="zh-CN" w:bidi="ar-SA"/>
    </w:rPr>
  </w:style>
  <w:style w:type="character" w:customStyle="1" w:styleId="12">
    <w:name w:val="heading 3 Char"/>
    <w:basedOn w:val="9"/>
    <w:link w:val="4"/>
    <w:qFormat/>
    <w:uiPriority w:val="0"/>
    <w:rPr>
      <w:rFonts w:ascii="Calibri" w:hAnsi="Calibri" w:eastAsia="宋体"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F7A1CE1-B542-4220-8C9D-32FDFC53172F}">
  <ds:schemaRefs/>
</ds:datastoreItem>
</file>

<file path=docProps/app.xml><?xml version="1.0" encoding="utf-8"?>
<Properties xmlns="http://schemas.openxmlformats.org/officeDocument/2006/extended-properties" xmlns:vt="http://schemas.openxmlformats.org/officeDocument/2006/docPropsVTypes">
  <Template>Normal.eit</Template>
  <Pages>4</Pages>
  <Words>1926</Words>
  <Characters>1971</Characters>
  <Lines>0</Lines>
  <Paragraphs>29</Paragraphs>
  <TotalTime>235</TotalTime>
  <ScaleCrop>false</ScaleCrop>
  <LinksUpToDate>false</LinksUpToDate>
  <CharactersWithSpaces>2234</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2022-01-06T07:29:00Z</dcterms:created>
  <dc:creator>Administrator</dc:creator>
  <cp:lastModifiedBy>WPS_1554982716</cp:lastModifiedBy>
  <dcterms:modified xsi:type="dcterms:W3CDTF">2026-01-09T06:03:44Z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1157CE926B71424ABCEDD46E97C11597</vt:lpwstr>
  </property>
  <property fmtid="{D5CDD505-2E9C-101B-9397-08002B2CF9AE}" pid="4" name="KSOTemplateDocerSaveRecord">
    <vt:lpwstr>eyJoZGlkIjoiMzg5NzIxZjUyZmU2MDAyY2NjNDVlODJhMGY4MTVkNzMiLCJ1c2VySWQiOiI1MjM3NDAwNTIifQ==</vt:lpwstr>
  </property>
</Properties>
</file>