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60" w:lineRule="exact"/>
        <w:ind w:left="0" w:firstLine="0"/>
        <w:jc w:val="center"/>
        <w:rPr>
          <w:rFonts w:ascii="宋体" w:cs="宋体" w:hAnsi="宋体"/>
          <w:b/>
          <w:i w:val="0"/>
          <w:caps w:val="0"/>
          <w:smallCaps w:val="0"/>
          <w:color w:val="333333"/>
          <w:sz w:val="36"/>
          <w:szCs w:val="36"/>
          <w:shd w:val="clear" w:color="auto" w:fill="FFFFFF"/>
          <w:lang w:eastAsia="zh-CN"/>
        </w:rPr>
      </w:pPr>
      <w:r>
        <w:rPr>
          <w:rFonts w:ascii="宋体" w:cs="宋体" w:hAnsi="宋体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eastAsia="zh-CN"/>
        </w:rPr>
        <w:t>河北宁晋经济开发区（大曹庄管理区）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60" w:lineRule="exact"/>
        <w:ind w:left="0" w:firstLine="0"/>
        <w:jc w:val="center"/>
        <w:rPr>
          <w:rFonts w:ascii="宋体" w:cs="宋体" w:hAnsi="宋体" w:hint="eastAsia"/>
          <w:b/>
          <w:color w:val="333333"/>
          <w:sz w:val="36"/>
          <w:szCs w:val="36"/>
          <w:shd w:val="clear" w:color="auto" w:fill="FFFFFF"/>
        </w:rPr>
      </w:pPr>
      <w:r>
        <w:rPr>
          <w:rFonts w:ascii="宋体" w:cs="宋体" w:hAnsi="宋体" w:hint="eastAsia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2025年</w:t>
      </w:r>
      <w:r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本年度报告依据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《中华人民共和国政府信息公开条例》《河北省实施〈中华人民共和国政府信息公开条例〉办法》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和省、市、县政府信息公开工作要求编制而成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。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本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报告中所列数据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的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统计期限为202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5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年1月1日至12月31日。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一、总体情况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Chars="200" w:firstLine="480"/>
        <w:jc w:val="both"/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202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5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年，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河北宁晋经济开发区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（大曹庄管理区）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各级各部门认真贯彻落实党中央、国务院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决策部署和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省委、省政府、市委、市政府以及县委、县政府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工作安排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，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紧紧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围绕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依法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主动公开、依申请公开、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政府信息管理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、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政府信息平台建设、监督保障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等重点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工作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任务，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不断完善政府信息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公开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制度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，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确保政府信息公开工作顺利开展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楷体_GB2312" w:eastAsia="楷体_GB2312" w:cs="楷体_GB2312" w:hAnsi="楷体_GB2312"/>
          <w:b w:val="0"/>
          <w:bCs w:val="0"/>
          <w:i w:val="0"/>
          <w:iCs w:val="0"/>
          <w:caps w:val="0"/>
          <w:smallCaps w:val="0"/>
          <w:color w:val="333333"/>
          <w:sz w:val="24"/>
          <w:szCs w:val="24"/>
          <w:shd w:val="clear" w:color="auto" w:fill="FFFFFF"/>
        </w:rPr>
      </w:pPr>
      <w:r>
        <w:rPr>
          <w:rFonts w:ascii="楷体_GB2312" w:eastAsia="楷体_GB2312" w:cs="楷体_GB2312" w:hAnsi="楷体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（一）</w:t>
      </w:r>
      <w:r>
        <w:rPr>
          <w:rFonts w:ascii="楷体_GB2312" w:eastAsia="楷体_GB2312" w:cs="楷体_GB2312" w:hAnsi="楷体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依法</w:t>
      </w:r>
      <w:r>
        <w:rPr>
          <w:rFonts w:ascii="楷体_GB2312" w:eastAsia="楷体_GB2312" w:cs="楷体_GB2312" w:hAnsi="楷体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主动公开。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为保障人民群众依法获取政府信息，开发区不断推进依法主动公开工作，持续提升政府信息公开力度，主动及时公开包括机构设置、惠企政策、行政审批服务流程等在内的各项</w:t>
      </w:r>
      <w:r>
        <w:rPr>
          <w:rFonts w:ascii="仿宋_GB2312" w:eastAsia="仿宋_GB2312" w:cs="仿宋_GB2312" w:hAnsi="仿宋_GB2312"/>
          <w:color w:val="333333"/>
          <w:shd w:val="clear" w:color="auto" w:fill="FFFFFF"/>
        </w:rPr>
        <w:t>政府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信息。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ascii="楷体_GB2312" w:eastAsia="楷体_GB2312" w:cs="楷体_GB2312" w:hAnsi="楷体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（二）</w:t>
      </w:r>
      <w:r>
        <w:rPr>
          <w:rFonts w:ascii="楷体_GB2312" w:eastAsia="楷体_GB2312" w:cs="楷体_GB2312" w:hAnsi="楷体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加强</w:t>
      </w:r>
      <w:r>
        <w:rPr>
          <w:rFonts w:ascii="楷体_GB2312" w:eastAsia="楷体_GB2312" w:cs="楷体_GB2312" w:hAnsi="楷体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依申请公开</w:t>
      </w:r>
      <w:r>
        <w:rPr>
          <w:rFonts w:ascii="楷体_GB2312" w:eastAsia="楷体_GB2312" w:cs="楷体_GB2312" w:hAnsi="楷体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工作规范</w:t>
      </w:r>
      <w:r>
        <w:rPr>
          <w:rFonts w:ascii="楷体_GB2312" w:eastAsia="楷体_GB2312" w:cs="楷体_GB2312" w:hAnsi="楷体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。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依据上级部门出台的文件要求，开发区持续推进依申请公开工作制度化规范化，不断完善</w:t>
      </w:r>
      <w:bookmarkStart w:id="0" w:name="_GoBack"/>
      <w:bookmarkEnd w:id="0"/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政府信息公开申请渠道，进一步健全政府信息公开申请登记、审核、办理、答复、归档的工作规范。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楷体_GB2312" w:eastAsia="楷体_GB2312" w:cs="楷体_GB2312" w:hAnsi="楷体_GB2312"/>
          <w:b w:val="0"/>
          <w:bCs w:val="0"/>
          <w:i w:val="0"/>
          <w:iCs w:val="0"/>
          <w:caps w:val="0"/>
          <w:smallCaps w:val="0"/>
          <w:color w:val="333333"/>
          <w:sz w:val="24"/>
          <w:szCs w:val="24"/>
          <w:shd w:val="clear" w:color="auto" w:fill="FFFFFF"/>
        </w:rPr>
      </w:pPr>
      <w:r>
        <w:rPr>
          <w:rFonts w:ascii="楷体_GB2312" w:eastAsia="楷体_GB2312" w:cs="楷体_GB2312" w:hAnsi="楷体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（三）</w:t>
      </w:r>
      <w:r>
        <w:rPr>
          <w:rFonts w:ascii="楷体_GB2312" w:eastAsia="楷体_GB2312" w:cs="楷体_GB2312" w:hAnsi="楷体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完善</w:t>
      </w:r>
      <w:r>
        <w:rPr>
          <w:rFonts w:ascii="楷体_GB2312" w:eastAsia="楷体_GB2312" w:cs="楷体_GB2312" w:hAnsi="楷体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政府信息管理</w:t>
      </w:r>
      <w:r>
        <w:rPr>
          <w:rFonts w:ascii="楷体_GB2312" w:eastAsia="楷体_GB2312" w:cs="楷体_GB2312" w:hAnsi="楷体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职能</w:t>
      </w:r>
      <w:r>
        <w:rPr>
          <w:rFonts w:ascii="楷体_GB2312" w:eastAsia="楷体_GB2312" w:cs="楷体_GB2312" w:hAnsi="楷体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。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从信息采集存储到信息审核发布，开发区不断提升信息管理水平，严格落实相关保密工作制度，确保信息安全</w:t>
      </w:r>
      <w:r>
        <w:rPr>
          <w:rFonts w:ascii="仿宋_GB2312" w:eastAsia="仿宋_GB2312" w:cs="仿宋_GB2312" w:hAnsi="仿宋_GB2312"/>
          <w:color w:val="333333"/>
          <w:shd w:val="clear" w:color="auto" w:fill="FFFFFF"/>
        </w:rPr>
        <w:t>，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有效履行信息管理职能。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楷体_GB2312" w:eastAsia="楷体_GB2312" w:cs="楷体_GB2312" w:hAnsi="楷体_GB2312" w:hint="eastAsia"/>
          <w:color w:val="333333"/>
          <w:shd w:val="clear" w:color="auto" w:fill="FFFFFF"/>
        </w:rPr>
      </w:pPr>
      <w:r>
        <w:rPr>
          <w:rFonts w:ascii="楷体_GB2312" w:eastAsia="楷体_GB2312" w:cs="楷体_GB2312" w:hAnsi="楷体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（</w:t>
      </w:r>
      <w:r>
        <w:rPr>
          <w:rFonts w:ascii="楷体_GB2312" w:eastAsia="楷体_GB2312" w:cs="楷体_GB2312" w:hAnsi="楷体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四</w:t>
      </w:r>
      <w:r>
        <w:rPr>
          <w:rFonts w:ascii="楷体_GB2312" w:eastAsia="楷体_GB2312" w:cs="楷体_GB2312" w:hAnsi="楷体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）推进政府信息公开平台建设。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能主动公开的信息一律主动公开，不断优化政府信息公开数量与</w:t>
      </w:r>
      <w:r>
        <w:rPr>
          <w:rFonts w:ascii="仿宋_GB2312" w:eastAsia="仿宋_GB2312" w:cs="仿宋_GB2312" w:hAnsi="仿宋_GB2312"/>
          <w:color w:val="333333"/>
          <w:shd w:val="clear" w:color="auto" w:fill="FFFFFF"/>
        </w:rPr>
        <w:t>信息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公开质量，</w:t>
      </w:r>
      <w:r>
        <w:rPr>
          <w:rFonts w:ascii="仿宋_GB2312" w:eastAsia="仿宋_GB2312" w:cs="仿宋_GB2312" w:hAnsi="仿宋_GB2312"/>
          <w:color w:val="333333"/>
          <w:shd w:val="clear" w:color="auto" w:fill="FFFFFF"/>
        </w:rPr>
        <w:t>更多地为人民群众提供便利，切实提升信息公开实效。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仿宋_GB2312" w:eastAsia="仿宋_GB2312" w:cs="仿宋_GB2312" w:hAnsi="仿宋_GB2312" w:hint="eastAsia"/>
          <w:color w:val="333333"/>
          <w:shd w:val="clear" w:color="auto" w:fill="FFFFFF"/>
        </w:rPr>
      </w:pPr>
      <w:r>
        <w:rPr>
          <w:rFonts w:ascii="楷体_GB2312" w:eastAsia="楷体_GB2312" w:cs="楷体_GB2312" w:hAnsi="楷体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（</w:t>
      </w:r>
      <w:r>
        <w:rPr>
          <w:rFonts w:ascii="楷体_GB2312" w:eastAsia="楷体_GB2312" w:cs="楷体_GB2312" w:hAnsi="楷体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五</w:t>
      </w:r>
      <w:r>
        <w:rPr>
          <w:rFonts w:ascii="楷体_GB2312" w:eastAsia="楷体_GB2312" w:cs="楷体_GB2312" w:hAnsi="楷体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）强化监督保障</w:t>
      </w:r>
      <w:r>
        <w:rPr>
          <w:rFonts w:ascii="楷体_GB2312" w:eastAsia="楷体_GB2312" w:cs="楷体_GB2312" w:hAnsi="楷体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作用</w:t>
      </w:r>
      <w:r>
        <w:rPr>
          <w:rFonts w:ascii="楷体_GB2312" w:eastAsia="楷体_GB2312" w:cs="楷体_GB2312" w:hAnsi="楷体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。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严格落实责任追究要求，</w:t>
      </w:r>
      <w:r>
        <w:rPr>
          <w:rFonts w:ascii="仿宋_GB2312" w:eastAsia="仿宋_GB2312" w:cs="仿宋_GB2312" w:hAnsi="仿宋_GB2312"/>
          <w:color w:val="333333"/>
          <w:shd w:val="clear" w:color="auto" w:fill="FFFFFF"/>
        </w:rPr>
        <w:t>配合主管部门加强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对信息公开工作</w:t>
      </w:r>
      <w:r>
        <w:rPr>
          <w:rFonts w:ascii="仿宋_GB2312" w:eastAsia="仿宋_GB2312" w:cs="仿宋_GB2312" w:hAnsi="仿宋_GB2312"/>
          <w:color w:val="333333"/>
          <w:shd w:val="clear" w:color="auto" w:fill="FFFFFF"/>
        </w:rPr>
        <w:t>的日常指导和监督检查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，更好回应社会关切</w:t>
      </w:r>
      <w:r>
        <w:rPr>
          <w:rFonts w:ascii="仿宋_GB2312" w:eastAsia="仿宋_GB2312" w:cs="仿宋_GB2312" w:hAnsi="仿宋_GB2312"/>
          <w:color w:val="333333"/>
          <w:shd w:val="clear" w:color="auto" w:fill="FFFFFF"/>
        </w:rPr>
        <w:t>，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切实保障人民群众依法获取政府信息。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二、主动公开政府信息情况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2435"/>
        <w:gridCol w:w="2435"/>
        <w:gridCol w:w="2435"/>
        <w:gridCol w:w="2435"/>
      </w:tblGrid>
      <w:tr>
        <w:trPr>
          <w:trHeight w:val="340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　　</w:t>
            </w: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 　</w:t>
            </w: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　　</w:t>
            </w: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 　</w:t>
            </w: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2288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三、收到和处理政府信息公开申请情况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754"/>
        <w:gridCol w:w="921"/>
        <w:gridCol w:w="3272"/>
        <w:gridCol w:w="686"/>
        <w:gridCol w:w="686"/>
        <w:gridCol w:w="686"/>
        <w:gridCol w:w="686"/>
        <w:gridCol w:w="686"/>
        <w:gridCol w:w="686"/>
        <w:gridCol w:w="686"/>
      </w:tblGrid>
      <w:tr>
        <w:tc>
          <w:tcPr>
            <w:tcW w:w="5150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>
        <w:tc>
          <w:tcPr>
            <w:tcW w:w="515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71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c>
          <w:tcPr>
            <w:tcW w:w="515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71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714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rPr>
          <w:trHeight w:val="779"/>
        </w:trP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>
        <w:tc>
          <w:tcPr>
            <w:tcW w:w="321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维持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维持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rPr>
          <w:trHeight w:val="672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五、存在的主要问题及改进情况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仿宋_GB2312" w:eastAsia="仿宋_GB2312" w:cs="仿宋_GB2312" w:hAnsi="仿宋_GB2312"/>
          <w:color w:val="333333"/>
          <w:shd w:val="clear" w:color="auto" w:fill="FFFFFF"/>
        </w:rPr>
      </w:pP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2025年，经开区</w:t>
      </w:r>
      <w:r>
        <w:rPr>
          <w:rFonts w:ascii="仿宋_GB2312" w:eastAsia="仿宋_GB2312" w:cs="仿宋_GB2312" w:hAnsi="仿宋_GB2312"/>
          <w:color w:val="333333"/>
          <w:shd w:val="clear" w:color="auto" w:fill="FFFFFF"/>
        </w:rPr>
        <w:t>政府信息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公开工作虽取得一定进展，但仍存在一些短板弱项：一是部分公开信息的质量有待提高，政策解读的吸引力、通俗性仍显不足；二是</w:t>
      </w:r>
      <w:r>
        <w:rPr>
          <w:rFonts w:ascii="仿宋_GB2312" w:eastAsia="仿宋_GB2312" w:cs="仿宋_GB2312" w:hAnsi="仿宋_GB2312"/>
          <w:color w:val="333333"/>
          <w:shd w:val="clear" w:color="auto" w:fill="FFFFFF"/>
        </w:rPr>
        <w:t>政府信息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公开意识</w:t>
      </w:r>
      <w:r>
        <w:rPr>
          <w:rFonts w:ascii="仿宋_GB2312" w:eastAsia="仿宋_GB2312" w:cs="仿宋_GB2312" w:hAnsi="仿宋_GB2312"/>
          <w:color w:val="333333"/>
          <w:shd w:val="clear" w:color="auto" w:fill="FFFFFF"/>
        </w:rPr>
        <w:t>有待进一步增强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，部分应公开内容更新不及时。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仿宋_GB2312" w:eastAsia="仿宋_GB2312" w:cs="仿宋_GB2312" w:hAnsi="仿宋_GB2312" w:hint="eastAsia"/>
          <w:color w:val="333333"/>
          <w:shd w:val="clear" w:color="auto" w:fill="FFFFFF"/>
        </w:rPr>
      </w:pP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下一步，</w:t>
      </w:r>
      <w:r>
        <w:rPr>
          <w:rFonts w:ascii="仿宋_GB2312" w:eastAsia="仿宋_GB2312" w:cs="仿宋_GB2312" w:hAnsi="仿宋_GB2312"/>
          <w:color w:val="333333"/>
          <w:shd w:val="clear" w:color="auto" w:fill="FFFFFF"/>
        </w:rPr>
        <w:t>将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在提质增效上下功夫</w:t>
      </w:r>
      <w:r>
        <w:rPr>
          <w:rFonts w:ascii="仿宋_GB2312" w:eastAsia="仿宋_GB2312" w:cs="仿宋_GB2312" w:hAnsi="仿宋_GB2312"/>
          <w:color w:val="333333"/>
          <w:shd w:val="clear" w:color="auto" w:fill="FFFFFF"/>
        </w:rPr>
        <w:t>，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对发布的信息进行全面检查与梳理，提升信息的准确性、完整性和实用性</w:t>
      </w:r>
      <w:r>
        <w:rPr>
          <w:rFonts w:ascii="仿宋_GB2312" w:eastAsia="仿宋_GB2312" w:cs="仿宋_GB2312" w:hAnsi="仿宋_GB2312"/>
          <w:color w:val="333333"/>
          <w:shd w:val="clear" w:color="auto" w:fill="FFFFFF"/>
        </w:rPr>
        <w:t>，并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加强对</w:t>
      </w:r>
      <w:r>
        <w:rPr>
          <w:rFonts w:ascii="仿宋_GB2312" w:eastAsia="仿宋_GB2312" w:cs="仿宋_GB2312" w:hAnsi="仿宋_GB2312"/>
          <w:color w:val="333333"/>
          <w:shd w:val="clear" w:color="auto" w:fill="FFFFFF"/>
        </w:rPr>
        <w:t>政府信息</w:t>
      </w:r>
      <w:r>
        <w:rPr>
          <w:rFonts w:ascii="仿宋_GB2312" w:eastAsia="仿宋_GB2312" w:cs="仿宋_GB2312" w:hAnsi="仿宋_GB2312" w:hint="eastAsia"/>
          <w:color w:val="333333"/>
          <w:shd w:val="clear" w:color="auto" w:fill="FFFFFF"/>
        </w:rPr>
        <w:t>公开工作人员的业务培训，提高一线人员的业务能力。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六、其他需要报告的事项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rPr>
          <w:rFonts w:ascii="宋体" w:cs="宋体" w:hAnsi="宋体" w:hint="eastAsia"/>
          <w:color w:val="333333"/>
        </w:rPr>
      </w:pP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202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5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年，我区没有收取信息处理费。无其他需要报告事项。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left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/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50"/>
    <w:family w:val="auto"/>
    <w:pitch w:val="variable"/>
    <w:sig w:usb0="E0002AFF" w:usb1="C0007841" w:usb2="00000009" w:usb3="00000000" w:csb0="400001FF" w:csb1="FFFF0000"/>
  </w:font>
  <w:font w:name="Arial">
    <w:panose1 w:val="020B0604020202020204"/>
    <w:charset w:val="01"/>
    <w:family w:val="swiss"/>
    <w:pitch w:val="variable"/>
    <w:sig w:usb0="E0002AFF" w:usb1="C0007843" w:usb2="00000009" w:usb3="00000000" w:csb0="400001FF" w:csb1="FFFF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compatSetting w:name="compatibilityMode" w:uri="http://schemas.microsoft.com/office/word" w:val="14"/>
  </w:compat>
  <w:docVars>
    <w:docVar w:name="commondata" w:val="eyJoZGlkIjoiOTQyODQ4M2E5MTJjMmI5MWNmMzZkOTBjNmY4NWJjMzM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F6067021-2E38-45A8-9DF5-9204508EB917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200</TotalTime>
  <Application>WPS_Yozo_Office9.0.5727.102ZH.HE32</Application>
  <Pages>3</Pages>
  <Words>0</Words>
  <Characters>1806</Characters>
  <Lines>0</Lines>
  <Paragraphs>30</Paragraphs>
  <CharactersWithSpaces>2409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pc</cp:lastModifiedBy>
  <cp:revision>10</cp:revision>
  <cp:lastPrinted>2026-01-09T01:40:44Z</cp:lastPrinted>
  <dcterms:created xsi:type="dcterms:W3CDTF">2022-01-06T07:29:00Z</dcterms:created>
  <dcterms:modified xsi:type="dcterms:W3CDTF">2026-01-09T02:03:40Z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2052-11.8.2.11500</vt:lpwstr>
  </property>
  <property fmtid="{D5CDD505-2E9C-101B-9397-08002B2CF9AE}" pid="3" name="ICV">
    <vt:lpwstr>1157CE926B71424ABCEDD46E97C11597</vt:lpwstr>
  </property>
</Properties>
</file>