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FA94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sz w:val="44"/>
          <w:szCs w:val="44"/>
          <w:lang w:val="en-US" w:eastAsia="zh-CN"/>
        </w:rPr>
      </w:pPr>
    </w:p>
    <w:p w14:paraId="2A7C7A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  <w:t>宁晋县人民政府</w:t>
      </w:r>
    </w:p>
    <w:p w14:paraId="58596B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  <w:t>关于印发《宁晋县服务类社会救助试点工作实施方案》的通知</w:t>
      </w:r>
    </w:p>
    <w:p w14:paraId="5D69ED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</w:pPr>
    </w:p>
    <w:p w14:paraId="5DB2F9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各乡镇（街道）人民政府（办事处），县直有关单位：</w:t>
      </w:r>
    </w:p>
    <w:p w14:paraId="28815C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《宁晋县服务类社会救助试点工作实施方案》已经县政府研究同意，现印发给你们，请认真贯彻落实。</w:t>
      </w:r>
    </w:p>
    <w:p w14:paraId="60FBE2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1A80E6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08ACF1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5C6A60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                        宁晋县人民政府</w:t>
      </w:r>
    </w:p>
    <w:p w14:paraId="7417B5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                        2024年8月23日</w:t>
      </w:r>
    </w:p>
    <w:p w14:paraId="27D542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007A15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</w:pPr>
    </w:p>
    <w:p w14:paraId="576A1F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</w:pPr>
    </w:p>
    <w:p w14:paraId="2EBE46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</w:pPr>
    </w:p>
    <w:p w14:paraId="4B6C9D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</w:pPr>
    </w:p>
    <w:p w14:paraId="3DA6B6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</w:pPr>
    </w:p>
    <w:p w14:paraId="79A292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</w:pPr>
    </w:p>
    <w:p w14:paraId="629764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</w:pPr>
    </w:p>
    <w:p w14:paraId="4AD896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</w:pPr>
    </w:p>
    <w:p w14:paraId="28C4A2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</w:pPr>
    </w:p>
    <w:p w14:paraId="3487BA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  <w:t>宁晋县服务类社会救助试点工作实施方案</w:t>
      </w:r>
    </w:p>
    <w:p w14:paraId="09B97349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bidi w:val="0"/>
        <w:adjustRightInd/>
        <w:spacing w:line="560" w:lineRule="exact"/>
        <w:ind w:firstLine="640" w:firstLineChars="200"/>
        <w:textAlignment w:val="auto"/>
        <w:rPr>
          <w:rFonts w:hint="eastAsia" w:ascii="方正小标宋简体" w:hAnsi="方正小标宋简体" w:eastAsia="方正小标宋简体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</w:p>
    <w:p w14:paraId="0B2556D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为统筹推进全县分层分类社会救助体系建设，按照《全国服务类社会救助试点工作方案》要求，扎实开展我县服务类社会救助试点工作，擦亮“晋心救”服务类社会救助特色品牌，结合我县实际，制定本方案。</w:t>
      </w:r>
    </w:p>
    <w:p w14:paraId="652C169D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/>
          <w:b w:val="0"/>
          <w:bCs w:val="0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/>
          <w:b w:val="0"/>
          <w:bCs w:val="0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总体要求</w:t>
      </w:r>
    </w:p>
    <w:p w14:paraId="7E63CE1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以习近平新时代中国特色社会主义思想为指导，深入贯彻党的二十大和二十届三中全会精神，全面落实中共中央办公厅、国务院办公厅印发的《关于改革完善社会救助制度的</w:t>
      </w:r>
      <w:bookmarkStart w:id="0" w:name="_GoBack"/>
      <w:bookmarkEnd w:id="0"/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意见》和国务院办公厅转发的《关于加强低收入人口动态监测做好分层分类社会救助工作的意见》，坚持以人民为中心的发展思想，把增进困难群众福祉作为试点工作的出发点和落脚点，聚焦困难群众急难愁盼问题，在落实好基本生活救助、专项社会救助等现有政策基础上，推动社会由单一物质救助向“物质+服务”综合救助模式转变，更好满足困难群众多样化救助需求，不断增强困难群众的获得感、幸福感、安全感。</w:t>
      </w:r>
    </w:p>
    <w:p w14:paraId="5BA1F9F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通过1年试点工作，实现“物质+服务”工作模式的提质增效。建立社会救助服务清单化制度；依托“智慧+”健全完善覆盖城乡、平台支撑、多元供给、运行高效的三级社会救助服务网络；构建“动态监测、需求评估、资源匹配、精准服务、监管有力”的服务类社会救助运行机制；形成资源有效整合、供需精准匹配、流程标准规范、成效可感可及的服务类社会救助格局,为有需要的特困人员、最低生活保障对象、最低生活保障边缘家庭成员、刚性支出困难家庭成员、过渡期内的防止返贫监测对象等低收入人口提供针对性的照护服务、生活服务、关爱服务，切实帮助其解决实际困难、恢复正常生活、实现自我发展。</w:t>
      </w:r>
    </w:p>
    <w:p w14:paraId="3F3AB375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/>
          <w:b w:val="0"/>
          <w:bCs w:val="0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/>
          <w:b w:val="0"/>
          <w:bCs w:val="0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二、重点任务</w:t>
      </w:r>
    </w:p>
    <w:p w14:paraId="519835A4">
      <w:pPr>
        <w:pStyle w:val="10"/>
        <w:keepNext w:val="0"/>
        <w:keepLines w:val="0"/>
        <w:pageBreakBefore w:val="0"/>
        <w:numPr>
          <w:ilvl w:val="0"/>
          <w:numId w:val="0"/>
        </w:numPr>
        <w:wordWrap/>
        <w:topLinePunct w:val="0"/>
        <w:bidi w:val="0"/>
        <w:adjustRightInd/>
        <w:snapToGrid w:val="0"/>
        <w:spacing w:line="560" w:lineRule="exact"/>
        <w:ind w:leftChars="0" w:firstLine="640" w:firstLineChars="200"/>
        <w:textAlignment w:val="auto"/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（一）实施社会救助对象服务需求精准评估</w:t>
      </w:r>
    </w:p>
    <w:p w14:paraId="6BA72C3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1.分类建立服务类社会救助需求评估指标体系，对全县特困对象、低保对象、孤儿和事实无人抚养儿童、低保边缘家庭、防止返贫监测对象、支出型困难家庭中失能半失能的老年人、重病患者、重度残疾人、90岁以上困难老年人等救助对象从身心健康、生活照料、家庭关系、社会支持等多方面开展全面评估，明确困难类型、困难程度以及跟进服务措施，为服务对象建立“一人一档”台账，实施精细化、个性化管理。结合入户调查、日常关爱等工作对需求进行动态管理，做到服务需求、跟进措施一月一更新。</w:t>
      </w:r>
    </w:p>
    <w:p w14:paraId="0567DA3C">
      <w:pPr>
        <w:pStyle w:val="10"/>
        <w:keepNext w:val="0"/>
        <w:keepLines w:val="0"/>
        <w:pageBreakBefore w:val="0"/>
        <w:numPr>
          <w:ilvl w:val="0"/>
          <w:numId w:val="0"/>
        </w:numPr>
        <w:wordWrap/>
        <w:topLinePunct w:val="0"/>
        <w:bidi w:val="0"/>
        <w:adjustRightInd/>
        <w:snapToGrid w:val="0"/>
        <w:spacing w:line="560" w:lineRule="exact"/>
        <w:ind w:leftChars="0" w:firstLine="640" w:firstLineChars="200"/>
        <w:textAlignment w:val="auto"/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（二）编制服务类社会救助清单</w:t>
      </w:r>
    </w:p>
    <w:p w14:paraId="2221913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2.以服务对象需求为评估依据，结合资源投入情况，编制《宁晋县服务类社会救助清单》、《宁晋县政府购买社会力量参与服务类社会救助项目运营规范》等文件，明确服务对象、服务内容、服务标准、流程规范等内容。服务内容设置根据我县困难群众实际需求确定，以维持基本生活需要为标准，主要包括生活服务类，如助餐助浴、代买代办、居所清洁；健康照护类，如健康监测、日常护理、康复训练；社会支持类，如心理疏导、社会融入、家庭辅导等。在此基础上，根据救助对象的困难类型和实际需求，提供其他个性化服务类救助。</w:t>
      </w:r>
    </w:p>
    <w:p w14:paraId="1E9D97CF">
      <w:pPr>
        <w:pStyle w:val="10"/>
        <w:keepNext w:val="0"/>
        <w:keepLines w:val="0"/>
        <w:pageBreakBefore w:val="0"/>
        <w:numPr>
          <w:ilvl w:val="0"/>
          <w:numId w:val="0"/>
        </w:numPr>
        <w:wordWrap/>
        <w:topLinePunct w:val="0"/>
        <w:bidi w:val="0"/>
        <w:adjustRightInd/>
        <w:snapToGrid w:val="0"/>
        <w:spacing w:line="560" w:lineRule="exact"/>
        <w:ind w:leftChars="0" w:firstLine="640" w:firstLineChars="200"/>
        <w:textAlignment w:val="auto"/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（三）构建多元参与的救助服务网络</w:t>
      </w:r>
    </w:p>
    <w:p w14:paraId="07368661">
      <w:pPr>
        <w:pStyle w:val="7"/>
        <w:keepNext w:val="0"/>
        <w:keepLines w:val="0"/>
        <w:pageBreakBefore w:val="0"/>
        <w:wordWrap/>
        <w:topLinePunct w:val="0"/>
        <w:bidi w:val="0"/>
        <w:adjustRightIn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3.加强县级困难群众基本生活保障协调机制作用。成立由县长任组长、主管副县长为副组长的“物质+服务”社会救助工作领导小组，领导小组办公室设在县民政局，办公室主任由柳国强同志兼任，社会救助工作领导小组统筹推动各部门救助服务政策的精准落实，领导小组办公室负责指导协调各群团组织设置困境儿童、残疾人、困难职工等专项救助服务项目，构建县、乡镇（街道）、村三级党组织社会救助组织体系，强化分层分类精准救助。</w:t>
      </w:r>
    </w:p>
    <w:p w14:paraId="6F0EDC2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4.探索建立政府救助和慈善救助相衔接的工作机制。对有需求的困难群众，经乡镇、村工作人员排查、申报，由县民政局针对具体服务需求进行评估测算，确定服务内容，形成爱心服务订单转介慈善组织，由慈善组织在社会救助服务平台发布，各爱心人士、爱心企业进行订单认领，服务订单完成后由县民政局进行验收，形成闭环管理。</w:t>
      </w:r>
    </w:p>
    <w:p w14:paraId="59E8677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5.壮大救助服务社会力量。培育发展不少于10家从事服务类社会救助工作的社会组织和市场主体，采取政府购买服务的方式提供多样化、差异化服务类社会救助。</w:t>
      </w:r>
    </w:p>
    <w:p w14:paraId="264B2FFC">
      <w:pPr>
        <w:pStyle w:val="7"/>
        <w:keepNext w:val="0"/>
        <w:keepLines w:val="0"/>
        <w:pageBreakBefore w:val="0"/>
        <w:numPr>
          <w:ilvl w:val="0"/>
          <w:numId w:val="0"/>
        </w:numPr>
        <w:wordWrap/>
        <w:topLinePunct w:val="0"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（四）完善三级服务类社会救助工作阵地</w:t>
      </w:r>
    </w:p>
    <w:p w14:paraId="48C1595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6.建立县级服务类社会救助工作管理中心。管理中心主要负责服务大数据统计分析、服务质量监管、服务项目设计优化、服务组织孵化培育、服务队伍培训提升等工作。</w:t>
      </w:r>
    </w:p>
    <w:p w14:paraId="69EEA74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7.依托民政救助服务监管平台链接乡镇（街道）社会救助服务站，承担辖区救助服务申请受理、需求摸排、资源链接、救助政策落地等工作。</w:t>
      </w:r>
    </w:p>
    <w:p w14:paraId="0D4EC9D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8.织密线下网络，实现上门服务全覆盖。在困难群众较为集中的乡镇、村设置社区救助服务点，引入社会组织组建“社会救助协理员+社会工作者+志愿者”的救助帮扶队伍，依托便民服务中心、民政服务站等现有场所，开展摸底排查，主动发现群众困难，评估服务需求，制定帮扶计划，建立工作台账，形成“一户一档”“一户一案”，就近为救助对象提供家政服务、陪护服务、代购代买、功能训练、常规检测等上门照料服务。</w:t>
      </w:r>
    </w:p>
    <w:p w14:paraId="47008692">
      <w:pPr>
        <w:pStyle w:val="7"/>
        <w:keepNext w:val="0"/>
        <w:keepLines w:val="0"/>
        <w:pageBreakBefore w:val="0"/>
        <w:numPr>
          <w:ilvl w:val="0"/>
          <w:numId w:val="0"/>
        </w:numPr>
        <w:wordWrap/>
        <w:topLinePunct w:val="0"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（五）强化服务类社会救助的智慧平台建设</w:t>
      </w:r>
    </w:p>
    <w:p w14:paraId="2393197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9.升级平台。针对工作需求，升级宁晋县智慧救助综合服务平台和智慧救助服务监督平台，建立起社会救助对象的信息库、需求库、资源库。</w:t>
      </w:r>
    </w:p>
    <w:p w14:paraId="113B830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10.完善标准。根据服务对象、服务内容进一步完善线上点单、线下服务的操作流程及监管标准，实现服务类救助工作信息化、标准化管理。</w:t>
      </w:r>
    </w:p>
    <w:p w14:paraId="4FA2F7B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11.打通链接。实现养老、残疾人、儿童等基础信息、帮扶需求、救助政策等信息互连互通，避免服务遗漏或重复覆盖。</w:t>
      </w:r>
    </w:p>
    <w:p w14:paraId="2E1D9754">
      <w:pPr>
        <w:keepNext w:val="0"/>
        <w:keepLines w:val="0"/>
        <w:pageBreakBefore w:val="0"/>
        <w:wordWrap/>
        <w:topLinePunct w:val="0"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（六）完善服务类社会救助分类分层服务模式</w:t>
      </w:r>
    </w:p>
    <w:p w14:paraId="2829356C">
      <w:pPr>
        <w:keepNext w:val="0"/>
        <w:keepLines w:val="0"/>
        <w:pageBreakBefore w:val="0"/>
        <w:wordWrap/>
        <w:topLinePunct w:val="0"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12.</w:t>
      </w: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强化政府直接实施的关爱举措。2024年度面向全县90岁以上困难老年人每人每月发放奶粉和面包；完善全县困境儿童智慧信息管理平台，进行困境儿童需求的系统化评估和跟踪服务，实施红、黄、蓝、绿四色分类管理，定期实施心理疏导、健康教育、亲情陪伴等服务性活动；通过精准评估，根据特殊人群个性化需求，扩大智能腕表、一键呼叫器、电子手环、智能床垫等设备的覆盖面。</w:t>
      </w:r>
    </w:p>
    <w:p w14:paraId="395637C6">
      <w:pPr>
        <w:keepNext w:val="0"/>
        <w:keepLines w:val="0"/>
        <w:pageBreakBefore w:val="0"/>
        <w:wordWrap/>
        <w:topLinePunct w:val="0"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13.扩大政府购买服务类社会救助工作项目。2024年9月实施政府购买服务类社会救助项目，将全县所有失能、半失能分散供养特困人员每人每月300元标准，全部纳入上门照料服务范围并动态调整；完善低保照料服务清单及服务标准，委托第三方为全县80周岁以上的低保对象以每月100元标准提供生活护理和照料服务。</w:t>
      </w:r>
    </w:p>
    <w:p w14:paraId="477B119F">
      <w:pPr>
        <w:pStyle w:val="7"/>
        <w:keepNext w:val="0"/>
        <w:keepLines w:val="0"/>
        <w:pageBreakBefore w:val="0"/>
        <w:numPr>
          <w:ilvl w:val="0"/>
          <w:numId w:val="0"/>
        </w:numPr>
        <w:wordWrap/>
        <w:topLinePunct w:val="0"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（七）建立多渠道资金保障机制</w:t>
      </w:r>
    </w:p>
    <w:p w14:paraId="6E16175E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14.以县政府投入资金为主，统筹</w:t>
      </w:r>
      <w:r>
        <w:rPr>
          <w:rFonts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社会救助工作经费</w:t>
      </w: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、</w:t>
      </w:r>
      <w:r>
        <w:rPr>
          <w:rFonts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社会救助专项经费</w:t>
      </w: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、福利彩票公益金对试点工作的支持和倾斜，同时积极引导慈善组织等社会资金参与社会救助服务，专项资金专款专用，确保资金安全。</w:t>
      </w:r>
    </w:p>
    <w:p w14:paraId="696BFCF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15.引导社会捐赠，通过联合县慈善总会发布捐赠倡议、设置社区基金等形式，建立社会资源投入长效机制。</w:t>
      </w:r>
    </w:p>
    <w:p w14:paraId="4757E93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16.吸引爱心企业资源入驻社会救助服务智慧平台资源库，鼓励企业提供低偿服务，形成政府资金与社会资金的有机结合，为服务类社会救助试点工作提供坚强的资金保障。</w:t>
      </w:r>
    </w:p>
    <w:p w14:paraId="5596643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/>
          <w:b w:val="0"/>
          <w:bCs w:val="0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/>
          <w:b w:val="0"/>
          <w:bCs w:val="0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三、工作安排</w:t>
      </w:r>
    </w:p>
    <w:p w14:paraId="228DDF04"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wordWrap/>
        <w:topLinePunct w:val="0"/>
        <w:bidi w:val="0"/>
        <w:adjustRightInd/>
        <w:snapToGrid w:val="0"/>
        <w:spacing w:line="560" w:lineRule="exact"/>
        <w:ind w:leftChars="0" w:firstLine="640" w:firstLineChars="200"/>
        <w:textAlignment w:val="auto"/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（一）方案制定阶段（2024年8月-9月）</w:t>
      </w:r>
    </w:p>
    <w:p w14:paraId="07BB4325"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wordWrap/>
        <w:topLinePunct w:val="0"/>
        <w:bidi w:val="0"/>
        <w:adjustRightInd/>
        <w:snapToGrid w:val="0"/>
        <w:spacing w:line="560" w:lineRule="exact"/>
        <w:ind w:leftChars="0" w:firstLine="640" w:firstLineChars="200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制定印发《宁晋县服务类社会救助试点工作实施方案》，编制《宁晋县服务类社会救助清单》，开展社会救助需求评估指标体系制定，根据精准评估情况，拟定采购需求，实施政府购买服务，通过公开招投标，确定服务供给主体。</w:t>
      </w:r>
    </w:p>
    <w:p w14:paraId="71F5CB30">
      <w:pPr>
        <w:keepNext w:val="0"/>
        <w:keepLines w:val="0"/>
        <w:pageBreakBefore w:val="0"/>
        <w:widowControl w:val="0"/>
        <w:numPr>
          <w:ilvl w:val="0"/>
          <w:numId w:val="2"/>
        </w:numPr>
        <w:wordWrap/>
        <w:topLinePunct w:val="0"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分类实施阶段（2024年10月-2025年6月）</w:t>
      </w:r>
    </w:p>
    <w:p w14:paraId="490315A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根据服务需求制定服务方案，开展救助服务，分类建立“一户一档” 服务类社会救助工作档案；完善三级救助服务网络和阵地建设，建立以县民政局为主导，乡镇、村配合，社会组织参与的三级服务网络体系，持续摸排困难群体个性化需求，逐步落细、落实服务救助措施，为困难群众开展特色、亮点服务；完善智慧平台建设，分层分类推进服务类救助等工作。推进6种模式强服务：一是进一步提升特困人员生活质量，将全县所有失能、半失能分散供养特困人员每人每月300元标准，全部纳入上门照料服务范围开展服务。二是保障困难老年人身体健康，对全县90岁以上困难老年人实施每人每月发放一桶奶粉、2袋面包。三是分类救助，对80岁以上低保对象提供护理服务，为全县80周岁以上的低保对象以每月100元标准提供生活照料服务，解决困难群众的所需所求。四是四色服务，将全县2000余名困境儿童纳入平台监管，提供24小时在线服务。按照需要救助和关注的程度分为红、黄、蓝、绿四个等级，实行“四色”分类管理，全面建立“四色风险防控体系”，从而实现精准救助，全面呵护困境儿童健康成长。五是根据特殊人群个性化需求，为救助对象量身定做所需的智能设备（智能腕表、一键呼叫器、电子手环、智能床垫等），实现社会救助便捷化、智能化。六是广泛调动公益慈善组织、志愿服务队伍、爱心企业以及社会爱心人士等力量参与社会救助服务，整合社会各界力量，同向发力，开展不同形式的救助服务活动，实现服务主体和资金来源的多元化。强化督导检查，定期收集数据进行分析，确保工作落到实处，务求取得创新成效。</w:t>
      </w:r>
    </w:p>
    <w:p w14:paraId="0A2C5440">
      <w:pPr>
        <w:keepNext w:val="0"/>
        <w:keepLines w:val="0"/>
        <w:pageBreakBefore w:val="0"/>
        <w:widowControl w:val="0"/>
        <w:numPr>
          <w:ilvl w:val="0"/>
          <w:numId w:val="2"/>
        </w:numPr>
        <w:wordWrap/>
        <w:topLinePunct w:val="0"/>
        <w:bidi w:val="0"/>
        <w:adjustRightInd/>
        <w:snapToGrid w:val="0"/>
        <w:spacing w:line="560" w:lineRule="exact"/>
        <w:ind w:left="0" w:leftChars="0" w:firstLine="640" w:firstLineChars="200"/>
        <w:textAlignment w:val="auto"/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总结提升阶段（2025年7月-8月）</w:t>
      </w:r>
    </w:p>
    <w:p w14:paraId="16FA075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对服务类社会救助试点工作开展情况、主要做法和成效、问题及建议等进行总结评估；通过1年试点工作，达到能够织密救助服务网络、创新服务方式、提升服务质量，为困难群众提供多形式、全方位、智能化、个性化的救助服务，让困难群众生活的更加幸福安康、社会救助更有温度；形成可复制、可推广的“晋心救”宁晋模式。及时将试点工作经验报告报送上级部门。</w:t>
      </w:r>
    </w:p>
    <w:p w14:paraId="39BE16B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/>
          <w:b w:val="0"/>
          <w:bCs w:val="0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/>
          <w:b w:val="0"/>
          <w:bCs w:val="0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四、任务职责</w:t>
      </w:r>
    </w:p>
    <w:p w14:paraId="7F297A4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（一）县服务类社会救助工作领导小组负责全面指导，协调、调度各相关部门全力配合工作推进。统筹民政、财政、人社、教育、住建、卫健、残联、医保、县慈善总会等社会救助领导小组成员单位，充分发挥部门职能效用，完善信息共享机制，多部门协同联动，根据动态需求为救助对象提供资金保障、信息咨询、就业救助、教育救助、住房救助、医疗救助、法律援助、技能培训、康复训练、健康管理等服务。</w:t>
      </w:r>
    </w:p>
    <w:p w14:paraId="5DB44B3E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（二）县民政局是服务类社会救助组织实施的主体，负责救助服务对象、救助服务内容、服务标准、服务承接主体的确定；落实工作经费和服务经费；对服务承接主体进行跟踪监督，对服务效果进行验收。对乡镇（街道）、村（社区）和社会组织开展服务情况进行指导、检查和绩效评价，抽查比例不少于每年度服务总数的30%。</w:t>
      </w:r>
    </w:p>
    <w:p w14:paraId="6476EAD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（三）各乡镇负责对社会救助对象的资格、申请服务事项进行审核确认，负责社会救助对象日常走访、需求排查、信息更新，落实政府购买服务之外的各项服务类救助措施。</w:t>
      </w:r>
    </w:p>
    <w:p w14:paraId="524633D9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bidi w:val="0"/>
        <w:adjustRightInd/>
        <w:spacing w:line="560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/>
          <w:b w:val="0"/>
          <w:bCs w:val="0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五、保障措施</w:t>
      </w:r>
    </w:p>
    <w:p w14:paraId="370AEBCA">
      <w:pPr>
        <w:keepNext w:val="0"/>
        <w:keepLines w:val="0"/>
        <w:pageBreakBefore w:val="0"/>
        <w:widowControl w:val="0"/>
        <w:numPr>
          <w:ilvl w:val="0"/>
          <w:numId w:val="0"/>
        </w:numPr>
        <w:wordWrap/>
        <w:topLinePunct w:val="0"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（一）组织保障。</w:t>
      </w: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/>
        </w:rPr>
        <w:t>县政府成立服务类社会救助试点工作领导小组，全面指导、协调、调度全县的服务类社会救助工作，办公室设在县民政局。各乡镇应成立相应的领导小组，负责本辖区服务类社会救助工作。</w:t>
      </w:r>
    </w:p>
    <w:p w14:paraId="0970ACCE"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wordWrap/>
        <w:topLinePunct w:val="0"/>
        <w:bidi w:val="0"/>
        <w:adjustRightInd/>
        <w:snapToGrid w:val="0"/>
        <w:spacing w:line="560" w:lineRule="exact"/>
        <w:ind w:leftChars="0" w:firstLine="640" w:firstLineChars="200"/>
        <w:jc w:val="both"/>
        <w:textAlignment w:val="auto"/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（二）强化监督。</w:t>
      </w: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 w:bidi="ar-SA"/>
        </w:rPr>
        <w:t>制定绩效考核指标，开展绩效评价。定期跟进项目进展，做好对服务供给方的监督、督导，根据困难群众需求及时进行优化、增减救助服务内容，确保实施效果。加强对政府购买服务项目监督管理，完善项目前期立项、中期实施、后期验收等全过程监督评价机制。重点围绕救助对象满意度开展评估，不断改进服务质量。</w:t>
      </w:r>
    </w:p>
    <w:p w14:paraId="6EBBF92D"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wordWrap/>
        <w:topLinePunct w:val="0"/>
        <w:bidi w:val="0"/>
        <w:adjustRightInd/>
        <w:snapToGrid w:val="0"/>
        <w:spacing w:line="560" w:lineRule="exact"/>
        <w:ind w:leftChars="0" w:firstLine="640" w:firstLineChars="200"/>
        <w:jc w:val="both"/>
        <w:textAlignment w:val="auto"/>
        <w:rPr>
          <w:rFonts w:hint="eastAsia" w:ascii="宋体" w:hAnsi="宋体" w:eastAsia="宋体"/>
          <w:b/>
          <w:bCs/>
          <w:sz w:val="44"/>
          <w:szCs w:val="44"/>
          <w:lang w:val="en-US" w:eastAsia="zh-CN"/>
        </w:rPr>
      </w:pPr>
      <w:r>
        <w:rPr>
          <w:rFonts w:hint="eastAsia" w:ascii="楷体" w:hAnsi="楷体" w:eastAsia="楷体"/>
          <w:i w:val="0"/>
          <w:iCs w:val="0"/>
          <w:color w:val="000000"/>
          <w:spacing w:val="0"/>
          <w:kern w:val="0"/>
          <w:sz w:val="32"/>
          <w:szCs w:val="32"/>
          <w:lang w:val="en-US" w:eastAsia="zh-CN" w:bidi="ar"/>
        </w:rPr>
        <w:t>（三）宣传引导。</w:t>
      </w: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shd w:val="clear" w:color="auto" w:fill="auto"/>
          <w:lang w:val="en-US" w:eastAsia="zh-CN" w:bidi="ar-SA"/>
        </w:rPr>
        <w:t>充分发挥新闻媒体的作用，利用线上、线下多种媒体广泛宣传服务类社会救助工作，提升政策知晓率，通过宣传改革工作进展、典型事迹等展示服务成果，形成全社会支持参与服务类社会救助工作的良好氛围。</w:t>
      </w:r>
    </w:p>
    <w:p w14:paraId="74BB9C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/>
          <w:b w:val="0"/>
          <w:bCs w:val="0"/>
          <w:color w:val="000000"/>
          <w:kern w:val="0"/>
          <w:sz w:val="32"/>
          <w:szCs w:val="32"/>
          <w:shd w:val="clear" w:color="auto" w:fill="auto"/>
          <w:lang w:val="en-US" w:eastAsia="zh-CN" w:bidi="ar-SA"/>
        </w:rPr>
      </w:pPr>
    </w:p>
    <w:sectPr>
      <w:footerReference r:id="rId3" w:type="default"/>
      <w:pgSz w:w="11906" w:h="16838"/>
      <w:pgMar w:top="1814" w:right="1417" w:bottom="1701" w:left="1417" w:header="851" w:footer="992" w:gutter="0"/>
      <w:pgNumType w:fmt="numberInDash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1A183E">
    <w:pPr>
      <w:pStyle w:val="8"/>
      <w:tabs>
        <w:tab w:val="clear" w:pos="4153"/>
        <w:tab w:val="clear" w:pos="8306"/>
      </w:tabs>
      <w:rPr>
        <w:sz w:val="18"/>
      </w:rPr>
    </w:pPr>
    <w:r>
      <w:rPr>
        <w:sz w:val="1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_x0000_s20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B63084">
                          <w:pPr>
                            <w:pStyle w:val="8"/>
                            <w:tabs>
                              <w:tab w:val="clear" w:pos="4153"/>
                              <w:tab w:val="clear" w:pos="8306"/>
                            </w:tabs>
                            <w:jc w:val="center"/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  <w:p w14:paraId="0C6FB86D"/>
                      </w:txbxContent>
                    </wps:txbx>
                    <wps:bodyPr rot="0" vert="horz" wrap="square" lIns="0" tIns="0" rIns="0" bIns="0" anchor="t" anchorCtr="0"/>
                  </wps:wsp>
                </a:graphicData>
              </a:graphic>
            </wp:anchor>
          </w:drawing>
        </mc:Choice>
        <mc:Fallback>
          <w:pict>
            <v:rect id="_x0000_s2049" o:spid="_x0000_s1026" o:spt="1" style="position:absolute;left:0pt;margin-top:0pt;height:144pt;width:144pt;mso-position-horizontal:center;mso-position-horizontal-relative:margin;z-index:251659264;mso-width-relative:page;mso-height-relative:page;" filled="f" stroked="f" coordsize="21600,21600" o:gfxdata="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7FB63084">
                    <w:pPr>
                      <w:pStyle w:val="8"/>
                      <w:tabs>
                        <w:tab w:val="clear" w:pos="4153"/>
                        <w:tab w:val="clear" w:pos="8306"/>
                      </w:tabs>
                      <w:jc w:val="center"/>
                      <w:rPr>
                        <w:rFonts w:hint="eastAsia" w:ascii="宋体" w:hAnsi="宋体" w:eastAsia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/>
                        <w:sz w:val="28"/>
                        <w:szCs w:val="28"/>
                      </w:rPr>
                      <w:fldChar w:fldCharType="end"/>
                    </w:r>
                  </w:p>
                  <w:p w14:paraId="0C6FB86D"/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2892385"/>
    <w:multiLevelType w:val="singleLevel"/>
    <w:tmpl w:val="C2892385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5F2AD1F5"/>
    <w:multiLevelType w:val="singleLevel"/>
    <w:tmpl w:val="5F2AD1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doNotDisplayPageBoundaries w:val="1"/>
  <w:documentProtection w:enforcement="0"/>
  <w:defaultTabStop w:val="420"/>
  <w:displayHorizontalDrawingGridEvery w:val="1"/>
  <w:displayVerticalDrawingGridEvery w:val="1"/>
  <w:characterSpacingControl w:val="compressPunctuation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M2M2NkNTUxYzg2NmI0MDU4MTkyMTI0NGY0YTA4NjQifQ=="/>
  </w:docVars>
  <w:rsids>
    <w:rsidRoot w:val="00000000"/>
    <w:rsid w:val="04263067"/>
    <w:rsid w:val="04860B7C"/>
    <w:rsid w:val="05700779"/>
    <w:rsid w:val="0A7465DD"/>
    <w:rsid w:val="0BC414DD"/>
    <w:rsid w:val="0DB3678A"/>
    <w:rsid w:val="0E7E6F0B"/>
    <w:rsid w:val="0FE05A9A"/>
    <w:rsid w:val="19D72D72"/>
    <w:rsid w:val="1DBF7ED4"/>
    <w:rsid w:val="215A6C10"/>
    <w:rsid w:val="216B4463"/>
    <w:rsid w:val="24DA5084"/>
    <w:rsid w:val="2A7F0883"/>
    <w:rsid w:val="31312245"/>
    <w:rsid w:val="32AF7D5E"/>
    <w:rsid w:val="338B0EAB"/>
    <w:rsid w:val="33B90ED7"/>
    <w:rsid w:val="390B5442"/>
    <w:rsid w:val="408F607A"/>
    <w:rsid w:val="40BF6BC9"/>
    <w:rsid w:val="425659E6"/>
    <w:rsid w:val="435C7492"/>
    <w:rsid w:val="445A5A5D"/>
    <w:rsid w:val="47282D50"/>
    <w:rsid w:val="4FE326D3"/>
    <w:rsid w:val="501058E7"/>
    <w:rsid w:val="52AE52B6"/>
    <w:rsid w:val="53776EFD"/>
    <w:rsid w:val="53BB19B4"/>
    <w:rsid w:val="550D3929"/>
    <w:rsid w:val="56727B5F"/>
    <w:rsid w:val="56A9133E"/>
    <w:rsid w:val="5910752F"/>
    <w:rsid w:val="5A153559"/>
    <w:rsid w:val="5CD41DD8"/>
    <w:rsid w:val="5CEE6205"/>
    <w:rsid w:val="676818B7"/>
    <w:rsid w:val="6CCE0C63"/>
    <w:rsid w:val="6E8E12EF"/>
    <w:rsid w:val="706953D0"/>
    <w:rsid w:val="716F71A9"/>
    <w:rsid w:val="768F5592"/>
    <w:rsid w:val="770A4EDC"/>
    <w:rsid w:val="7AFB4DD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1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5">
    <w:name w:val="默认段落字体1"/>
    <w:link w:val="1"/>
    <w:uiPriority w:val="0"/>
    <w:rPr>
      <w:rFonts w:ascii="Times New Roman" w:hAnsi="Times New Roman" w:eastAsia="宋体"/>
    </w:rPr>
  </w:style>
  <w:style w:type="table" w:customStyle="1" w:styleId="6">
    <w:name w:val="普通表格1"/>
    <w:uiPriority w:val="0"/>
    <w:rPr>
      <w:rFonts w:ascii="Times New Roman" w:hAnsi="Times New Roman" w:eastAsia="宋体"/>
    </w:rPr>
  </w:style>
  <w:style w:type="paragraph" w:customStyle="1" w:styleId="7">
    <w:name w:val="纯文本1"/>
    <w:basedOn w:val="1"/>
    <w:qFormat/>
    <w:uiPriority w:val="0"/>
    <w:rPr>
      <w:rFonts w:ascii="宋体" w:hAnsi="Courier New" w:eastAsia="宋体"/>
    </w:rPr>
  </w:style>
  <w:style w:type="paragraph" w:customStyle="1" w:styleId="8">
    <w:name w:val="页脚1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9">
    <w:name w:val="页眉1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10">
    <w:name w:val="目录 21"/>
    <w:basedOn w:val="1"/>
    <w:qFormat/>
    <w:uiPriority w:val="0"/>
    <w:pPr>
      <w:kinsoku w:val="0"/>
      <w:overflowPunct w:val="0"/>
      <w:autoSpaceDE w:val="0"/>
      <w:autoSpaceDN w:val="0"/>
      <w:spacing w:line="20" w:lineRule="exact"/>
      <w:ind w:firstLine="640" w:firstLineChars="200"/>
    </w:pPr>
    <w:rPr>
      <w:rFonts w:ascii="楷体_GB2312" w:hAnsi="黑体" w:eastAsia="楷体_GB2312"/>
      <w:kern w:val="0"/>
      <w:sz w:val="32"/>
      <w:szCs w:val="32"/>
    </w:rPr>
  </w:style>
  <w:style w:type="paragraph" w:customStyle="1" w:styleId="11">
    <w:name w:val="普通(网站)1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rFonts w:ascii="Times New Roman" w:hAnsi="Times New Roman" w:eastAsia="宋体"/>
      <w:kern w:val="0"/>
      <w:sz w:val="24"/>
      <w:lang w:val="en-US" w:eastAsia="zh-CN" w:bidi="ar"/>
    </w:rPr>
  </w:style>
  <w:style w:type="character" w:customStyle="1" w:styleId="12">
    <w:name w:val="要点1"/>
    <w:basedOn w:val="5"/>
    <w:link w:val="1"/>
    <w:qFormat/>
    <w:uiPriority w:val="0"/>
    <w:rPr>
      <w:rFonts w:ascii="Times New Roman" w:hAnsi="Times New Roman" w:eastAsia="宋体"/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9</Pages>
  <Words>2429</Words>
  <Characters>2454</Characters>
  <Lines>0</Lines>
  <Paragraphs>0</Paragraphs>
  <TotalTime>73</TotalTime>
  <ScaleCrop>false</ScaleCrop>
  <LinksUpToDate>false</LinksUpToDate>
  <CharactersWithSpaces>2518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2024-08-23T01:37:00Z</dcterms:created>
  <dc:creator>未来</dc:creator>
  <cp:lastModifiedBy>你渴望力量吗？</cp:lastModifiedBy>
  <cp:lastPrinted>2024-08-23T02:47:00Z</cp:lastPrinted>
  <dcterms:modified xsi:type="dcterms:W3CDTF">2026-01-09T07:18:54Z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8317AB12828B42568264816CC4456F54_13</vt:lpwstr>
  </property>
  <property fmtid="{D5CDD505-2E9C-101B-9397-08002B2CF9AE}" pid="4" name="KSOTemplateDocerSaveRecord">
    <vt:lpwstr>eyJoZGlkIjoiZDE4NWUwZWQ0ZWY4NGY5MjZkYzU3ZGI3ODMyNmNiNmIiLCJ1c2VySWQiOiI1MTM2NDE5MjQifQ==</vt:lpwstr>
  </property>
</Properties>
</file>