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700" w:lineRule="exact"/>
        <w:ind w:right="0"/>
        <w:jc w:val="center"/>
        <w:textAlignment w:val="auto"/>
        <w:rPr>
          <w:rFonts w:ascii="方正小标宋简体" w:eastAsia="方正小标宋简体" w:cs="方正小标宋简体" w:hAnsi="方正小标宋简体" w:hint="eastAsia"/>
          <w:kern w:val="2"/>
          <w:sz w:val="44"/>
          <w:szCs w:val="52"/>
          <w:lang w:val="en-US" w:eastAsia="zh-CN" w:bidi="ar-SA"/>
        </w:rPr>
      </w:pPr>
      <w:r>
        <w:rPr>
          <w:rFonts w:ascii="方正小标宋简体" w:eastAsia="方正小标宋简体" w:cs="方正小标宋简体" w:hAnsi="方正小标宋简体" w:hint="eastAsia"/>
          <w:kern w:val="2"/>
          <w:sz w:val="44"/>
          <w:szCs w:val="52"/>
          <w:lang w:val="en-US" w:eastAsia="zh-CN" w:bidi="ar-SA"/>
        </w:rPr>
        <w:t>宁晋县供销合作社</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700" w:lineRule="exact"/>
        <w:ind w:right="0"/>
        <w:jc w:val="center"/>
        <w:textAlignment w:val="auto"/>
        <w:rPr>
          <w:rFonts w:ascii="方正小标宋简体" w:eastAsia="方正小标宋简体" w:cs="方正小标宋简体" w:hAnsi="方正小标宋简体" w:hint="eastAsia"/>
          <w:kern w:val="2"/>
          <w:sz w:val="44"/>
          <w:szCs w:val="52"/>
          <w:lang w:val="en-US" w:eastAsia="zh-CN" w:bidi="ar-SA"/>
        </w:rPr>
      </w:pPr>
      <w:r>
        <w:rPr>
          <w:rFonts w:ascii="方正小标宋简体" w:eastAsia="方正小标宋简体" w:cs="方正小标宋简体" w:hAnsi="方正小标宋简体" w:hint="eastAsia"/>
          <w:kern w:val="2"/>
          <w:sz w:val="44"/>
          <w:szCs w:val="52"/>
          <w:lang w:val="en-US" w:eastAsia="zh-CN" w:bidi="ar-SA"/>
        </w:rPr>
        <w:t>202</w:t>
      </w:r>
      <w:r>
        <w:rPr>
          <w:rFonts w:ascii="方正小标宋简体" w:eastAsia="方正小标宋简体" w:cs="方正小标宋简体" w:hAnsi="方正小标宋简体"/>
          <w:kern w:val="2"/>
          <w:sz w:val="44"/>
          <w:szCs w:val="52"/>
          <w:lang w:val="en-US" w:eastAsia="zh-CN" w:bidi="ar-SA"/>
        </w:rPr>
        <w:t>5</w:t>
      </w:r>
      <w:r>
        <w:rPr>
          <w:rFonts w:ascii="方正小标宋简体" w:eastAsia="方正小标宋简体" w:cs="方正小标宋简体" w:hAnsi="方正小标宋简体" w:hint="eastAsia"/>
          <w:kern w:val="2"/>
          <w:sz w:val="44"/>
          <w:szCs w:val="52"/>
          <w:lang w:val="en-US" w:eastAsia="zh-CN" w:bidi="ar-SA"/>
        </w:rPr>
        <w:t>年政府信息公开工作年度报告</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hint="eastAsia"/>
          <w:i w:val="0"/>
          <w:iCs w:val="0"/>
          <w:caps w:val="0"/>
          <w:smallCaps w:val="0"/>
          <w:color w:val="333333"/>
          <w:spacing w:val="0"/>
          <w:sz w:val="24"/>
          <w:szCs w:val="24"/>
        </w:rPr>
      </w:pP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方正小标宋简体" w:eastAsia="方正小标宋简体" w:cs="方正小标宋简体" w:hAnsi="方正小标宋简体" w:hint="eastAsia"/>
          <w:kern w:val="2"/>
          <w:sz w:val="32"/>
          <w:szCs w:val="40"/>
          <w:lang w:val="en-US" w:eastAsia="zh-CN" w:bidi="ar-SA"/>
        </w:rPr>
      </w:pPr>
      <w:r>
        <w:rPr>
          <w:rFonts w:ascii="仿宋" w:eastAsia="仿宋" w:cs="仿宋" w:hAnsi="仿宋" w:hint="eastAsia"/>
          <w:kern w:val="2"/>
          <w:sz w:val="32"/>
          <w:szCs w:val="40"/>
          <w:lang w:val="en-US" w:eastAsia="zh-CN" w:bidi="ar-SA"/>
        </w:rPr>
        <w:t>本年度报告依据《中华人民共和国政府信息公开条例》、《中华人民共和国政府信息公开工作年度报告格式》和省、市、县政务公开工作要求，由宁晋县供销合作社编制而成。全文包括总体情况、主动公开政府信息情况、收到和处理政府信息公开申请情况、政府信息公开行政复议和行政诉讼情况、存在的主要问题及改进情况、其他需要报告的事项等内容。本年报中所列数据的统计期限为202</w:t>
      </w:r>
      <w:r>
        <w:rPr>
          <w:rFonts w:ascii="仿宋" w:eastAsia="仿宋" w:cs="仿宋" w:hAnsi="仿宋"/>
          <w:kern w:val="2"/>
          <w:sz w:val="32"/>
          <w:szCs w:val="40"/>
          <w:lang w:val="en-US" w:eastAsia="zh-CN" w:bidi="ar-SA"/>
        </w:rPr>
        <w:t>5</w:t>
      </w:r>
      <w:r>
        <w:rPr>
          <w:rFonts w:ascii="仿宋" w:eastAsia="仿宋" w:cs="仿宋" w:hAnsi="仿宋" w:hint="eastAsia"/>
          <w:kern w:val="2"/>
          <w:sz w:val="32"/>
          <w:szCs w:val="40"/>
          <w:lang w:val="en-US" w:eastAsia="zh-CN" w:bidi="ar-SA"/>
        </w:rPr>
        <w:t>年1月1日至12月31日。</w:t>
      </w:r>
    </w:p>
    <w:p>
      <w:pPr>
        <w:ind w:firstLineChars="200" w:firstLine="640"/>
        <w:rPr>
          <w:rFonts w:ascii="黑体" w:eastAsia="黑体" w:cs="黑体" w:hAnsi="黑体" w:hint="eastAsia"/>
          <w:sz w:val="32"/>
          <w:szCs w:val="40"/>
          <w:lang w:val="en-US" w:eastAsia="zh-CN"/>
        </w:rPr>
      </w:pPr>
      <w:r>
        <w:rPr>
          <w:rFonts w:ascii="黑体" w:eastAsia="黑体" w:cs="黑体" w:hAnsi="黑体" w:hint="eastAsia"/>
          <w:sz w:val="32"/>
          <w:szCs w:val="40"/>
          <w:lang w:val="en-US" w:eastAsia="zh-CN"/>
        </w:rPr>
        <w:t>一、总体情况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今年以来我社严格落实《条例》和省、市、县信息公开相关文件要求，切实加强政府信息公开工作的组织建设和宣传管理，促进机关政务公开工作向制度化、规范化发展，全面引导和推进政府信息公开工作纵深发展，不断增强政府信息公开实效。</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楷体" w:eastAsia="楷体" w:cs="楷体" w:hAnsi="楷体" w:hint="eastAsia"/>
          <w:kern w:val="2"/>
          <w:sz w:val="32"/>
          <w:szCs w:val="40"/>
          <w:lang w:val="en-US" w:eastAsia="zh-CN" w:bidi="ar-SA"/>
        </w:rPr>
      </w:pPr>
      <w:r>
        <w:rPr>
          <w:rFonts w:ascii="楷体" w:eastAsia="楷体" w:cs="楷体" w:hAnsi="楷体" w:hint="eastAsia"/>
          <w:kern w:val="2"/>
          <w:sz w:val="32"/>
          <w:szCs w:val="40"/>
          <w:lang w:val="en-US" w:eastAsia="zh-CN" w:bidi="ar-SA"/>
        </w:rPr>
        <w:t>（一）主动公开政府信息情况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b/>
          <w:bCs/>
          <w:kern w:val="2"/>
          <w:sz w:val="32"/>
          <w:szCs w:val="40"/>
          <w:lang w:val="en-US" w:eastAsia="zh-CN" w:bidi="ar-SA"/>
        </w:rPr>
      </w:pPr>
      <w:r>
        <w:rPr>
          <w:rFonts w:ascii="仿宋" w:eastAsia="仿宋" w:cs="仿宋" w:hAnsi="仿宋" w:hint="eastAsia"/>
          <w:b/>
          <w:bCs/>
          <w:kern w:val="2"/>
          <w:sz w:val="32"/>
          <w:szCs w:val="40"/>
          <w:lang w:val="en-US" w:eastAsia="zh-CN" w:bidi="ar-SA"/>
        </w:rPr>
        <w:t>1.主动公开政府信息的数量</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202</w:t>
      </w:r>
      <w:r>
        <w:rPr>
          <w:rFonts w:ascii="仿宋" w:eastAsia="仿宋" w:cs="仿宋" w:hAnsi="仿宋"/>
          <w:kern w:val="2"/>
          <w:sz w:val="32"/>
          <w:szCs w:val="40"/>
          <w:lang w:val="en-US" w:eastAsia="zh-CN" w:bidi="ar-SA"/>
        </w:rPr>
        <w:t>5</w:t>
      </w:r>
      <w:r>
        <w:rPr>
          <w:rFonts w:ascii="仿宋" w:eastAsia="仿宋" w:cs="仿宋" w:hAnsi="仿宋" w:hint="eastAsia"/>
          <w:kern w:val="2"/>
          <w:sz w:val="32"/>
          <w:szCs w:val="40"/>
          <w:lang w:val="en-US" w:eastAsia="zh-CN" w:bidi="ar-SA"/>
        </w:rPr>
        <w:t>年我社主动更新发布政府信息</w:t>
      </w:r>
      <w:r>
        <w:rPr>
          <w:rFonts w:ascii="仿宋" w:eastAsia="仿宋" w:cs="仿宋" w:hAnsi="仿宋"/>
          <w:kern w:val="2"/>
          <w:sz w:val="32"/>
          <w:szCs w:val="40"/>
          <w:lang w:val="en-US" w:eastAsia="zh-CN" w:bidi="ar-SA"/>
        </w:rPr>
        <w:t>8</w:t>
      </w:r>
      <w:r>
        <w:rPr>
          <w:rFonts w:ascii="仿宋" w:eastAsia="仿宋" w:cs="仿宋" w:hAnsi="仿宋" w:hint="eastAsia"/>
          <w:kern w:val="2"/>
          <w:sz w:val="32"/>
          <w:szCs w:val="40"/>
          <w:lang w:val="en-US" w:eastAsia="zh-CN" w:bidi="ar-SA"/>
        </w:rPr>
        <w:t>条。</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b/>
          <w:bCs/>
          <w:kern w:val="2"/>
          <w:sz w:val="32"/>
          <w:szCs w:val="40"/>
          <w:u w:val="none"/>
          <w:lang w:val="en-US" w:eastAsia="zh-CN" w:bidi="ar-SA"/>
        </w:rPr>
      </w:pPr>
      <w:r>
        <w:rPr>
          <w:rFonts w:ascii="仿宋" w:eastAsia="仿宋" w:cs="仿宋" w:hAnsi="仿宋" w:hint="eastAsia"/>
          <w:b/>
          <w:bCs/>
          <w:kern w:val="2"/>
          <w:sz w:val="32"/>
          <w:szCs w:val="40"/>
          <w:u w:val="none"/>
          <w:lang w:val="en-US" w:eastAsia="zh-CN" w:bidi="ar-SA"/>
        </w:rPr>
        <w:t>2.主动公开政府信息内容</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及时公开涉及的乡村振兴战略和供销社综合改革的信息，被《宁晋快报》采用</w:t>
      </w:r>
      <w:r>
        <w:rPr>
          <w:rFonts w:ascii="仿宋" w:eastAsia="仿宋" w:cs="仿宋" w:hAnsi="仿宋"/>
          <w:kern w:val="2"/>
          <w:sz w:val="32"/>
          <w:szCs w:val="40"/>
          <w:lang w:val="en-US" w:eastAsia="zh-CN" w:bidi="ar-SA"/>
        </w:rPr>
        <w:t>4</w:t>
      </w:r>
      <w:r>
        <w:rPr>
          <w:rFonts w:ascii="仿宋" w:eastAsia="仿宋" w:cs="仿宋" w:hAnsi="仿宋" w:hint="eastAsia"/>
          <w:kern w:val="2"/>
          <w:sz w:val="32"/>
          <w:szCs w:val="40"/>
          <w:lang w:val="en-US" w:eastAsia="zh-CN" w:bidi="ar-SA"/>
        </w:rPr>
        <w:t>篇</w:t>
      </w:r>
      <w:r>
        <w:rPr>
          <w:rFonts w:ascii="仿宋" w:eastAsia="仿宋" w:cs="仿宋" w:hAnsi="仿宋"/>
          <w:kern w:val="2"/>
          <w:sz w:val="32"/>
          <w:szCs w:val="40"/>
          <w:lang w:val="en-US" w:eastAsia="zh-CN" w:bidi="ar-SA"/>
        </w:rPr>
        <w:t>、《要情快报》采用2篇</w:t>
      </w:r>
      <w:r>
        <w:rPr>
          <w:rFonts w:ascii="仿宋" w:eastAsia="仿宋" w:cs="仿宋" w:hAnsi="仿宋" w:hint="eastAsia"/>
          <w:kern w:val="2"/>
          <w:sz w:val="32"/>
          <w:szCs w:val="40"/>
          <w:lang w:val="en-US" w:eastAsia="zh-CN" w:bidi="ar-SA"/>
        </w:rPr>
        <w:t>。利用河北省农村产权交易中心网站发布信息9</w:t>
      </w:r>
      <w:r>
        <w:rPr>
          <w:rFonts w:ascii="仿宋" w:eastAsia="仿宋" w:cs="仿宋" w:hAnsi="仿宋"/>
          <w:kern w:val="2"/>
          <w:sz w:val="32"/>
          <w:szCs w:val="40"/>
          <w:lang w:val="en-US" w:eastAsia="zh-CN" w:bidi="ar-SA"/>
        </w:rPr>
        <w:t>109</w:t>
      </w:r>
      <w:bookmarkStart w:id="0" w:name="_GoBack"/>
      <w:bookmarkEnd w:id="0"/>
      <w:r>
        <w:rPr>
          <w:rFonts w:ascii="仿宋" w:eastAsia="仿宋" w:cs="仿宋" w:hAnsi="仿宋" w:hint="eastAsia"/>
          <w:kern w:val="2"/>
          <w:sz w:val="32"/>
          <w:szCs w:val="40"/>
          <w:lang w:val="en-US" w:eastAsia="zh-CN" w:bidi="ar-SA"/>
        </w:rPr>
        <w:t>条，做好服务“三农”的信息发布工作。</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楷体" w:eastAsia="楷体" w:cs="楷体" w:hAnsi="楷体" w:hint="eastAsia"/>
          <w:kern w:val="2"/>
          <w:sz w:val="32"/>
          <w:szCs w:val="40"/>
          <w:lang w:val="en-US" w:eastAsia="zh-CN" w:bidi="ar-SA"/>
        </w:rPr>
      </w:pPr>
      <w:r>
        <w:rPr>
          <w:rFonts w:ascii="楷体" w:eastAsia="楷体" w:cs="楷体" w:hAnsi="楷体" w:hint="eastAsia"/>
          <w:kern w:val="2"/>
          <w:sz w:val="32"/>
          <w:szCs w:val="40"/>
          <w:lang w:val="en-US" w:eastAsia="zh-CN" w:bidi="ar-SA"/>
        </w:rPr>
        <w:t>（二）政府信息依申请公开办理情况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本年度我社未收到关于依申请公开政府信息的申请。</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楷体" w:eastAsia="楷体" w:cs="楷体" w:hAnsi="楷体" w:hint="eastAsia"/>
          <w:kern w:val="2"/>
          <w:sz w:val="32"/>
          <w:szCs w:val="40"/>
          <w:lang w:val="en-US" w:eastAsia="zh-CN" w:bidi="ar-SA"/>
        </w:rPr>
      </w:pPr>
      <w:r>
        <w:rPr>
          <w:rFonts w:ascii="楷体" w:eastAsia="楷体" w:cs="楷体" w:hAnsi="楷体" w:hint="eastAsia"/>
          <w:kern w:val="2"/>
          <w:sz w:val="32"/>
          <w:szCs w:val="40"/>
          <w:lang w:val="en-US" w:eastAsia="zh-CN" w:bidi="ar-SA"/>
        </w:rPr>
        <w:t>（三）政府信息管理情况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为有效促进政务公开政府信息公开工作开展，确保工作规范、有序、有效进行，指定办公室为信息公开工作主管科室，并指定专门人员管理此项工作，负责督促、协调、监督信息公开工作，积极与各科室联系沟通，盯紧热点信息、及时获悉、及时公开发布，确保政府信息公开工作有序稳步顺利推进。</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楷体" w:eastAsia="楷体" w:cs="楷体" w:hAnsi="楷体" w:hint="eastAsia"/>
          <w:kern w:val="2"/>
          <w:sz w:val="32"/>
          <w:szCs w:val="40"/>
          <w:lang w:val="en-US" w:eastAsia="zh-CN" w:bidi="ar-SA"/>
        </w:rPr>
      </w:pPr>
      <w:r>
        <w:rPr>
          <w:rFonts w:ascii="楷体" w:eastAsia="楷体" w:cs="楷体" w:hAnsi="楷体" w:hint="eastAsia"/>
          <w:kern w:val="2"/>
          <w:sz w:val="32"/>
          <w:szCs w:val="40"/>
          <w:lang w:val="en-US" w:eastAsia="zh-CN" w:bidi="ar-SA"/>
        </w:rPr>
        <w:t>（四）政府信息公开平台建设</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我社无政府信息公开平台建设。</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楷体" w:eastAsia="楷体" w:cs="楷体" w:hAnsi="楷体" w:hint="eastAsia"/>
          <w:kern w:val="2"/>
          <w:sz w:val="32"/>
          <w:szCs w:val="40"/>
          <w:lang w:val="en-US" w:eastAsia="zh-CN" w:bidi="ar-SA"/>
        </w:rPr>
      </w:pPr>
      <w:r>
        <w:rPr>
          <w:rFonts w:ascii="楷体" w:eastAsia="楷体" w:cs="楷体" w:hAnsi="楷体" w:hint="eastAsia"/>
          <w:kern w:val="2"/>
          <w:sz w:val="32"/>
          <w:szCs w:val="40"/>
          <w:lang w:val="en-US" w:eastAsia="zh-CN" w:bidi="ar-SA"/>
        </w:rPr>
        <w:t>（五）政府信息公开工作的监督保障情况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Chars="200" w:firstLine="640"/>
        <w:jc w:val="both"/>
        <w:textAlignment w:val="auto"/>
        <w:rPr>
          <w:rFonts w:ascii="仿宋" w:eastAsia="仿宋" w:cs="仿宋" w:hAnsi="仿宋" w:hint="eastAsia"/>
          <w:kern w:val="2"/>
          <w:sz w:val="32"/>
          <w:szCs w:val="40"/>
          <w:lang w:val="en-US" w:eastAsia="zh-CN" w:bidi="ar-SA"/>
        </w:rPr>
      </w:pPr>
      <w:r>
        <w:rPr>
          <w:rFonts w:ascii="仿宋" w:eastAsia="仿宋" w:cs="仿宋" w:hAnsi="仿宋" w:hint="eastAsia"/>
          <w:kern w:val="2"/>
          <w:sz w:val="32"/>
          <w:szCs w:val="40"/>
          <w:lang w:val="en-US" w:eastAsia="zh-CN" w:bidi="ar-SA"/>
        </w:rPr>
        <w:t>1.安排专人负责，对应该主动公开的信息在规定时限内及时公开，公开的时间与公开的内容相适应，经常性工作定期公开，阶段性工作逐段公开，临时性工作随时公开。</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adjustRightInd/>
        <w:snapToGrid/>
        <w:spacing w:before="0" w:beforeAutospacing="0" w:after="0" w:afterAutospacing="0" w:line="560" w:lineRule="exact"/>
        <w:ind w:firstLineChars="200" w:firstLine="640"/>
        <w:jc w:val="both"/>
        <w:rPr>
          <w:rFonts w:ascii="仿宋" w:eastAsia="仿宋" w:cs="仿宋" w:hAnsi="仿宋"/>
          <w:kern w:val="2"/>
          <w:sz w:val="32"/>
          <w:szCs w:val="40"/>
          <w:lang w:val="en-US" w:eastAsia="zh-CN" w:bidi="ar-SA"/>
        </w:rPr>
      </w:pPr>
      <w:r>
        <w:rPr>
          <w:rFonts w:ascii="仿宋" w:eastAsia="仿宋" w:cs="仿宋" w:hAnsi="仿宋" w:hint="eastAsia"/>
          <w:kern w:val="2"/>
          <w:sz w:val="32"/>
          <w:szCs w:val="40"/>
          <w:lang w:val="en-US" w:eastAsia="zh-CN" w:bidi="ar-SA"/>
        </w:rPr>
        <w:t>2.加强人员专业培训，结合国务院相关主管部门制定或者修订的政府信息公开行政复议案件审理规范、《河北省政府信息公开申请办理规范》和年度报格式，重点对依申请公开办理和政府信息公开年度报告编制等进行培训，提升业务人员操作技能，夯实业务基础，提升政务公开工作水平。</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adjustRightInd/>
        <w:snapToGrid/>
        <w:spacing w:before="0" w:beforeAutospacing="0" w:after="0" w:afterAutospacing="0" w:line="560" w:lineRule="exact"/>
        <w:ind w:firstLineChars="200" w:firstLine="640"/>
        <w:jc w:val="both"/>
        <w:rPr>
          <w:rFonts w:ascii="仿宋" w:eastAsia="仿宋" w:cs="仿宋" w:hAnsi="仿宋" w:hint="eastAsia"/>
          <w:kern w:val="2"/>
          <w:sz w:val="32"/>
          <w:szCs w:val="40"/>
        </w:rPr>
      </w:pPr>
    </w:p>
    <w:p>
      <w:pPr>
        <w:ind w:firstLineChars="200" w:firstLine="640"/>
        <w:rPr>
          <w:rFonts w:ascii="黑体" w:eastAsia="黑体" w:cs="黑体" w:hAnsi="黑体" w:hint="eastAsia"/>
          <w:sz w:val="32"/>
          <w:szCs w:val="40"/>
          <w:lang w:val="en-US" w:eastAsia="zh-CN"/>
        </w:rPr>
      </w:pPr>
      <w:r>
        <w:rPr>
          <w:rFonts w:ascii="黑体" w:eastAsia="黑体" w:cs="黑体" w:hAnsi="黑体" w:hint="eastAsia"/>
          <w:sz w:val="32"/>
          <w:szCs w:val="40"/>
          <w:lang w:val="en-US" w:eastAsia="zh-CN"/>
        </w:rPr>
        <w:t>二、主动公开政府信息情况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p>
    <w:tbl>
      <w:tblPr>
        <w:jc w:val="center"/>
        <w:tblW w:w="9740" w:type="dxa"/>
        <w:tblBorders>
          <w:top w:val="none" w:sz="0" w:space="0" w:color="auto"/>
          <w:left w:val="none" w:sz="0" w:space="0" w:color="auto"/>
          <w:bottom w:val="none" w:sz="0" w:space="0" w:color="auto"/>
          <w:right w:val="none" w:sz="0"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2435"/>
        <w:gridCol w:w="2435"/>
        <w:gridCol w:w="2435"/>
        <w:gridCol w:w="2435"/>
      </w:tblGrid>
      <w:tr>
        <w:trPr>
          <w:trHeight w:val="340"/>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第二十条第（一）项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w:t>
            </w:r>
            <w:r>
              <w:rPr>
                <w:rFonts w:ascii="宋体" w:eastAsia="宋体" w:cs="宋体" w:hAnsi="宋体" w:hint="eastAsia"/>
                <w:kern w:val="0"/>
                <w:sz w:val="20"/>
                <w:szCs w:val="20"/>
                <w:lang w:val="en-US" w:eastAsia="zh-CN"/>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现行有效件</w:t>
            </w:r>
            <w:r>
              <w:rPr>
                <w:rFonts w:ascii="宋体" w:eastAsia="宋体" w:cs="宋体" w:hAnsi="宋体" w:hint="eastAsia"/>
                <w:kern w:val="0"/>
                <w:sz w:val="20"/>
                <w:szCs w:val="20"/>
                <w:lang w:val="en-US" w:eastAsia="zh-CN"/>
              </w:rPr>
              <w:t>数</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eastAsia="宋体"/>
                <w:lang w:val="en-US" w:eastAsia="zh-CN"/>
              </w:rPr>
            </w:pPr>
            <w:r>
              <w:rPr>
                <w:rFonts w:hint="eastAsia"/>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eastAsia="zh-CN"/>
              </w:rPr>
            </w:pPr>
            <w:r>
              <w:rPr>
                <w:rFonts w:hint="eastAsia"/>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eastAsia="zh-CN"/>
              </w:rPr>
            </w:pPr>
            <w:r>
              <w:rPr>
                <w:rFonts w:hint="eastAsia"/>
                <w:lang w:val="en-US" w:eastAsia="zh-CN"/>
              </w:rPr>
              <w:t>0</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rPr>
            </w:pPr>
            <w:r>
              <w:rPr>
                <w:rFonts w:hint="eastAsia"/>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eastAsia="zh-CN"/>
              </w:rPr>
            </w:pPr>
            <w:r>
              <w:rPr>
                <w:rFonts w:hint="eastAsia"/>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eastAsia="zh-CN"/>
              </w:rPr>
            </w:pPr>
            <w:r>
              <w:rPr>
                <w:rFonts w:hint="eastAsia"/>
                <w:lang w:val="en-US" w:eastAsia="zh-CN"/>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第二十条第（五）项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rPr>
            </w:pPr>
            <w:r>
              <w:rPr>
                <w:rFonts w:hint="eastAsia"/>
                <w:lang w:val="en-US" w:eastAsia="zh-CN"/>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第二十条第（六）项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rPr>
            </w:pPr>
            <w:r>
              <w:rPr>
                <w:rFonts w:hint="eastAsia"/>
                <w:lang w:val="en-US" w:eastAsia="zh-CN"/>
              </w:rPr>
              <w:t>0</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lang w:val="en-US"/>
              </w:rPr>
            </w:pPr>
            <w:r>
              <w:rPr>
                <w:rFonts w:hint="eastAsia"/>
                <w:lang w:val="en-US" w:eastAsia="zh-CN"/>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第二十条第（八）项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color w:val="000000"/>
                <w:kern w:val="0"/>
                <w:sz w:val="20"/>
                <w:szCs w:val="20"/>
                <w:lang w:val="en-US" w:eastAsia="zh-CN"/>
              </w:rPr>
              <w:t>本年收费金额（单位：万元）</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color w:val="000000"/>
                <w:kern w:val="0"/>
                <w:sz w:val="20"/>
                <w:szCs w:val="20"/>
                <w:lang w:val="en-US" w:eastAsia="zh-CN"/>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jc w:val="center"/>
              <w:rPr>
                <w:rFonts w:ascii="宋体" w:eastAsia="宋体" w:hint="eastAsia"/>
                <w:sz w:val="24"/>
                <w:szCs w:val="24"/>
                <w:lang w:val="en-US" w:eastAsia="zh-CN"/>
              </w:rPr>
            </w:pPr>
            <w:r>
              <w:rPr>
                <w:rFonts w:hint="eastAsia"/>
                <w:lang w:val="en-US" w:eastAsia="zh-CN"/>
              </w:rPr>
              <w:t>0</w:t>
            </w:r>
          </w:p>
        </w:tc>
      </w:tr>
    </w:tbl>
    <w:p>
      <w:pPr>
        <w:ind w:firstLineChars="200" w:firstLine="640"/>
        <w:rPr>
          <w:rFonts w:ascii="黑体" w:eastAsia="黑体" w:cs="黑体" w:hAnsi="黑体" w:hint="eastAsia"/>
          <w:sz w:val="32"/>
          <w:szCs w:val="40"/>
          <w:lang w:val="en-US" w:eastAsia="zh-CN"/>
        </w:rPr>
      </w:pPr>
      <w:r>
        <w:rPr>
          <w:rFonts w:ascii="黑体" w:eastAsia="黑体" w:cs="黑体" w:hAnsi="黑体" w:hint="eastAsia"/>
          <w:sz w:val="32"/>
          <w:szCs w:val="40"/>
          <w:lang w:val="en-US" w:eastAsia="zh-CN"/>
        </w:rPr>
        <w:t>三、收到和处理政府信息公开申请情况</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420"/>
        <w:jc w:val="both"/>
        <w:rPr>
          <w:rFonts w:ascii="宋体" w:eastAsia="宋体" w:cs="宋体" w:hAnsi="宋体" w:hint="eastAsia"/>
          <w:i w:val="0"/>
          <w:iCs w:val="0"/>
          <w:caps w:val="0"/>
          <w:smallCaps w:val="0"/>
          <w:color w:val="333333"/>
          <w:spacing w:val="0"/>
          <w:sz w:val="24"/>
          <w:szCs w:val="24"/>
        </w:rPr>
      </w:pP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768"/>
        <w:gridCol w:w="943"/>
        <w:gridCol w:w="3220"/>
        <w:gridCol w:w="688"/>
        <w:gridCol w:w="688"/>
        <w:gridCol w:w="688"/>
        <w:gridCol w:w="688"/>
        <w:gridCol w:w="688"/>
        <w:gridCol w:w="688"/>
        <w:gridCol w:w="689"/>
      </w:tblGrid>
      <w:tr>
        <w:tc>
          <w:tcPr>
            <w:tcW w:w="4931"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楷体" w:eastAsia="楷体" w:cs="楷体" w:hAnsi="楷体" w:hint="eastAsia"/>
                <w:kern w:val="0"/>
                <w:sz w:val="20"/>
                <w:szCs w:val="20"/>
                <w:lang w:val="en-US" w:eastAsia="zh-CN"/>
              </w:rPr>
              <w:t>（本列数据的勾稽关系为：第一项加第二项之和，等于第三项加第四项之和）</w:t>
            </w:r>
          </w:p>
        </w:tc>
        <w:tc>
          <w:tcPr>
            <w:tcW w:w="4817"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申请人情况</w:t>
            </w:r>
          </w:p>
        </w:tc>
      </w:tr>
      <w:t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688"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自然人</w:t>
            </w:r>
          </w:p>
        </w:tc>
        <w:tc>
          <w:tcPr>
            <w:tcW w:w="344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法人或其他组织</w:t>
            </w:r>
          </w:p>
        </w:tc>
        <w:tc>
          <w:tcPr>
            <w:tcW w:w="689"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总计</w:t>
            </w:r>
          </w:p>
        </w:tc>
      </w:tr>
      <w:t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688" w:type="dxa"/>
            <w:vMerge/>
            <w:tcBorders>
              <w:top w:val="nil"/>
              <w:left w:val="nil"/>
              <w:bottom w:val="single" w:sz="8" w:space="0" w:color="auto"/>
              <w:right w:val="single" w:sz="8" w:space="0" w:color="auto"/>
            </w:tcBorders>
            <w:shd w:val="clear" w:color="auto" w:fill="auto"/>
            <w:tcMar>
              <w:left w:w="57" w:type="dxa"/>
              <w:right w:w="57" w:type="dxa"/>
            </w:tcMar>
            <w:vAlign w:val="center"/>
          </w:tcP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商业</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企业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科研</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社会公益组织</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法律服务机构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其他</w:t>
            </w:r>
          </w:p>
        </w:tc>
        <w:tc>
          <w:tcPr>
            <w:tcW w:w="689"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tc>
      </w:tr>
      <w:t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一、本年新收政府信息公开申请数量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二、上年结转政府信息公开申请数量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768"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三、本年度办理结果</w:t>
            </w: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（一）予以公开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（二）部分公开</w:t>
            </w:r>
            <w:r>
              <w:rPr>
                <w:rFonts w:ascii="楷体" w:eastAsia="楷体" w:cs="楷体" w:hAnsi="楷体" w:hint="eastAsia"/>
                <w:kern w:val="0"/>
                <w:sz w:val="20"/>
                <w:szCs w:val="20"/>
                <w:lang w:val="en-US" w:eastAsia="zh-CN"/>
              </w:rPr>
              <w:t>（区分处理的，只计这一情形，不计其他情形）</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（三）不予公开</w:t>
            </w: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1.属于国家秘密</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2.其他法律行政法规禁止公开</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3.危及“三安全一稳定”</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4.保护第三方合法权益</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5.属于三类内部事务信息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6.属于四类过程性信息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7.属于行政执法案卷</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8.属于行政查询事项</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（四）无法提供</w:t>
            </w: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1.本机关不掌握相关政府信息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2.没有现成信息需要另行制作</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3.补正后申请内容仍不明确</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（五）不予处理</w:t>
            </w: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1.信访举报投诉类申请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2.重复申请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3.要求提供公开出版物</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4.无正当理由大量反复申请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pPr>
              <w:jc w:val="center"/>
              <w:rPr>
                <w:lang w:val="en-US" w:eastAsia="zh-CN"/>
              </w:rPr>
            </w:pPr>
            <w:r>
              <w:rPr>
                <w:rFonts w:hint="eastAsia"/>
                <w:lang w:val="en-US" w:eastAsia="zh-CN"/>
              </w:rPr>
              <w:t>0</w:t>
            </w:r>
          </w:p>
        </w:tc>
      </w:tr>
      <w:tr>
        <w:trPr>
          <w:trHeight w:val="779"/>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5.要求行政机关确认或重新出具已获取信息</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outset"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（六）其他处理</w:t>
            </w: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1.申请人无正当理由逾期不补正、行政机关不再处理其政府信息公开申请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2.申请人逾期未按收费通知要求缴纳费用、行政机关不再处理其政府信息公开申请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3.其他</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（七）总计</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四、结转下年度继续办理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lang w:val="en-US" w:eastAsia="zh-CN"/>
              </w:rPr>
            </w:pPr>
            <w:r>
              <w:rPr>
                <w:rFonts w:hint="eastAsia"/>
                <w:lang w:val="en-US" w:eastAsia="zh-CN"/>
              </w:rPr>
              <w:t>0</w:t>
            </w:r>
          </w:p>
        </w:tc>
        <w:tc>
          <w:tcPr>
            <w:tcW w:w="689"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bl>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right="0" w:firstLineChars="200" w:firstLine="640"/>
        <w:jc w:val="both"/>
        <w:rPr>
          <w:rFonts w:ascii="黑体" w:eastAsia="黑体" w:cs="黑体" w:hAnsi="黑体" w:hint="eastAsia"/>
          <w:b w:val="0"/>
          <w:bCs w:val="0"/>
          <w:i w:val="0"/>
          <w:iCs w:val="0"/>
          <w:caps w:val="0"/>
          <w:smallCaps w:val="0"/>
          <w:color w:val="333333"/>
          <w:spacing w:val="0"/>
          <w:sz w:val="32"/>
          <w:szCs w:val="32"/>
          <w:shd w:val="clear" w:color="auto" w:fill="FFFFFF"/>
        </w:rPr>
      </w:pPr>
      <w:r>
        <w:rPr>
          <w:rFonts w:ascii="黑体" w:eastAsia="黑体" w:cs="黑体" w:hAnsi="黑体" w:hint="eastAsia"/>
          <w:kern w:val="2"/>
          <w:sz w:val="32"/>
          <w:szCs w:val="40"/>
          <w:lang w:val="en-US" w:eastAsia="zh-CN" w:bidi="ar-SA"/>
        </w:rPr>
        <w:t>四、政府信息公开行政复议、行政诉讼情况</w:t>
      </w:r>
    </w:p>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hint="eastAsia"/>
          <w:i w:val="0"/>
          <w:iCs w:val="0"/>
          <w:caps w:val="0"/>
          <w:smallCaps w:val="0"/>
          <w:color w:val="333333"/>
          <w:spacing w:val="0"/>
          <w:sz w:val="24"/>
          <w:szCs w:val="24"/>
        </w:rPr>
      </w:pP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649"/>
        <w:gridCol w:w="649"/>
        <w:gridCol w:w="649"/>
        <w:gridCol w:w="649"/>
        <w:gridCol w:w="649"/>
        <w:gridCol w:w="649"/>
        <w:gridCol w:w="649"/>
        <w:gridCol w:w="650"/>
        <w:gridCol w:w="650"/>
        <w:gridCol w:w="650"/>
        <w:gridCol w:w="651"/>
        <w:gridCol w:w="651"/>
        <w:gridCol w:w="651"/>
        <w:gridCol w:w="651"/>
        <w:gridCol w:w="651"/>
      </w:tblGrid>
      <w:tr>
        <w:tc>
          <w:tcPr>
            <w:tcW w:w="324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行政复议</w:t>
            </w:r>
          </w:p>
        </w:tc>
        <w:tc>
          <w:tcPr>
            <w:tcW w:w="6503"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行政诉讼</w:t>
            </w:r>
          </w:p>
        </w:tc>
      </w:tr>
      <w:tr>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结果维持</w:t>
            </w:r>
          </w:p>
        </w:tc>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总计</w:t>
            </w:r>
          </w:p>
        </w:tc>
        <w:tc>
          <w:tcPr>
            <w:tcW w:w="3248"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未经复议直接起诉</w:t>
            </w:r>
          </w:p>
        </w:tc>
        <w:tc>
          <w:tcPr>
            <w:tcW w:w="325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复议后起诉</w:t>
            </w:r>
          </w:p>
        </w:tc>
      </w:tr>
      <w:tr>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总计</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其他</w:t>
              <w:br/>
              <w:t>结果</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color w:val="000000"/>
                <w:kern w:val="0"/>
                <w:sz w:val="20"/>
                <w:szCs w:val="20"/>
                <w:lang w:val="en-US" w:eastAsia="zh-CN"/>
              </w:rPr>
              <w:t>总计</w:t>
            </w:r>
          </w:p>
        </w:tc>
      </w:tr>
      <w:tr>
        <w:trPr>
          <w:trHeight w:val="672"/>
        </w:trPr>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lang w:val="en-US" w:eastAsia="zh-CN"/>
              </w:rPr>
            </w:pPr>
            <w:r>
              <w:rPr>
                <w:rFonts w:hint="eastAsia"/>
                <w:lang w:val="en-US" w:eastAsia="zh-CN"/>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w:t>
            </w:r>
          </w:p>
        </w:tc>
      </w:tr>
    </w:tbl>
    <w:p>
      <w:pPr>
        <w:ind w:firstLineChars="200" w:firstLine="640"/>
        <w:rPr>
          <w:rFonts w:ascii="黑体" w:eastAsia="黑体" w:cs="黑体" w:hAnsi="黑体" w:hint="eastAsia"/>
          <w:sz w:val="32"/>
          <w:szCs w:val="40"/>
          <w:lang w:val="en-US" w:eastAsia="zh-CN"/>
        </w:rPr>
      </w:pPr>
      <w:r>
        <w:rPr>
          <w:rFonts w:ascii="黑体" w:eastAsia="黑体" w:cs="黑体" w:hAnsi="黑体" w:hint="eastAsia"/>
          <w:sz w:val="32"/>
          <w:szCs w:val="40"/>
          <w:lang w:val="en-US" w:eastAsia="zh-CN"/>
        </w:rPr>
        <w:t>五、存在的主要问题及改进情况</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Chars="200" w:firstLine="640"/>
        <w:jc w:val="both"/>
        <w:textAlignment w:val="auto"/>
        <w:rPr>
          <w:rFonts w:ascii="仿宋" w:eastAsia="仿宋" w:cs="仿宋" w:hAnsi="仿宋" w:hint="eastAsia"/>
          <w:sz w:val="32"/>
          <w:szCs w:val="32"/>
          <w:lang w:val="en-US" w:eastAsia="zh-CN"/>
        </w:rPr>
      </w:pPr>
      <w:r>
        <w:rPr>
          <w:rFonts w:ascii="仿宋" w:eastAsia="仿宋" w:cs="仿宋" w:hAnsi="仿宋"/>
          <w:kern w:val="2"/>
          <w:sz w:val="32"/>
          <w:szCs w:val="32"/>
        </w:rPr>
        <w:t>我社</w:t>
      </w:r>
      <w:r>
        <w:rPr>
          <w:rFonts w:ascii="仿宋" w:eastAsia="仿宋" w:cs="仿宋" w:hAnsi="仿宋" w:hint="eastAsia"/>
          <w:kern w:val="2"/>
          <w:sz w:val="32"/>
          <w:szCs w:val="32"/>
        </w:rPr>
        <w:t>严格遵循《条例》要求，扎实推进政府信息公开工作，虽已取得一定成效，但</w:t>
      </w:r>
      <w:r>
        <w:rPr>
          <w:rFonts w:ascii="仿宋" w:eastAsia="仿宋" w:cs="仿宋" w:hAnsi="仿宋" w:hint="eastAsia"/>
          <w:b w:val="0"/>
          <w:bCs w:val="0"/>
          <w:kern w:val="2"/>
          <w:sz w:val="32"/>
          <w:szCs w:val="32"/>
          <w:lang w:val="en-US" w:eastAsia="zh-CN" w:bidi="ar-SA"/>
        </w:rPr>
        <w:t>还存在些许不足，</w:t>
      </w:r>
      <w:r>
        <w:rPr>
          <w:rFonts w:ascii="仿宋" w:eastAsia="仿宋" w:cs="仿宋" w:hAnsi="仿宋" w:hint="eastAsia"/>
          <w:kern w:val="2"/>
          <w:sz w:val="32"/>
          <w:szCs w:val="32"/>
        </w:rPr>
        <w:t>信息公开的质量和规范性有提升空间，信息公开数量不够多</w:t>
      </w:r>
      <w:r>
        <w:rPr>
          <w:rFonts w:ascii="仿宋" w:eastAsia="仿宋" w:cs="仿宋" w:hAnsi="仿宋" w:hint="eastAsia"/>
          <w:b w:val="0"/>
          <w:bCs w:val="0"/>
          <w:kern w:val="2"/>
          <w:sz w:val="32"/>
          <w:szCs w:val="32"/>
          <w:lang w:val="en-US" w:eastAsia="zh-CN" w:bidi="ar-SA"/>
        </w:rPr>
        <w:t>，在今后的工作中，我们</w:t>
      </w:r>
      <w:r>
        <w:rPr>
          <w:rFonts w:ascii="仿宋" w:eastAsia="仿宋" w:cs="仿宋" w:hAnsi="仿宋" w:hint="eastAsia"/>
          <w:kern w:val="2"/>
          <w:sz w:val="32"/>
          <w:szCs w:val="32"/>
        </w:rPr>
        <w:t>将</w:t>
      </w:r>
      <w:r>
        <w:rPr>
          <w:rFonts w:ascii="仿宋" w:eastAsia="仿宋" w:cs="仿宋" w:hAnsi="仿宋" w:hint="eastAsia"/>
          <w:kern w:val="2"/>
          <w:sz w:val="32"/>
          <w:szCs w:val="32"/>
          <w:bdr w:val="none" w:sz="0" w:space="0" w:color="auto"/>
        </w:rPr>
        <w:t>加大学习培训力度，广泛开展政府信息公开基本规范培训，充分调动干部职工参与政府信息公开工作的主动性和积极性，全面提高相关工作人员信息公开工作水平，保证及时更新</w:t>
      </w:r>
      <w:r>
        <w:rPr>
          <w:rFonts w:ascii="仿宋" w:eastAsia="仿宋" w:cs="仿宋" w:hAnsi="仿宋"/>
          <w:kern w:val="2"/>
          <w:sz w:val="32"/>
          <w:szCs w:val="32"/>
          <w:bdr w:val="none" w:sz="0" w:space="0" w:color="auto"/>
        </w:rPr>
        <w:t>，</w:t>
      </w:r>
      <w:r>
        <w:rPr>
          <w:rFonts w:ascii="仿宋" w:eastAsia="仿宋" w:cs="仿宋" w:hAnsi="仿宋" w:hint="eastAsia"/>
          <w:kern w:val="2"/>
          <w:sz w:val="32"/>
          <w:szCs w:val="32"/>
          <w:bdr w:val="none" w:sz="0" w:space="0" w:color="auto"/>
        </w:rPr>
        <w:t>上传全面、准确、优质的政府信息</w:t>
      </w:r>
      <w:r>
        <w:rPr>
          <w:rFonts w:ascii="仿宋" w:eastAsia="仿宋" w:cs="仿宋" w:hAnsi="仿宋" w:hint="eastAsia"/>
          <w:b w:val="0"/>
          <w:bCs w:val="0"/>
          <w:kern w:val="2"/>
          <w:sz w:val="32"/>
          <w:szCs w:val="32"/>
          <w:lang w:val="en-US" w:eastAsia="zh-CN" w:bidi="ar-SA"/>
        </w:rPr>
        <w:t>。</w:t>
      </w:r>
    </w:p>
    <w:p>
      <w:pPr>
        <w:ind w:firstLineChars="200" w:firstLine="640"/>
        <w:rPr>
          <w:rFonts w:ascii="黑体" w:eastAsia="黑体" w:cs="黑体" w:hAnsi="黑体" w:hint="eastAsia"/>
          <w:sz w:val="32"/>
          <w:szCs w:val="40"/>
          <w:lang w:val="en-US" w:eastAsia="zh-CN"/>
        </w:rPr>
      </w:pPr>
      <w:r>
        <w:rPr>
          <w:rFonts w:ascii="黑体" w:eastAsia="黑体" w:cs="黑体" w:hAnsi="黑体" w:hint="eastAsia"/>
          <w:sz w:val="32"/>
          <w:szCs w:val="40"/>
          <w:lang w:val="en-US" w:eastAsia="zh-CN"/>
        </w:rPr>
        <w:t>六、其他需要报告的事项</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adjustRightInd/>
        <w:snapToGrid/>
        <w:spacing w:before="0" w:beforeAutospacing="0" w:after="0" w:afterAutospacing="0" w:line="560" w:lineRule="exact"/>
        <w:ind w:firstLineChars="200" w:firstLine="640"/>
        <w:jc w:val="both"/>
        <w:rPr>
          <w:rFonts w:ascii="仿宋" w:eastAsia="仿宋" w:cs="仿宋" w:hAnsi="仿宋" w:hint="eastAsia"/>
          <w:kern w:val="2"/>
          <w:sz w:val="32"/>
          <w:szCs w:val="32"/>
        </w:rPr>
      </w:pPr>
      <w:r>
        <w:rPr>
          <w:rFonts w:ascii="仿宋" w:eastAsia="仿宋" w:cs="仿宋" w:hAnsi="仿宋" w:hint="eastAsia"/>
          <w:b w:val="0"/>
          <w:bCs w:val="0"/>
          <w:kern w:val="2"/>
          <w:sz w:val="32"/>
          <w:szCs w:val="32"/>
          <w:lang w:val="en-US" w:eastAsia="zh-CN" w:bidi="ar-SA"/>
        </w:rPr>
        <w:t>202</w:t>
      </w:r>
      <w:r>
        <w:rPr>
          <w:rFonts w:ascii="仿宋" w:eastAsia="仿宋" w:cs="仿宋" w:hAnsi="仿宋"/>
          <w:b w:val="0"/>
          <w:bCs w:val="0"/>
          <w:kern w:val="2"/>
          <w:sz w:val="32"/>
          <w:szCs w:val="32"/>
          <w:lang w:val="en-US" w:eastAsia="zh-CN" w:bidi="ar-SA"/>
        </w:rPr>
        <w:t>5</w:t>
      </w:r>
      <w:r>
        <w:rPr>
          <w:rFonts w:ascii="仿宋" w:eastAsia="仿宋" w:cs="仿宋" w:hAnsi="仿宋" w:hint="eastAsia"/>
          <w:b w:val="0"/>
          <w:bCs w:val="0"/>
          <w:kern w:val="2"/>
          <w:sz w:val="32"/>
          <w:szCs w:val="32"/>
          <w:lang w:val="en-US" w:eastAsia="zh-CN" w:bidi="ar-SA"/>
        </w:rPr>
        <w:t>年，宁晋县供销合作社没有收取信息处理费，无其他需要报告事项。</w:t>
      </w:r>
    </w:p>
    <w:sectPr>
      <w:pgSz w:w="11906" w:h="16838"/>
      <w:pgMar w:top="1440" w:right="1800" w:bottom="1440" w:left="180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panose1 w:val="02010601030101010101"/>
    <w:charset w:val="86"/>
    <w:family w:val="auto"/>
    <w:pitch w:val="variable"/>
    <w:sig w:usb0="00000001" w:usb1="080E0000" w:usb2="00000000" w:usb3="00000000" w:csb0="00040000" w:csb1="00000000"/>
  </w:font>
  <w:font w:name="宋体">
    <w:panose1 w:val="02010600030101010101"/>
    <w:charset w:val="7A"/>
    <w:family w:val="auto"/>
    <w:pitch w:val="variable"/>
    <w:sig w:usb0="00000203" w:usb1="288F0000" w:usb2="00000006" w:usb3="00000000" w:csb0="00040001" w:csb1="00000000"/>
  </w:font>
  <w:font w:name="仿宋">
    <w:panose1 w:val="02010609060101010101"/>
    <w:charset w:val="86"/>
    <w:family w:val="auto"/>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楷体">
    <w:panose1 w:val="02010609060101010101"/>
    <w:charset w:val="86"/>
    <w:family w:val="auto"/>
    <w:pitch w:val="variable"/>
    <w:sig w:usb0="800002BF" w:usb1="38CF7CFA" w:usb2="00000016" w:usb3="00000000" w:csb0="00040001" w:csb1="00000000"/>
  </w:font>
  <w:font w:name="Times New Roman">
    <w:panose1 w:val="02020603050405020304"/>
    <w:charset w:val="01"/>
    <w:family w:val="auto"/>
    <w:pitch w:val="variable"/>
    <w:sig w:usb0="E0002EFF" w:usb1="C000785B" w:usb2="00000009" w:usb3="00000000" w:csb0="400001FF" w:csb1="FFFF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200247B" w:usb2="00000009" w:usb3="00000000" w:csb0="200001F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docVars>
    <w:docVar w:name="commondata" w:val="eyJoZGlkIjoiOTQyODQ4M2E5MTJjMmI5MWNmMzZkOTBjNmY4NWJjMzM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pPr>
      <w:spacing w:before="0" w:beforeAutospacing="1" w:after="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266E17DE-22FE-4266-83B6-219E8CE3C7E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201</TotalTime>
  <Application>WPS_Yozo_Office9.0.5847.102ZH.HE32</Application>
  <Pages>4</Pages>
  <Words>0</Words>
  <Characters>1816</Characters>
  <Lines>0</Lines>
  <Paragraphs>34</Paragraphs>
  <CharactersWithSpaces>2422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xs580</cp:lastModifiedBy>
  <cp:revision>4</cp:revision>
  <dcterms:created xsi:type="dcterms:W3CDTF">2022-01-06T07:29:00Z</dcterms:created>
  <dcterms:modified xsi:type="dcterms:W3CDTF">2026-01-09T09:18:07Z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2052-11.8.2.12195</vt:lpwstr>
  </property>
  <property fmtid="{D5CDD505-2E9C-101B-9397-08002B2CF9AE}" pid="3" name="ICV">
    <vt:lpwstr>1157CE926B71424ABCEDD46E97C11597</vt:lpwstr>
  </property>
</Properties>
</file>