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8128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</w:rPr>
        <w:t>宁晋县</w:t>
      </w:r>
      <w:r>
        <w:rPr>
          <w:rFonts w:hint="eastAsia" w:ascii="方正小标宋简体" w:hAnsi="方正小标宋简体" w:eastAsia="方正小标宋简体" w:cs="方正小标宋简体"/>
          <w:sz w:val="44"/>
          <w:lang w:eastAsia="zh-CN"/>
        </w:rPr>
        <w:t>纪昌庄镇</w:t>
      </w:r>
      <w:r>
        <w:rPr>
          <w:rFonts w:hint="eastAsia" w:ascii="方正小标宋简体" w:hAnsi="方正小标宋简体" w:eastAsia="方正小标宋简体" w:cs="方正小标宋简体"/>
          <w:sz w:val="44"/>
        </w:rPr>
        <w:t>2025年政府信息公开工作</w:t>
      </w:r>
    </w:p>
    <w:p w14:paraId="25BADB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</w:rPr>
      </w:pPr>
      <w:r>
        <w:rPr>
          <w:rFonts w:hint="eastAsia" w:ascii="方正小标宋简体" w:hAnsi="方正小标宋简体" w:eastAsia="方正小标宋简体" w:cs="方正小标宋简体"/>
          <w:sz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</w:rPr>
        <w:t>度</w:t>
      </w:r>
      <w:r>
        <w:rPr>
          <w:rFonts w:hint="eastAsia" w:ascii="方正小标宋简体" w:hAnsi="方正小标宋简体" w:eastAsia="方正小标宋简体" w:cs="方正小标宋简体"/>
          <w:sz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</w:rPr>
        <w:t>报</w:t>
      </w:r>
      <w:r>
        <w:rPr>
          <w:rFonts w:hint="eastAsia" w:ascii="方正小标宋简体" w:hAnsi="方正小标宋简体" w:eastAsia="方正小标宋简体" w:cs="方正小标宋简体"/>
          <w:sz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</w:rPr>
        <w:t>告</w:t>
      </w:r>
    </w:p>
    <w:p w14:paraId="184E75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" w:hAnsi="仿宋" w:eastAsia="仿宋" w:cs="仿宋"/>
          <w:sz w:val="32"/>
        </w:rPr>
      </w:pPr>
    </w:p>
    <w:p w14:paraId="6E676E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" w:hAnsi="仿宋" w:eastAsia="仿宋" w:cs="仿宋"/>
          <w:sz w:val="32"/>
        </w:rPr>
      </w:pPr>
    </w:p>
    <w:p w14:paraId="61072E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sz w:val="32"/>
        </w:rPr>
      </w:pPr>
      <w:r>
        <w:rPr>
          <w:rFonts w:hint="eastAsia" w:ascii="仿宋_GB2312" w:hAnsi="仿宋_GB2312" w:eastAsia="仿宋_GB2312" w:cs="仿宋_GB2312"/>
          <w:sz w:val="32"/>
        </w:rPr>
        <w:t>本年度报告依据《中华人民共和国政府信息公开条例》、《中华人民共和国政府信息公开工作年度报告格式》和省、市、县政务公开工作要求，结合我镇实际由镇</w:t>
      </w:r>
      <w:r>
        <w:rPr>
          <w:rFonts w:hint="eastAsia" w:ascii="仿宋_GB2312" w:hAnsi="仿宋_GB2312" w:eastAsia="仿宋_GB2312" w:cs="仿宋_GB2312"/>
          <w:sz w:val="32"/>
          <w:lang w:eastAsia="zh-CN"/>
        </w:rPr>
        <w:t>党政综合</w:t>
      </w:r>
      <w:r>
        <w:rPr>
          <w:rFonts w:hint="eastAsia" w:ascii="仿宋_GB2312" w:hAnsi="仿宋_GB2312" w:eastAsia="仿宋_GB2312" w:cs="仿宋_GB2312"/>
          <w:sz w:val="32"/>
        </w:rPr>
        <w:t>办公室编制而成。报告由总体情况、主动公开政府信息情况、收到和处理政府信息公开申请情况、政府信息公开行政复议行政诉讼情况、存在的主要问题及改进情况</w:t>
      </w:r>
      <w:r>
        <w:rPr>
          <w:rFonts w:hint="eastAsia" w:ascii="仿宋_GB2312" w:hAnsi="仿宋_GB2312" w:eastAsia="仿宋_GB2312" w:cs="仿宋_GB2312"/>
          <w:sz w:val="32"/>
          <w:lang w:eastAsia="zh-CN"/>
        </w:rPr>
        <w:t>及</w:t>
      </w:r>
      <w:r>
        <w:rPr>
          <w:rFonts w:hint="eastAsia" w:ascii="仿宋_GB2312" w:hAnsi="仿宋_GB2312" w:eastAsia="仿宋_GB2312" w:cs="仿宋_GB2312"/>
          <w:sz w:val="32"/>
        </w:rPr>
        <w:t>其他需要报告的事项六部分组成。</w:t>
      </w:r>
      <w:r>
        <w:rPr>
          <w:rFonts w:hint="eastAsia" w:ascii="仿宋_GB2312" w:hAnsi="仿宋_GB2312" w:eastAsia="仿宋_GB2312" w:cs="仿宋_GB2312"/>
          <w:sz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sz w:val="32"/>
        </w:rPr>
        <w:t>报告中所列数据统计期限为2025年1月1日至2025年12月31日。</w:t>
      </w:r>
    </w:p>
    <w:p w14:paraId="621F4E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黑体" w:hAnsi="黑体" w:eastAsia="黑体" w:cs="黑体"/>
          <w:sz w:val="32"/>
          <w:lang w:eastAsia="zh-CN"/>
        </w:rPr>
      </w:pPr>
      <w:r>
        <w:rPr>
          <w:rFonts w:hint="eastAsia" w:ascii="黑体" w:hAnsi="黑体" w:eastAsia="黑体" w:cs="黑体"/>
          <w:sz w:val="32"/>
          <w:lang w:eastAsia="zh-CN"/>
        </w:rPr>
        <w:t>一、总体情况</w:t>
      </w:r>
    </w:p>
    <w:p w14:paraId="7E8402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" w:hAnsi="仿宋" w:cs="仿宋"/>
          <w:sz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</w:rPr>
        <w:t>（一）主动公开情况。</w:t>
      </w:r>
      <w:r>
        <w:rPr>
          <w:rFonts w:hint="eastAsia" w:ascii="仿宋" w:hAnsi="仿宋" w:cs="仿宋"/>
          <w:sz w:val="32"/>
          <w:lang w:eastAsia="zh-CN"/>
        </w:rPr>
        <w:t>本年度，我镇在政府信息公开工作中，坚持“公开为常态、不公开为例外”的原则，积极拓展公开渠道，丰富公开内容。通过政府门户网</w:t>
      </w:r>
      <w:r>
        <w:rPr>
          <w:rFonts w:hint="eastAsia" w:ascii="仿宋" w:hAnsi="仿宋" w:cs="仿宋"/>
          <w:sz w:val="32"/>
          <w:highlight w:val="none"/>
          <w:lang w:eastAsia="zh-CN"/>
        </w:rPr>
        <w:t>站、政务公开栏等形式，及时、准确地向社会公众公开了财政预决算、涉企行政检查、政府信息公开工作年度报告等领域的政府信息。同时，加强了</w:t>
      </w:r>
      <w:r>
        <w:rPr>
          <w:rFonts w:hint="eastAsia" w:ascii="仿宋" w:hAnsi="仿宋" w:cs="仿宋"/>
          <w:sz w:val="32"/>
          <w:lang w:eastAsia="zh-CN"/>
        </w:rPr>
        <w:t>对政策解读的公开力度，确保公众能够全面、深入地了解政策内容，提高了政策的知晓率和执行率。</w:t>
      </w:r>
    </w:p>
    <w:p w14:paraId="2A8AD7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" w:hAnsi="仿宋" w:cs="仿宋"/>
          <w:sz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lang w:eastAsia="zh-CN"/>
        </w:rPr>
        <w:t>（二）依申请公开情况。</w:t>
      </w:r>
      <w:r>
        <w:rPr>
          <w:rFonts w:hint="eastAsia" w:ascii="仿宋" w:hAnsi="仿宋" w:cs="仿宋"/>
          <w:sz w:val="32"/>
          <w:lang w:eastAsia="zh-CN"/>
        </w:rPr>
        <w:t>本年度，我镇未收到依申请公开政府信息事项的申请，未发生因信息公开引起的行政复议、诉讼及相关公开和咨询情况。</w:t>
      </w:r>
    </w:p>
    <w:p w14:paraId="012246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default" w:ascii="仿宋" w:hAnsi="仿宋" w:cs="仿宋"/>
          <w:sz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lang w:eastAsia="zh-CN"/>
        </w:rPr>
        <w:t>（三）政府信息管理情况。</w:t>
      </w:r>
      <w:r>
        <w:rPr>
          <w:rFonts w:hint="eastAsia" w:ascii="仿宋" w:hAnsi="仿宋" w:cs="仿宋"/>
          <w:sz w:val="32"/>
          <w:lang w:eastAsia="zh-CN"/>
        </w:rPr>
        <w:t>本年度，我镇政府信息管理方面，一是着力强化部门职责，明确由主要领导牵头抓总，分管领导负责统筹协调。将党政办确定为政府信息公开工作的专门机构，确保人员配备明确、分工细致清晰。与此同时，针对所公开事项的内容，认真开展审核与把关工作，全力保障公开内容具备合法性、准确性和严肃性，严格贯彻落实“三审三校”、“先审后发”要求。</w:t>
      </w:r>
      <w:r>
        <w:rPr>
          <w:rFonts w:hint="default" w:ascii="仿宋" w:hAnsi="仿宋" w:cs="仿宋"/>
          <w:sz w:val="32"/>
          <w:lang w:val="en-US" w:eastAsia="zh-CN"/>
        </w:rPr>
        <w:t>‌二是</w:t>
      </w:r>
      <w:r>
        <w:rPr>
          <w:rFonts w:hint="eastAsia" w:ascii="仿宋" w:hAnsi="仿宋" w:cs="仿宋"/>
          <w:sz w:val="32"/>
          <w:lang w:val="en-US" w:eastAsia="zh-CN"/>
        </w:rPr>
        <w:t>进一步</w:t>
      </w:r>
      <w:r>
        <w:rPr>
          <w:rFonts w:hint="default" w:ascii="仿宋" w:hAnsi="仿宋" w:cs="仿宋"/>
          <w:sz w:val="32"/>
          <w:lang w:val="en-US" w:eastAsia="zh-CN"/>
        </w:rPr>
        <w:t>健全动态管理机制，强化信息发布时效与保密审查效能，严格按规定期公开政务信息，切实保障信息公开的及时性、准确性及有效性。‌三是建立健全常态化信息排查机制，系统开展敏感词汇、错别字及涉及个人隐私、国家秘密、工作秘密、商业秘密等内容的专项筛查，对发现的错误及敏感信息立即启动整改程序，依法依规予以删改，切实筑牢信息安全防线，坚决杜绝个人隐私泄露及涉密情况发生。</w:t>
      </w:r>
    </w:p>
    <w:p w14:paraId="5FC575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default" w:ascii="仿宋" w:hAnsi="仿宋" w:cs="仿宋"/>
          <w:sz w:val="32"/>
          <w:lang w:val="en-US" w:eastAsia="zh-CN"/>
        </w:rPr>
      </w:pPr>
      <w:r>
        <w:rPr>
          <w:rFonts w:hint="default" w:ascii="楷体_GB2312" w:hAnsi="楷体_GB2312" w:eastAsia="楷体_GB2312" w:cs="楷体_GB2312"/>
          <w:sz w:val="32"/>
          <w:lang w:val="en-US"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lang w:val="en-US" w:eastAsia="zh-CN"/>
        </w:rPr>
        <w:t>四</w:t>
      </w:r>
      <w:r>
        <w:rPr>
          <w:rFonts w:hint="default" w:ascii="楷体_GB2312" w:hAnsi="楷体_GB2312" w:eastAsia="楷体_GB2312" w:cs="楷体_GB2312"/>
          <w:sz w:val="32"/>
          <w:lang w:val="en-US" w:eastAsia="zh-CN"/>
        </w:rPr>
        <w:t>）监督保障情况。</w:t>
      </w:r>
      <w:r>
        <w:rPr>
          <w:rFonts w:hint="default" w:ascii="仿宋" w:hAnsi="仿宋" w:cs="仿宋"/>
          <w:sz w:val="32"/>
          <w:lang w:val="en-US" w:eastAsia="zh-CN"/>
        </w:rPr>
        <w:t>本年度，我镇在政府信息监督保障</w:t>
      </w:r>
      <w:r>
        <w:rPr>
          <w:rFonts w:hint="eastAsia" w:ascii="仿宋" w:hAnsi="仿宋" w:cs="仿宋"/>
          <w:sz w:val="32"/>
          <w:lang w:val="en-US" w:eastAsia="zh-CN"/>
        </w:rPr>
        <w:t>方面</w:t>
      </w:r>
      <w:r>
        <w:rPr>
          <w:rFonts w:hint="default" w:ascii="仿宋" w:hAnsi="仿宋" w:cs="仿宋"/>
          <w:sz w:val="32"/>
          <w:lang w:val="en-US" w:eastAsia="zh-CN"/>
        </w:rPr>
        <w:t>。‌一是切实加强组织领导，健全工作机制。全面理顺并优化政务公开领导体制与运行机制，明确分管领导牵头抓总职责，强化制度体系建设，推动政务公开各项要求深度融入日常业务全流程，实现制度化、规范化、常态化运行。‌二是强化督导整改效能，健全常态化监管检查机制，聚焦信息公开内容完整性、发布及时性、数据准确性等核心要素开展专项核查，对发现问题立行立改、动态清零，主动接受上级指导监督，并积极拓宽社会监督渠道，广泛吸纳群众意见建议，切实提升政务公开工作质效。</w:t>
      </w:r>
    </w:p>
    <w:p w14:paraId="395860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default" w:ascii="黑体" w:hAnsi="黑体" w:eastAsia="黑体" w:cs="黑体"/>
          <w:sz w:val="32"/>
          <w:lang w:val="en-US" w:eastAsia="zh-CN"/>
        </w:rPr>
      </w:pPr>
      <w:r>
        <w:rPr>
          <w:rFonts w:hint="default" w:ascii="黑体" w:hAnsi="黑体" w:eastAsia="黑体" w:cs="黑体"/>
          <w:sz w:val="32"/>
          <w:lang w:val="en-US" w:eastAsia="zh-CN"/>
        </w:rPr>
        <w:t>二、主动公开政府信息情况</w:t>
      </w:r>
    </w:p>
    <w:tbl>
      <w:tblPr>
        <w:tblStyle w:val="4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5A45F8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6F272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第二十条第（一）项</w:t>
            </w:r>
          </w:p>
        </w:tc>
      </w:tr>
      <w:tr w14:paraId="0413F0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124A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6CC6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本年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BA1A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34DB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现行有效件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 w:bidi="ar"/>
              </w:rPr>
              <w:t>数</w:t>
            </w:r>
          </w:p>
        </w:tc>
      </w:tr>
      <w:tr w14:paraId="730C91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AD9C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68FC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AEFF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6C90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09EA9A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66A6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3BDD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9E7B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E524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 w14:paraId="16768D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5EAC5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第二十条第（五）项</w:t>
            </w:r>
          </w:p>
        </w:tc>
      </w:tr>
      <w:tr w14:paraId="533E65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2DD5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20A2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本年处理决定数量</w:t>
            </w:r>
          </w:p>
        </w:tc>
      </w:tr>
      <w:tr w14:paraId="6C8481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6A0A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BFA7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cs="仿宋"/>
                <w:sz w:val="28"/>
                <w:szCs w:val="28"/>
                <w:lang w:val="en-US" w:eastAsia="zh-CN"/>
              </w:rPr>
              <w:t>286</w:t>
            </w:r>
          </w:p>
        </w:tc>
      </w:tr>
      <w:tr w14:paraId="2AFF89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957AC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第二十条第（六）项</w:t>
            </w:r>
          </w:p>
        </w:tc>
      </w:tr>
      <w:tr w14:paraId="7A9F26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2189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1210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本年处理决定数量</w:t>
            </w:r>
          </w:p>
        </w:tc>
      </w:tr>
      <w:tr w14:paraId="1AF40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02F7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5F98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cs="仿宋"/>
                <w:sz w:val="28"/>
                <w:szCs w:val="28"/>
                <w:lang w:val="en-US" w:eastAsia="zh-CN"/>
              </w:rPr>
              <w:t>6</w:t>
            </w:r>
          </w:p>
        </w:tc>
      </w:tr>
      <w:tr w14:paraId="092A9C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3A6D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0F81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0</w:t>
            </w:r>
          </w:p>
        </w:tc>
      </w:tr>
      <w:tr w14:paraId="7F309F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8FA91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第二十条第（八）项</w:t>
            </w:r>
          </w:p>
        </w:tc>
      </w:tr>
      <w:tr w14:paraId="6CE9E4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51E2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7ACE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本年收费金额（单位：万元）</w:t>
            </w:r>
          </w:p>
        </w:tc>
      </w:tr>
      <w:tr w14:paraId="2B9ED8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8B31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9404E0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0</w:t>
            </w:r>
          </w:p>
        </w:tc>
      </w:tr>
    </w:tbl>
    <w:p w14:paraId="5149DB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lang w:val="en-US" w:eastAsia="zh-CN"/>
        </w:rPr>
      </w:pPr>
    </w:p>
    <w:p w14:paraId="706091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黑体" w:hAnsi="黑体" w:eastAsia="黑体" w:cs="黑体"/>
          <w:sz w:val="32"/>
          <w:lang w:val="en-US" w:eastAsia="zh-CN"/>
        </w:rPr>
      </w:pPr>
      <w:r>
        <w:rPr>
          <w:rFonts w:hint="eastAsia" w:ascii="黑体" w:hAnsi="黑体" w:eastAsia="黑体" w:cs="黑体"/>
          <w:sz w:val="32"/>
          <w:lang w:val="en-US" w:eastAsia="zh-CN"/>
        </w:rPr>
        <w:t>三、</w:t>
      </w:r>
      <w:r>
        <w:rPr>
          <w:rFonts w:hint="default" w:ascii="黑体" w:hAnsi="黑体" w:eastAsia="黑体" w:cs="黑体"/>
          <w:sz w:val="32"/>
          <w:lang w:val="en-US" w:eastAsia="zh-CN"/>
        </w:rPr>
        <w:t>收到和处理政府信息公开申请情况</w:t>
      </w:r>
    </w:p>
    <w:tbl>
      <w:tblPr>
        <w:tblStyle w:val="4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6"/>
        <w:gridCol w:w="940"/>
        <w:gridCol w:w="3226"/>
        <w:gridCol w:w="688"/>
        <w:gridCol w:w="688"/>
        <w:gridCol w:w="688"/>
        <w:gridCol w:w="688"/>
        <w:gridCol w:w="688"/>
        <w:gridCol w:w="688"/>
        <w:gridCol w:w="688"/>
      </w:tblGrid>
      <w:tr w14:paraId="557D60C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1035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1"/>
                <w:szCs w:val="21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D230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申请人情况</w:t>
            </w:r>
          </w:p>
        </w:tc>
      </w:tr>
      <w:tr w14:paraId="6685A19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E70F9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2A81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9EDC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529F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总计</w:t>
            </w:r>
          </w:p>
        </w:tc>
      </w:tr>
      <w:tr w14:paraId="74B1823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D7177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E5C4EA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0AB1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商业</w:t>
            </w:r>
          </w:p>
          <w:p w14:paraId="075AA7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30B6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科研</w:t>
            </w:r>
          </w:p>
          <w:p w14:paraId="182575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1FD6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8FA1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AD3F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928E38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</w:tr>
      <w:tr w14:paraId="708850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atLeast"/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D91C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CEE4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01A3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7D76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76A6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D8AC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FB97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477C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02BB3C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96A5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9E10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4C72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377D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85A6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B7B9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5C1C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C055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3AD5E3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D407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0258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C9A7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EC62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BD69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B8EC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3A82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0C5F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EBF9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006E9F4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84B6CA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7CE9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E75F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C478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A7CD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22DA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AE9A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F690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81E1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7C104EE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2EC5C2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B4E8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26A3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88F8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D7C1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76C0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FFD7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2A8D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A2DD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247D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2C583A0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12C88E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6A446B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AD3B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BAEB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476A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994F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C250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A2DC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80CA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2135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5557C72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BA918A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F159B2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A644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E4F9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2153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28E2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C8FF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FE8F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6EB5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28F5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083E26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F184A6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53EF9A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B234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757C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B24C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8921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F7A3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97F4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01BA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FEB1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5CEF5A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BBBFB8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938E6F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CA33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09D4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E51F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88EC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64E0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6F0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378E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A20C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697A463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B9A719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4E00D5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4060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0F8D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B026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32C2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DDD1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A468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695D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844B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0E747BB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8F0325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458BB2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6D35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53B8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9C63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0602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17D4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726F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2BD2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6800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78E5FB0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024BD1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00A88A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08FD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4489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3C1B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32F7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248F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BEF3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4689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EF39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2EB547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40E916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8D70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86B5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D256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A6EA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927F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F511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CB58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8F44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DA74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2CB48A5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5B8731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CFBE6A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8654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8C56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AD1B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FA64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CFFB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EC2F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F8BA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E244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1DE4B8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6E75F3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101B80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95AD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6C4E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0FCB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1668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4712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D118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20CF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B952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40EF076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EA406C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0E36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2776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C322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9DF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E9C7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57BC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6C96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8C4C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97CF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0489A05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1FCEB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B89A92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28AE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BCFB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3330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DF07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554A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F898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9BF9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A2C5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1154A7E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3C3DE2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6ED31D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5547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F1E3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2DCF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194F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345B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5E72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7BD4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9FDC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7F3B469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994C99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C127FA">
            <w:pPr>
              <w:rPr>
                <w:rFonts w:hint="eastAsia" w:ascii="仿宋" w:hAnsi="仿宋" w:eastAsia="仿宋" w:cs="仿宋"/>
                <w:sz w:val="18"/>
                <w:szCs w:val="18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BF57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AFB2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3A3F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8228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94D3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B944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B35F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DFB4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18"/>
                <w:szCs w:val="18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35987F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79770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F03F3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B94C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00E2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CE92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0F2D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14BC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1E4A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F7B3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CD75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1BFCB89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2BDAC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3D25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EFF7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7EE8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DC9D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08AA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280D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DCDE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88E4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70C5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46759A1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77E89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2725B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E19D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3A0D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CC97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C7EE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0FA4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5F5E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B8A0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C6A6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6D39F78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EC80E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3F300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880A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2970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C652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4DB0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9ABF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335C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891D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0B40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79BA6DB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ADDBD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3C6B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1935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E377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5737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C07C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3911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9673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8C85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 w14:paraId="2E927A7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DC4B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A717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8B4C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0E3E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FDE3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114F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EE68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A015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</w:tbl>
    <w:p w14:paraId="3C96F75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textAlignment w:val="auto"/>
        <w:rPr>
          <w:rFonts w:hint="default" w:ascii="仿宋" w:hAnsi="仿宋" w:cs="仿宋"/>
          <w:sz w:val="32"/>
          <w:lang w:val="en-US" w:eastAsia="zh-CN"/>
        </w:rPr>
      </w:pPr>
    </w:p>
    <w:p w14:paraId="07620B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黑体" w:hAnsi="黑体" w:eastAsia="黑体" w:cs="黑体"/>
          <w:sz w:val="32"/>
          <w:lang w:val="en-US" w:eastAsia="zh-CN"/>
        </w:rPr>
      </w:pPr>
      <w:r>
        <w:rPr>
          <w:rFonts w:hint="eastAsia" w:ascii="黑体" w:hAnsi="黑体" w:eastAsia="黑体" w:cs="黑体"/>
          <w:sz w:val="32"/>
          <w:lang w:val="en-US" w:eastAsia="zh-CN"/>
        </w:rPr>
        <w:t>四、</w:t>
      </w:r>
      <w:r>
        <w:rPr>
          <w:rFonts w:hint="default" w:ascii="黑体" w:hAnsi="黑体" w:eastAsia="黑体" w:cs="黑体"/>
          <w:sz w:val="32"/>
          <w:lang w:val="en-US" w:eastAsia="zh-CN"/>
        </w:rPr>
        <w:t>政府信息公开行政复议、行政诉讼情况</w:t>
      </w:r>
    </w:p>
    <w:tbl>
      <w:tblPr>
        <w:tblStyle w:val="4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159146F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A3D2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2BE0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行政诉讼</w:t>
            </w:r>
          </w:p>
        </w:tc>
      </w:tr>
      <w:tr w14:paraId="629945F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EE54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D69E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结果</w:t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445F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其他</w:t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018D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尚未</w:t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44FF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13C6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4326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复议后起诉</w:t>
            </w:r>
          </w:p>
        </w:tc>
      </w:tr>
      <w:tr w14:paraId="1AF7E00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E449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783F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B1E4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0B3F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3D5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7E52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结果</w:t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10F2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结果</w:t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9009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其他</w:t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8FBB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尚未</w:t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98E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26F5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结果</w:t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EF5A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结果</w:t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21E3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其他</w:t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46B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尚未</w:t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0F24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  <w:t>总计</w:t>
            </w:r>
          </w:p>
        </w:tc>
      </w:tr>
      <w:tr w14:paraId="2D287A8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8E8C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20C2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AFE5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B2FE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AD3C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670C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25B0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819C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5D20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E967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B8F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81B0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86AF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31C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B044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" w:hAnsi="仿宋" w:cs="仿宋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</w:tbl>
    <w:p w14:paraId="02A527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lang w:val="en-US" w:eastAsia="zh-CN"/>
        </w:rPr>
      </w:pPr>
    </w:p>
    <w:p w14:paraId="0C589C2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default" w:ascii="黑体" w:hAnsi="黑体" w:eastAsia="黑体" w:cs="黑体"/>
          <w:sz w:val="32"/>
          <w:lang w:val="en-US" w:eastAsia="zh-CN"/>
        </w:rPr>
      </w:pPr>
      <w:r>
        <w:rPr>
          <w:rFonts w:hint="eastAsia" w:ascii="黑体" w:hAnsi="黑体" w:eastAsia="黑体" w:cs="黑体"/>
          <w:sz w:val="32"/>
          <w:lang w:val="en-US" w:eastAsia="zh-CN"/>
        </w:rPr>
        <w:t>五、</w:t>
      </w:r>
      <w:r>
        <w:rPr>
          <w:rFonts w:hint="default" w:ascii="黑体" w:hAnsi="黑体" w:eastAsia="黑体" w:cs="黑体"/>
          <w:sz w:val="32"/>
          <w:lang w:val="en-US" w:eastAsia="zh-CN"/>
        </w:rPr>
        <w:t>存在的主要问题及改进情况</w:t>
      </w:r>
    </w:p>
    <w:p w14:paraId="3B17500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" w:hAnsi="仿宋" w:cs="仿宋"/>
          <w:sz w:val="32"/>
          <w:lang w:val="en-US" w:eastAsia="zh-CN"/>
        </w:rPr>
      </w:pPr>
      <w:r>
        <w:rPr>
          <w:rFonts w:hint="eastAsia" w:ascii="仿宋" w:hAnsi="仿宋" w:cs="仿宋"/>
          <w:sz w:val="32"/>
          <w:lang w:eastAsia="zh-CN"/>
        </w:rPr>
        <w:t>本年度，</w:t>
      </w:r>
      <w:r>
        <w:rPr>
          <w:rFonts w:hint="default" w:ascii="仿宋" w:hAnsi="仿宋" w:cs="仿宋"/>
          <w:sz w:val="32"/>
          <w:lang w:val="en-US" w:eastAsia="zh-CN"/>
        </w:rPr>
        <w:t>我镇政府信息公开工作主要存在</w:t>
      </w:r>
      <w:r>
        <w:rPr>
          <w:rFonts w:hint="eastAsia" w:ascii="仿宋" w:hAnsi="仿宋" w:cs="仿宋"/>
          <w:sz w:val="32"/>
          <w:lang w:val="en-US" w:eastAsia="zh-CN"/>
        </w:rPr>
        <w:t>人员</w:t>
      </w:r>
      <w:r>
        <w:rPr>
          <w:rFonts w:hint="default" w:ascii="仿宋" w:hAnsi="仿宋" w:cs="仿宋"/>
          <w:sz w:val="32"/>
          <w:lang w:val="en-US" w:eastAsia="zh-CN"/>
        </w:rPr>
        <w:t>专业化水平有待提高与</w:t>
      </w:r>
      <w:r>
        <w:rPr>
          <w:rFonts w:hint="eastAsia" w:ascii="仿宋" w:hAnsi="仿宋" w:cs="仿宋"/>
          <w:sz w:val="32"/>
          <w:lang w:val="en-US" w:eastAsia="zh-CN"/>
        </w:rPr>
        <w:t>政务信息</w:t>
      </w:r>
      <w:r>
        <w:rPr>
          <w:rFonts w:hint="default" w:ascii="仿宋" w:hAnsi="仿宋" w:cs="仿宋"/>
          <w:sz w:val="32"/>
          <w:lang w:val="en-US" w:eastAsia="zh-CN"/>
        </w:rPr>
        <w:t>精细化程度需加强等问题。</w:t>
      </w:r>
      <w:r>
        <w:rPr>
          <w:rFonts w:hint="eastAsia" w:ascii="仿宋" w:hAnsi="仿宋" w:cs="仿宋"/>
          <w:sz w:val="32"/>
          <w:lang w:val="en-US" w:eastAsia="zh-CN"/>
        </w:rPr>
        <w:t>下一步，</w:t>
      </w:r>
      <w:r>
        <w:rPr>
          <w:rFonts w:hint="default" w:ascii="仿宋" w:hAnsi="仿宋" w:cs="仿宋"/>
          <w:sz w:val="32"/>
          <w:lang w:val="en-US" w:eastAsia="zh-CN"/>
        </w:rPr>
        <w:t>我镇将严格遵循县政府关于信息公开的要求，以高度的责任感和使命感，进一步扎实推进政府信息公开工作。</w:t>
      </w:r>
      <w:r>
        <w:rPr>
          <w:rFonts w:hint="eastAsia" w:ascii="仿宋" w:hAnsi="仿宋" w:cs="仿宋"/>
          <w:sz w:val="32"/>
          <w:lang w:val="en-US" w:eastAsia="zh-CN"/>
        </w:rPr>
        <w:t>一是定期组织工作人员开展专题培训，持续提升其业务能力和专业素养，确保信息公开工作的高效性和准确性。二是建立健全政务信息审核机制，对拟公开的信息进行严格把关，细化信息分类标准，提高政务信息的精细化程度，为公众提供更优质、更全面的信息服务。</w:t>
      </w:r>
    </w:p>
    <w:p w14:paraId="20C84C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default" w:ascii="黑体" w:hAnsi="黑体" w:eastAsia="黑体" w:cs="黑体"/>
          <w:sz w:val="32"/>
          <w:lang w:val="en-US" w:eastAsia="zh-CN"/>
        </w:rPr>
      </w:pPr>
      <w:r>
        <w:rPr>
          <w:rFonts w:hint="eastAsia" w:ascii="黑体" w:hAnsi="黑体" w:eastAsia="黑体" w:cs="黑体"/>
          <w:sz w:val="32"/>
          <w:lang w:val="en-US" w:eastAsia="zh-CN"/>
        </w:rPr>
        <w:t>六、</w:t>
      </w:r>
      <w:r>
        <w:rPr>
          <w:rFonts w:hint="default" w:ascii="黑体" w:hAnsi="黑体" w:eastAsia="黑体" w:cs="黑体"/>
          <w:sz w:val="32"/>
          <w:lang w:val="en-US" w:eastAsia="zh-CN"/>
        </w:rPr>
        <w:t>其他需要报告的事项</w:t>
      </w:r>
    </w:p>
    <w:p w14:paraId="7E9E2A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jc w:val="both"/>
        <w:textAlignment w:val="auto"/>
        <w:rPr>
          <w:rFonts w:hint="default" w:ascii="仿宋" w:hAnsi="仿宋" w:cs="仿宋"/>
          <w:sz w:val="32"/>
          <w:lang w:val="en-US" w:eastAsia="zh-CN"/>
        </w:rPr>
      </w:pPr>
      <w:r>
        <w:rPr>
          <w:rFonts w:hint="default" w:ascii="仿宋" w:hAnsi="仿宋" w:cs="仿宋"/>
          <w:sz w:val="32"/>
          <w:lang w:val="en-US" w:eastAsia="zh-CN"/>
        </w:rPr>
        <w:t>2025年，</w:t>
      </w:r>
      <w:r>
        <w:rPr>
          <w:rFonts w:hint="eastAsia" w:ascii="仿宋" w:hAnsi="仿宋" w:cs="仿宋"/>
          <w:sz w:val="32"/>
          <w:lang w:val="en-US" w:eastAsia="zh-CN"/>
        </w:rPr>
        <w:t>纪昌庄</w:t>
      </w:r>
      <w:r>
        <w:rPr>
          <w:rFonts w:hint="default" w:ascii="仿宋" w:hAnsi="仿宋" w:cs="仿宋"/>
          <w:sz w:val="32"/>
          <w:lang w:val="en-US" w:eastAsia="zh-CN"/>
        </w:rPr>
        <w:t>镇没有收取信息处理费，无其他需要报告事项。</w:t>
      </w:r>
    </w:p>
    <w:sectPr>
      <w:headerReference r:id="rId4" w:type="first"/>
      <w:footerReference r:id="rId7" w:type="first"/>
      <w:footerReference r:id="rId5" w:type="default"/>
      <w:headerReference r:id="rId3" w:type="even"/>
      <w:footerReference r:id="rId6" w:type="even"/>
      <w:pgSz w:w="11906" w:h="16838"/>
      <w:pgMar w:top="2098" w:right="1474" w:bottom="1984" w:left="1588" w:header="851" w:footer="1400" w:gutter="0"/>
      <w:cols w:space="425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F37831">
    <w:pPr>
      <w:pStyle w:val="2"/>
      <w:jc w:val="center"/>
      <w:rPr>
        <w:rFonts w:hint="eastAsia" w:ascii="宋体" w:hAnsi="宋体" w:eastAsia="宋体" w:cs="宋体"/>
        <w:sz w:val="28"/>
        <w:lang w:eastAsia="zh-CN"/>
      </w:rPr>
    </w:pPr>
    <w:r>
      <w:rPr>
        <w:rFonts w:hint="eastAsia" w:ascii="宋体" w:hAnsi="宋体" w:eastAsia="宋体" w:cs="宋体"/>
        <w:sz w:val="28"/>
        <w:lang w:eastAsia="zh-CN"/>
      </w:rPr>
      <w:t xml:space="preserve">— </w:t>
    </w:r>
    <w:r>
      <w:rPr>
        <w:rFonts w:hint="eastAsia" w:ascii="宋体" w:hAnsi="宋体" w:eastAsia="宋体" w:cs="宋体"/>
        <w:sz w:val="28"/>
        <w:lang w:eastAsia="zh-CN"/>
      </w:rPr>
      <w:fldChar w:fldCharType="begin"/>
    </w:r>
    <w:r>
      <w:rPr>
        <w:rFonts w:hint="eastAsia" w:ascii="宋体" w:hAnsi="宋体" w:eastAsia="宋体" w:cs="宋体"/>
        <w:sz w:val="28"/>
        <w:lang w:eastAsia="zh-CN"/>
      </w:rPr>
      <w:instrText xml:space="preserve"> PAGE \* Arabic \* MERGEFORMAT </w:instrText>
    </w:r>
    <w:r>
      <w:rPr>
        <w:rFonts w:hint="eastAsia" w:ascii="宋体" w:hAnsi="宋体" w:eastAsia="宋体" w:cs="宋体"/>
        <w:sz w:val="28"/>
        <w:lang w:eastAsia="zh-CN"/>
      </w:rPr>
      <w:fldChar w:fldCharType="separate"/>
    </w:r>
    <w:r>
      <w:rPr>
        <w:rFonts w:hint="eastAsia" w:ascii="宋体" w:hAnsi="宋体" w:eastAsia="宋体" w:cs="宋体"/>
        <w:sz w:val="28"/>
        <w:lang w:eastAsia="zh-CN"/>
      </w:rPr>
      <w:t>1</w:t>
    </w:r>
    <w:r>
      <w:rPr>
        <w:rFonts w:hint="eastAsia" w:ascii="宋体" w:hAnsi="宋体" w:eastAsia="宋体" w:cs="宋体"/>
        <w:sz w:val="28"/>
        <w:lang w:eastAsia="zh-CN"/>
      </w:rPr>
      <w:fldChar w:fldCharType="end"/>
    </w:r>
    <w:r>
      <w:rPr>
        <w:rFonts w:hint="eastAsia" w:ascii="宋体" w:hAnsi="宋体" w:eastAsia="宋体" w:cs="宋体"/>
        <w:sz w:val="28"/>
        <w:lang w:eastAsia="zh-CN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D8FC12">
    <w:pPr>
      <w:pStyle w:val="2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C8433E">
    <w:pPr>
      <w:pStyle w:val="2"/>
      <w:jc w:val="cen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CA742A">
    <w:pPr>
      <w:pStyle w:val="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E9F067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58"/>
  <w:drawingGridVerticalSpacing w:val="290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6D5F34"/>
    <w:rsid w:val="02602E69"/>
    <w:rsid w:val="04124A6A"/>
    <w:rsid w:val="0517076F"/>
    <w:rsid w:val="08E3390D"/>
    <w:rsid w:val="0B5D0839"/>
    <w:rsid w:val="0E9357BA"/>
    <w:rsid w:val="1F6D5F34"/>
    <w:rsid w:val="2A3639AA"/>
    <w:rsid w:val="38234D94"/>
    <w:rsid w:val="620B3B52"/>
    <w:rsid w:val="72C17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2216</Words>
  <Characters>2251</Characters>
  <Lines>0</Lines>
  <Paragraphs>0</Paragraphs>
  <TotalTime>10</TotalTime>
  <ScaleCrop>false</ScaleCrop>
  <LinksUpToDate>false</LinksUpToDate>
  <CharactersWithSpaces>2251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2026-01-09T07:11:00Z</dcterms:created>
  <dc:creator>颜哲1394726986</dc:creator>
  <cp:lastModifiedBy>颜哲1394726986</cp:lastModifiedBy>
  <cp:lastPrinted>2026-01-12T02:57:50Z</cp:lastPrinted>
  <dcterms:modified xsi:type="dcterms:W3CDTF">2026-01-12T02:57:57Z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15C1A4ABA4464C8998D0DDB6C6547855_11</vt:lpwstr>
  </property>
  <property fmtid="{D5CDD505-2E9C-101B-9397-08002B2CF9AE}" pid="4" name="KSOTemplateDocerSaveRecord">
    <vt:lpwstr>eyJoZGlkIjoiZTRkNTdiNTc0NmUyYTEwYmMwODQ2Mzg5M2JjZmVhNDAiLCJ1c2VySWQiOiIxMjUwMjc3MyJ9</vt:lpwstr>
  </property>
</Properties>
</file>