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A50BA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宁晋县</w:t>
      </w: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人民政府办公室</w:t>
      </w:r>
    </w:p>
    <w:p w14:paraId="5424754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i w:val="0"/>
          <w:caps w:val="0"/>
          <w:color w:val="333333"/>
          <w:spacing w:val="0"/>
          <w:sz w:val="44"/>
          <w:szCs w:val="44"/>
          <w:shd w:val="clear" w:color="auto" w:fill="FFFFFF"/>
        </w:rPr>
      </w:pP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2025年</w:t>
      </w:r>
      <w:r>
        <w:rPr>
          <w:rFonts w:hint="eastAsia" w:ascii="方正小标宋简体" w:hAnsi="方正小标宋简体" w:eastAsia="方正小标宋简体" w:cs="方正小标宋简体"/>
          <w:b/>
          <w:i w:val="0"/>
          <w:caps w:val="0"/>
          <w:color w:val="333333"/>
          <w:spacing w:val="0"/>
          <w:sz w:val="44"/>
          <w:szCs w:val="44"/>
          <w:shd w:val="clear" w:color="auto" w:fill="FFFFFF"/>
        </w:rPr>
        <w:t>政府信息公开工作年度报告</w:t>
      </w:r>
    </w:p>
    <w:p w14:paraId="4831717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pPr>
    </w:p>
    <w:p w14:paraId="25BD12C8">
      <w:pPr>
        <w:keepNext w:val="0"/>
        <w:keepLines w:val="0"/>
        <w:pageBreakBefore w:val="0"/>
        <w:widowControl w:val="0"/>
        <w:numPr>
          <w:ilvl w:val="0"/>
          <w:numId w:val="0"/>
        </w:numPr>
        <w:tabs>
          <w:tab w:val="right" w:pos="8306"/>
        </w:tabs>
        <w:kinsoku/>
        <w:wordWrap/>
        <w:overflowPunct/>
        <w:topLinePunct w:val="0"/>
        <w:autoSpaceDE/>
        <w:autoSpaceDN/>
        <w:bidi w:val="0"/>
        <w:adjustRightInd/>
        <w:snapToGrid/>
        <w:spacing w:line="520" w:lineRule="exact"/>
        <w:ind w:firstLine="640" w:firstLineChars="200"/>
        <w:textAlignment w:val="auto"/>
        <w:rPr>
          <w:rFonts w:hint="eastAsia" w:ascii="仿宋_GB2312" w:eastAsia="仿宋_GB2312" w:cs="Times New Roman" w:hAnsiTheme="minorHAnsi"/>
          <w:kern w:val="2"/>
          <w:sz w:val="32"/>
          <w:szCs w:val="32"/>
          <w:lang w:val="en-US" w:eastAsia="zh-CN" w:bidi="ar-SA"/>
        </w:rPr>
      </w:pPr>
      <w:r>
        <w:rPr>
          <w:rFonts w:hint="eastAsia" w:ascii="仿宋_GB2312" w:eastAsia="仿宋_GB2312" w:cs="Times New Roman" w:hAnsiTheme="minorHAnsi"/>
          <w:kern w:val="2"/>
          <w:sz w:val="32"/>
          <w:szCs w:val="32"/>
          <w:lang w:val="en-US" w:eastAsia="zh-CN" w:bidi="ar-SA"/>
        </w:rPr>
        <w:t>本年度报告依据《中华人民共和国政府信息公开条例》、《中华人民共和国政府信息公开工作年度报告格式》和省、市政务公开工作要求，由宁晋县人民政府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2025年1月1日至12月31日。本年报的电子版可在宁晋县人民政府网站（https://www.ningjin.gov.cn/）下载。如对本年报有任何疑问，请与宁晋县人民政府办公室联系，联系电话：0319-5884599。</w:t>
      </w:r>
    </w:p>
    <w:p w14:paraId="57A6830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一、总体情况</w:t>
      </w:r>
    </w:p>
    <w:p w14:paraId="0FFF9CFE">
      <w:pPr>
        <w:keepNext w:val="0"/>
        <w:keepLines w:val="0"/>
        <w:pageBreakBefore w:val="0"/>
        <w:widowControl w:val="0"/>
        <w:numPr>
          <w:ilvl w:val="0"/>
          <w:numId w:val="0"/>
        </w:numPr>
        <w:tabs>
          <w:tab w:val="right" w:pos="8306"/>
        </w:tabs>
        <w:kinsoku/>
        <w:wordWrap/>
        <w:overflowPunct/>
        <w:topLinePunct w:val="0"/>
        <w:autoSpaceDE/>
        <w:autoSpaceDN/>
        <w:bidi w:val="0"/>
        <w:adjustRightInd/>
        <w:snapToGrid/>
        <w:spacing w:line="520" w:lineRule="exact"/>
        <w:ind w:firstLine="640" w:firstLineChars="200"/>
        <w:textAlignment w:val="auto"/>
        <w:rPr>
          <w:rFonts w:hint="eastAsia" w:ascii="仿宋_GB2312" w:eastAsia="仿宋_GB2312" w:cs="Times New Roman" w:hAnsiTheme="minorHAnsi"/>
          <w:kern w:val="2"/>
          <w:sz w:val="32"/>
          <w:szCs w:val="32"/>
          <w:lang w:val="en-US" w:eastAsia="zh-CN" w:bidi="ar-SA"/>
        </w:rPr>
      </w:pPr>
      <w:r>
        <w:rPr>
          <w:rFonts w:hint="eastAsia" w:ascii="仿宋_GB2312" w:eastAsia="仿宋_GB2312" w:cs="Times New Roman" w:hAnsiTheme="minorHAnsi"/>
          <w:kern w:val="2"/>
          <w:sz w:val="32"/>
          <w:szCs w:val="32"/>
          <w:lang w:val="en-US" w:eastAsia="zh-CN" w:bidi="ar-SA"/>
        </w:rPr>
        <w:t>2025年，宁晋县人民政府办公室坚持以习近平新时代中国特色社会主义思想为指导，全面贯彻</w:t>
      </w:r>
      <w:r>
        <w:rPr>
          <w:rFonts w:hint="default" w:ascii="仿宋_GB2312" w:eastAsia="仿宋_GB2312" w:cs="Times New Roman" w:hAnsiTheme="minorHAnsi"/>
          <w:kern w:val="2"/>
          <w:sz w:val="32"/>
          <w:szCs w:val="32"/>
          <w:lang w:val="en-US" w:eastAsia="zh-CN" w:bidi="ar-SA"/>
        </w:rPr>
        <w:t>落实</w:t>
      </w:r>
      <w:r>
        <w:rPr>
          <w:rFonts w:hint="eastAsia" w:ascii="仿宋_GB2312" w:eastAsia="仿宋_GB2312" w:cs="Times New Roman" w:hAnsiTheme="minorHAnsi"/>
          <w:kern w:val="2"/>
          <w:sz w:val="32"/>
          <w:szCs w:val="32"/>
          <w:lang w:val="en-US" w:eastAsia="zh-CN" w:bidi="ar-SA"/>
        </w:rPr>
        <w:t>党</w:t>
      </w:r>
      <w:r>
        <w:rPr>
          <w:rFonts w:hint="default" w:ascii="仿宋_GB2312" w:eastAsia="仿宋_GB2312" w:cs="Times New Roman" w:hAnsiTheme="minorHAnsi"/>
          <w:kern w:val="2"/>
          <w:sz w:val="32"/>
          <w:szCs w:val="32"/>
          <w:lang w:val="en-US" w:eastAsia="zh-CN" w:bidi="ar-SA"/>
        </w:rPr>
        <w:t>中央、国务院</w:t>
      </w:r>
      <w:r>
        <w:rPr>
          <w:rFonts w:hint="eastAsia" w:ascii="仿宋_GB2312" w:eastAsia="仿宋_GB2312" w:cs="Times New Roman" w:hAnsiTheme="minorHAnsi"/>
          <w:kern w:val="2"/>
          <w:sz w:val="32"/>
          <w:szCs w:val="32"/>
          <w:lang w:val="en-US" w:eastAsia="zh-CN" w:bidi="ar-SA"/>
        </w:rPr>
        <w:t>、</w:t>
      </w:r>
      <w:r>
        <w:rPr>
          <w:rFonts w:hint="default" w:ascii="仿宋_GB2312" w:eastAsia="仿宋_GB2312" w:cs="Times New Roman" w:hAnsiTheme="minorHAnsi"/>
          <w:kern w:val="2"/>
          <w:sz w:val="32"/>
          <w:szCs w:val="32"/>
          <w:lang w:val="en-US" w:eastAsia="zh-CN" w:bidi="ar-SA"/>
        </w:rPr>
        <w:t>省委、省政府</w:t>
      </w:r>
      <w:r>
        <w:rPr>
          <w:rFonts w:hint="eastAsia" w:ascii="仿宋_GB2312" w:eastAsia="仿宋_GB2312" w:cs="Times New Roman" w:hAnsiTheme="minorHAnsi"/>
          <w:kern w:val="2"/>
          <w:sz w:val="32"/>
          <w:szCs w:val="32"/>
          <w:lang w:val="en-US" w:eastAsia="zh-CN" w:bidi="ar-SA"/>
        </w:rPr>
        <w:t>、市委和市政府</w:t>
      </w:r>
      <w:r>
        <w:rPr>
          <w:rFonts w:hint="default" w:ascii="仿宋_GB2312" w:eastAsia="仿宋_GB2312" w:cs="Times New Roman" w:hAnsiTheme="minorHAnsi"/>
          <w:kern w:val="2"/>
          <w:sz w:val="32"/>
          <w:szCs w:val="32"/>
          <w:lang w:val="en-US" w:eastAsia="zh-CN" w:bidi="ar-SA"/>
        </w:rPr>
        <w:t>决策部署，</w:t>
      </w:r>
      <w:r>
        <w:rPr>
          <w:rFonts w:hint="eastAsia" w:ascii="仿宋_GB2312" w:eastAsia="仿宋_GB2312" w:cs="Times New Roman" w:hAnsiTheme="minorHAnsi"/>
          <w:kern w:val="2"/>
          <w:sz w:val="32"/>
          <w:szCs w:val="32"/>
          <w:lang w:val="en-US" w:eastAsia="zh-CN" w:bidi="ar-SA"/>
        </w:rPr>
        <w:t>紧紧围绕县委、县政府中心工作，全力推进政务公开各项工作深入开展。</w:t>
      </w:r>
    </w:p>
    <w:p w14:paraId="6990273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default" w:ascii="仿宋_GB2312" w:eastAsia="仿宋_GB2312" w:cs="Times New Roman" w:hAnsiTheme="minorHAnsi"/>
          <w:kern w:val="2"/>
          <w:sz w:val="32"/>
          <w:szCs w:val="32"/>
          <w:lang w:val="en-US" w:eastAsia="zh-CN" w:bidi="ar-SA"/>
        </w:rPr>
      </w:pPr>
      <w:r>
        <w:rPr>
          <w:rFonts w:hint="eastAsia" w:ascii="楷体" w:hAnsi="楷体" w:eastAsia="楷体" w:cs="楷体"/>
          <w:color w:val="auto"/>
          <w:sz w:val="32"/>
          <w:szCs w:val="32"/>
          <w:u w:val="none"/>
          <w:lang w:val="en-US" w:eastAsia="zh-CN"/>
        </w:rPr>
        <w:t>（一）主动公开方面</w:t>
      </w:r>
      <w:r>
        <w:rPr>
          <w:rFonts w:hint="eastAsia" w:ascii="仿宋_GB2312" w:eastAsia="仿宋_GB2312" w:cs="Times New Roman" w:hAnsiTheme="minorHAnsi"/>
          <w:kern w:val="2"/>
          <w:sz w:val="32"/>
          <w:szCs w:val="32"/>
          <w:lang w:val="en-US" w:eastAsia="zh-CN" w:bidi="ar-SA"/>
        </w:rPr>
        <w:t>。2025年，聚焦推动高质量发展，围绕发展新质生产力、保障和改善民生等重点工作，加大公开力度，提升公开质效，通过县政府网站（含宁晋县政府信息公开平台）更新发布政府信息5340条，专栏公开人大代表建议、政协提案办理复文41件，举办在线访谈6期；通过“宁晋县政府”微信订阅号发布稿件423篇；通过县档案馆、县图书馆和县政务服务大厅公开县政府暨县政府办公室政策文件11件。</w:t>
      </w:r>
    </w:p>
    <w:p w14:paraId="541C0B19">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eastAsia="仿宋_GB2312" w:cs="Times New Roman" w:hAnsiTheme="minorHAnsi"/>
          <w:kern w:val="2"/>
          <w:sz w:val="32"/>
          <w:szCs w:val="32"/>
          <w:lang w:val="en-US" w:eastAsia="zh-CN" w:bidi="ar-SA"/>
        </w:rPr>
      </w:pPr>
      <w:r>
        <w:rPr>
          <w:rFonts w:hint="eastAsia" w:ascii="楷体" w:hAnsi="楷体" w:eastAsia="楷体" w:cs="楷体"/>
          <w:color w:val="auto"/>
          <w:sz w:val="32"/>
          <w:szCs w:val="32"/>
          <w:u w:val="none"/>
          <w:lang w:val="en-US" w:eastAsia="zh-CN"/>
        </w:rPr>
        <w:t>（二）依申请公开方面。</w:t>
      </w:r>
      <w:r>
        <w:rPr>
          <w:rFonts w:hint="eastAsia" w:ascii="仿宋_GB2312" w:eastAsia="仿宋_GB2312" w:cs="Times New Roman" w:hAnsiTheme="minorHAnsi"/>
          <w:kern w:val="2"/>
          <w:sz w:val="32"/>
          <w:szCs w:val="32"/>
          <w:lang w:val="en-US" w:eastAsia="zh-CN" w:bidi="ar-SA"/>
        </w:rPr>
        <w:t>进一步规范政府信息依申请公开办理流程，完善接收、登记、办理、调查、答复等办理环节，实现全闭环办理，依申请公开办理工作的科学化、规范化水平持续提升。对申请的每一事项，准确适用《中华人民共和国政府信息公开条例》规定条款，做到依法依规答复。定期总结分析政府信息公开申请的共性及个性特点，加强与申请人沟通交流，准确把握实际诉求，持续提升政府信息公开申请答复质效。2025年共收到依申请政府信息公开32件，已办结29件，结转下年度继续办理3件。其中引发行政复议案件1件，没有因政府信息公开引起的行政诉讼。</w:t>
      </w:r>
    </w:p>
    <w:p w14:paraId="247C4A9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6"/>
        <w:jc w:val="both"/>
        <w:textAlignment w:val="auto"/>
        <w:rPr>
          <w:rFonts w:hint="eastAsia" w:ascii="仿宋_GB2312" w:eastAsia="仿宋_GB2312" w:cs="Times New Roman" w:hAnsiTheme="minorHAnsi"/>
          <w:kern w:val="2"/>
          <w:sz w:val="32"/>
          <w:szCs w:val="32"/>
          <w:lang w:val="en-US" w:eastAsia="zh-CN" w:bidi="ar-SA"/>
        </w:rPr>
      </w:pPr>
      <w:r>
        <w:rPr>
          <w:rFonts w:hint="eastAsia" w:ascii="楷体" w:hAnsi="楷体" w:eastAsia="楷体" w:cs="楷体"/>
          <w:color w:val="auto"/>
          <w:kern w:val="2"/>
          <w:sz w:val="32"/>
          <w:szCs w:val="32"/>
          <w:u w:val="none"/>
          <w:lang w:val="en-US" w:eastAsia="zh-CN" w:bidi="ar-SA"/>
        </w:rPr>
        <w:t>（三）政府信息管理方面。</w:t>
      </w:r>
      <w:r>
        <w:rPr>
          <w:rFonts w:hint="eastAsia" w:ascii="仿宋_GB2312" w:eastAsia="仿宋_GB2312" w:cs="Times New Roman" w:hAnsiTheme="minorHAnsi"/>
          <w:kern w:val="2"/>
          <w:sz w:val="32"/>
          <w:szCs w:val="32"/>
          <w:lang w:val="en-US" w:eastAsia="zh-CN" w:bidi="ar-SA"/>
        </w:rPr>
        <w:t>文件制发流程规范，严格遵守文件信息公开审查工作要求，认真落实公文公开属性源头认定和公开前发布审查工作机制。加强政府网站和政务新媒体信息发布审核把关，严格执行“分级审核、先审后发”的“三级审核”制度，切实把好政府网站和政务新媒体发布稿件政治关、法律关、政策关、保密关、文字关，确保发布信息内容安全、文字准确。积极做好政策文件解读工作，做到政策性文件与政策宣传解读方案同步起草、审签、部署，2025年通过宁晋县政府信息公开平台“政策解读”栏目发布政策解读信息7条。</w:t>
      </w:r>
    </w:p>
    <w:p w14:paraId="029215E9">
      <w:pPr>
        <w:pStyle w:val="2"/>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eastAsia="仿宋_GB2312" w:cs="Times New Roman" w:hAnsiTheme="minorHAnsi"/>
          <w:kern w:val="2"/>
          <w:sz w:val="32"/>
          <w:szCs w:val="32"/>
          <w:lang w:val="en-US" w:eastAsia="zh-CN" w:bidi="ar-SA"/>
        </w:rPr>
      </w:pPr>
      <w:r>
        <w:rPr>
          <w:rFonts w:hint="eastAsia" w:ascii="楷体" w:hAnsi="楷体" w:eastAsia="楷体" w:cs="楷体"/>
          <w:color w:val="auto"/>
          <w:kern w:val="2"/>
          <w:sz w:val="32"/>
          <w:szCs w:val="32"/>
          <w:u w:val="none"/>
          <w:lang w:val="en-US" w:eastAsia="zh-CN" w:bidi="ar-SA"/>
        </w:rPr>
        <w:t>（四）平台建设方面。</w:t>
      </w:r>
      <w:r>
        <w:rPr>
          <w:rFonts w:hint="eastAsia" w:ascii="仿宋_GB2312" w:eastAsia="仿宋_GB2312" w:cs="Times New Roman" w:hAnsiTheme="minorHAnsi"/>
          <w:kern w:val="2"/>
          <w:sz w:val="32"/>
          <w:szCs w:val="32"/>
          <w:lang w:val="en-US" w:eastAsia="zh-CN" w:bidi="ar-SA"/>
        </w:rPr>
        <w:t>一是加强政府门户网站暨政府信息公开平台建设，2025年完成网站适老化建设，方便群众浏览；二是充分发挥县政府门户网站政务公开主阵地作用，优化政府信息公开专栏，完善信息发布机制，强化内容保障和监管维护；三是畅通政民互动，实现县政府网站和河北省政务服务网（宁晋县版块）一号登录，便利群众办事，积极回应社会关切；四是加强政务新媒体信息公开和宣传力度，依托“宁晋县政府”微信公众号，</w:t>
      </w:r>
      <w:r>
        <w:rPr>
          <w:rFonts w:hint="default" w:ascii="仿宋_GB2312" w:eastAsia="仿宋_GB2312" w:cs="Times New Roman" w:hAnsiTheme="minorHAnsi"/>
          <w:kern w:val="2"/>
          <w:sz w:val="32"/>
          <w:szCs w:val="32"/>
          <w:lang w:val="en-US" w:eastAsia="zh-CN" w:bidi="ar-SA"/>
        </w:rPr>
        <w:t>202</w:t>
      </w:r>
      <w:r>
        <w:rPr>
          <w:rFonts w:hint="eastAsia" w:ascii="仿宋_GB2312" w:eastAsia="仿宋_GB2312" w:cs="Times New Roman" w:hAnsiTheme="minorHAnsi"/>
          <w:kern w:val="2"/>
          <w:sz w:val="32"/>
          <w:szCs w:val="32"/>
          <w:lang w:val="en-US" w:eastAsia="zh-CN" w:bidi="ar-SA"/>
        </w:rPr>
        <w:t>5年发布各类政府信息423篇，借助新媒体平台进一步创新政府信息公开方式，公开、宣传好重大部署、重要政策、重点工作；五是切实发挥政府公报作为主动公开政府信息重要载体作用，</w:t>
      </w:r>
      <w:r>
        <w:rPr>
          <w:rFonts w:hint="default" w:ascii="仿宋_GB2312" w:eastAsia="仿宋_GB2312" w:cs="Times New Roman" w:hAnsiTheme="minorHAnsi"/>
          <w:kern w:val="2"/>
          <w:sz w:val="32"/>
          <w:szCs w:val="32"/>
          <w:lang w:val="en-US" w:eastAsia="zh-CN" w:bidi="ar-SA"/>
        </w:rPr>
        <w:t>202</w:t>
      </w:r>
      <w:r>
        <w:rPr>
          <w:rFonts w:hint="eastAsia" w:ascii="仿宋_GB2312" w:eastAsia="仿宋_GB2312" w:cs="Times New Roman" w:hAnsiTheme="minorHAnsi"/>
          <w:kern w:val="2"/>
          <w:sz w:val="32"/>
          <w:szCs w:val="32"/>
          <w:lang w:val="en-US" w:eastAsia="zh-CN" w:bidi="ar-SA"/>
        </w:rPr>
        <w:t>5年共编发《宁晋县人民政府公报》</w:t>
      </w:r>
      <w:r>
        <w:rPr>
          <w:rFonts w:hint="default" w:ascii="仿宋_GB2312" w:eastAsia="仿宋_GB2312" w:cs="Times New Roman" w:hAnsiTheme="minorHAnsi"/>
          <w:kern w:val="2"/>
          <w:sz w:val="32"/>
          <w:szCs w:val="32"/>
          <w:lang w:val="en-US" w:eastAsia="zh-CN" w:bidi="ar-SA"/>
        </w:rPr>
        <w:t>3</w:t>
      </w:r>
      <w:r>
        <w:rPr>
          <w:rFonts w:hint="eastAsia" w:ascii="仿宋_GB2312" w:eastAsia="仿宋_GB2312" w:cs="Times New Roman" w:hAnsiTheme="minorHAnsi"/>
          <w:kern w:val="2"/>
          <w:sz w:val="32"/>
          <w:szCs w:val="32"/>
          <w:lang w:val="en-US" w:eastAsia="zh-CN" w:bidi="ar-SA"/>
        </w:rPr>
        <w:t>期，共刊登县政府、县政府办公室文件11件。</w:t>
      </w:r>
    </w:p>
    <w:p w14:paraId="14CCD341">
      <w:pPr>
        <w:pStyle w:val="2"/>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eastAsia="仿宋_GB2312" w:cs="Times New Roman" w:hAnsiTheme="minorHAnsi"/>
          <w:kern w:val="2"/>
          <w:sz w:val="32"/>
          <w:szCs w:val="32"/>
          <w:lang w:val="en-US" w:eastAsia="zh-CN" w:bidi="ar-SA"/>
        </w:rPr>
      </w:pPr>
      <w:r>
        <w:rPr>
          <w:rFonts w:hint="eastAsia" w:ascii="楷体" w:hAnsi="楷体" w:eastAsia="楷体" w:cs="楷体"/>
          <w:color w:val="auto"/>
          <w:kern w:val="2"/>
          <w:sz w:val="32"/>
          <w:szCs w:val="32"/>
          <w:u w:val="none"/>
          <w:lang w:val="en-US" w:eastAsia="zh-CN" w:bidi="ar-SA"/>
        </w:rPr>
        <w:t>（五）监督保障方面。</w:t>
      </w:r>
      <w:r>
        <w:rPr>
          <w:rFonts w:hint="eastAsia" w:ascii="仿宋_GB2312" w:eastAsia="仿宋_GB2312" w:cs="Times New Roman" w:hAnsiTheme="minorHAnsi"/>
          <w:kern w:val="2"/>
          <w:sz w:val="32"/>
          <w:szCs w:val="32"/>
          <w:lang w:val="en-US" w:eastAsia="zh-CN" w:bidi="ar-SA"/>
        </w:rPr>
        <w:t>加强对基层政务公开工作的业务指导。督促各单位按照《中华人民共和国</w:t>
      </w:r>
      <w:r>
        <w:rPr>
          <w:rFonts w:hint="eastAsia" w:ascii="仿宋_GB2312" w:eastAsia="仿宋_GB2312" w:cs="Times New Roman"/>
          <w:kern w:val="2"/>
          <w:sz w:val="32"/>
          <w:szCs w:val="32"/>
          <w:lang w:val="en-US" w:eastAsia="zh-CN" w:bidi="ar-SA"/>
        </w:rPr>
        <w:t>政府</w:t>
      </w:r>
      <w:r>
        <w:rPr>
          <w:rFonts w:hint="eastAsia" w:ascii="仿宋_GB2312" w:eastAsia="仿宋_GB2312" w:cs="Times New Roman" w:hAnsiTheme="minorHAnsi"/>
          <w:kern w:val="2"/>
          <w:sz w:val="32"/>
          <w:szCs w:val="32"/>
          <w:lang w:val="en-US" w:eastAsia="zh-CN" w:bidi="ar-SA"/>
        </w:rPr>
        <w:t>信息公开条例》要求，及时准确公开相关信息；指导相关单位按照《中华人民共和国</w:t>
      </w:r>
      <w:r>
        <w:rPr>
          <w:rFonts w:hint="eastAsia" w:ascii="仿宋_GB2312" w:eastAsia="仿宋_GB2312" w:cs="Times New Roman"/>
          <w:kern w:val="2"/>
          <w:sz w:val="32"/>
          <w:szCs w:val="32"/>
          <w:lang w:val="en-US" w:eastAsia="zh-CN" w:bidi="ar-SA"/>
        </w:rPr>
        <w:t>政府</w:t>
      </w:r>
      <w:bookmarkStart w:id="0" w:name="_GoBack"/>
      <w:bookmarkEnd w:id="0"/>
      <w:r>
        <w:rPr>
          <w:rFonts w:hint="eastAsia" w:ascii="仿宋_GB2312" w:eastAsia="仿宋_GB2312" w:cs="Times New Roman" w:hAnsiTheme="minorHAnsi"/>
          <w:kern w:val="2"/>
          <w:sz w:val="32"/>
          <w:szCs w:val="32"/>
          <w:lang w:val="en-US" w:eastAsia="zh-CN" w:bidi="ar-SA"/>
        </w:rPr>
        <w:t>信息公开条例》、《河北省政府信息公开申请办理规范》，依法规范答复政府信息公开申请；加强政府网站和政务新媒体监管，确保发布信息准确，</w:t>
      </w:r>
      <w:r>
        <w:rPr>
          <w:rFonts w:hint="eastAsia" w:ascii="仿宋_GB2312" w:eastAsia="仿宋_GB2312" w:cs="Times New Roman"/>
          <w:kern w:val="2"/>
          <w:sz w:val="32"/>
          <w:szCs w:val="32"/>
          <w:lang w:val="en-US" w:eastAsia="zh-CN" w:bidi="ar-SA"/>
        </w:rPr>
        <w:t>积极</w:t>
      </w:r>
      <w:r>
        <w:rPr>
          <w:rFonts w:hint="eastAsia" w:ascii="仿宋_GB2312" w:eastAsia="仿宋_GB2312" w:cs="Times New Roman" w:hAnsiTheme="minorHAnsi"/>
          <w:kern w:val="2"/>
          <w:sz w:val="32"/>
          <w:szCs w:val="32"/>
          <w:lang w:val="en-US" w:eastAsia="zh-CN" w:bidi="ar-SA"/>
        </w:rPr>
        <w:t>推动政务新媒体规范有序发展。</w:t>
      </w:r>
    </w:p>
    <w:p w14:paraId="394518CA">
      <w:pPr>
        <w:keepNext w:val="0"/>
        <w:keepLines w:val="0"/>
        <w:pageBreakBefore w:val="0"/>
        <w:widowControl w:val="0"/>
        <w:numPr>
          <w:ilvl w:val="0"/>
          <w:numId w:val="0"/>
        </w:numPr>
        <w:tabs>
          <w:tab w:val="right" w:pos="8306"/>
        </w:tabs>
        <w:kinsoku/>
        <w:wordWrap/>
        <w:overflowPunct/>
        <w:topLinePunct w:val="0"/>
        <w:autoSpaceDE/>
        <w:autoSpaceDN/>
        <w:bidi w:val="0"/>
        <w:adjustRightInd/>
        <w:snapToGrid/>
        <w:spacing w:line="560" w:lineRule="exact"/>
        <w:ind w:firstLine="643" w:firstLineChars="200"/>
        <w:textAlignment w:val="auto"/>
        <w:rPr>
          <w:rFonts w:hint="eastAsia" w:ascii="宋体" w:hAnsi="宋体" w:eastAsia="宋体" w:cs="宋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10"/>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1F744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51383B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1599C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7836B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424E6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B63C7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5CB4C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4AB38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7CB43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E7EB9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8152D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76569A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586C7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3CE4B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51A24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496B2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1</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068FE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4</w:t>
            </w:r>
          </w:p>
        </w:tc>
      </w:tr>
      <w:tr w14:paraId="43482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9E1F5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78C12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C5CBF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0B590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0845F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EC42D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2BDCF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17C28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258C5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1C97C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BC620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D45F3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71C6A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E0A8B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25791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7E305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56CD1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FC79F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3A963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B1F13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0CC02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EA795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7E81DB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41933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02622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3833BBD2">
            <w:pPr>
              <w:jc w:val="center"/>
              <w:rPr>
                <w:rFonts w:hint="default" w:ascii="宋体" w:eastAsiaTheme="minorEastAsia"/>
                <w:sz w:val="24"/>
                <w:szCs w:val="24"/>
                <w:lang w:val="en-US" w:eastAsia="zh-CN"/>
              </w:rPr>
            </w:pPr>
            <w:r>
              <w:rPr>
                <w:rFonts w:hint="eastAsia" w:ascii="宋体"/>
                <w:sz w:val="24"/>
                <w:szCs w:val="24"/>
                <w:lang w:val="en-US" w:eastAsia="zh-CN"/>
              </w:rPr>
              <w:t>0</w:t>
            </w:r>
          </w:p>
        </w:tc>
      </w:tr>
    </w:tbl>
    <w:p w14:paraId="49EE02B4">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auto"/>
          <w:spacing w:val="0"/>
          <w:sz w:val="32"/>
          <w:szCs w:val="32"/>
          <w:shd w:val="clear" w:fill="FFFFFF"/>
        </w:rPr>
      </w:pPr>
    </w:p>
    <w:p w14:paraId="26BBB850">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rPr>
      </w:pPr>
      <w:r>
        <w:rPr>
          <w:rFonts w:hint="eastAsia" w:ascii="黑体" w:hAnsi="黑体" w:eastAsia="黑体" w:cs="黑体"/>
          <w:b/>
          <w:bCs/>
          <w:i w:val="0"/>
          <w:iCs w:val="0"/>
          <w:caps w:val="0"/>
          <w:color w:val="auto"/>
          <w:spacing w:val="0"/>
          <w:sz w:val="32"/>
          <w:szCs w:val="32"/>
          <w:shd w:val="clear" w:fill="FFFFFF"/>
        </w:rPr>
        <w:t>三、收到和处理政府信息公开申请情况</w:t>
      </w:r>
    </w:p>
    <w:tbl>
      <w:tblPr>
        <w:tblStyle w:val="10"/>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1D55440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3AE05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FF019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399B161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0694A3C">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2334F4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1E36B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3DC0A8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458714A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101" w:hRule="atLeast"/>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124DEAD4">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2AAE0CB7">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3EFE6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0DCBF9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45BF8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5D4EAD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9AAFF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E7008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4478C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34F0B569">
            <w:pPr>
              <w:rPr>
                <w:rFonts w:hint="eastAsia" w:ascii="宋体"/>
                <w:sz w:val="24"/>
                <w:szCs w:val="24"/>
              </w:rPr>
            </w:pPr>
          </w:p>
        </w:tc>
      </w:tr>
      <w:tr w14:paraId="68433F1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7E723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380B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31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DD62B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5DF5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86C78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9A4B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C8D9B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780D1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32</w:t>
            </w:r>
          </w:p>
        </w:tc>
      </w:tr>
      <w:tr w14:paraId="3197F54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78A91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C802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2</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5FB3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EFC3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0B83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D9021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9C13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B8BA1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2</w:t>
            </w:r>
          </w:p>
        </w:tc>
      </w:tr>
      <w:tr w14:paraId="1116CAA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64FF1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FA6CD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E82B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5</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C7C83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11BB5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B1C4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86EA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BF72A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367258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6</w:t>
            </w:r>
          </w:p>
        </w:tc>
      </w:tr>
      <w:tr w14:paraId="0EE50E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9419620">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74D5C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A3A78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08F6D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39DC1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01E6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B598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159D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2BA491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5137079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504BC2A">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75529C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DDB8F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027D8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D027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B046B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6E2A4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FD15C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F9B1C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252346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r>
      <w:tr w14:paraId="25AE9BA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C48A25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52169D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40F77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5E54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6872F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8FC5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1F137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C61E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C6EBF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27E88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57EC148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CF43DC8">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AAF781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C5F34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FD6F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eastAsia="zh-CN"/>
              </w:rPr>
            </w:pPr>
            <w:r>
              <w:rPr>
                <w:rFonts w:hint="eastAsia"/>
                <w:lang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D0C82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F7B8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7BC65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EFE7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453A7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B5652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291D85E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6C3231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FD80246">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B4F2C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9B175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FDD44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EA88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02325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07D34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4E2F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7D8D1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4D23BFD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31E234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E13A7AB">
            <w:pPr>
              <w:rPr>
                <w:rFonts w:hint="eastAsia" w:ascii="宋体"/>
                <w:sz w:val="24"/>
                <w:szCs w:val="24"/>
              </w:rPr>
            </w:pPr>
          </w:p>
        </w:tc>
        <w:tc>
          <w:tcPr>
            <w:tcW w:w="3220" w:type="dxa"/>
            <w:tcBorders>
              <w:top w:val="nil"/>
              <w:left w:val="nil"/>
              <w:bottom w:val="single" w:color="auto" w:sz="4" w:space="0"/>
              <w:right w:val="single" w:color="auto" w:sz="8" w:space="0"/>
            </w:tcBorders>
            <w:shd w:val="clear" w:color="auto" w:fill="auto"/>
            <w:tcMar>
              <w:left w:w="57" w:type="dxa"/>
              <w:right w:w="57" w:type="dxa"/>
            </w:tcMar>
            <w:vAlign w:val="top"/>
          </w:tcPr>
          <w:p w14:paraId="65C3AD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49E855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089F7A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0F9B0C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57EE4E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4917A5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73287A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4" w:space="0"/>
              <w:right w:val="single" w:color="auto" w:sz="8" w:space="0"/>
            </w:tcBorders>
            <w:shd w:val="clear" w:color="auto" w:fill="auto"/>
            <w:tcMar>
              <w:left w:w="57" w:type="dxa"/>
              <w:right w:w="57" w:type="dxa"/>
            </w:tcMar>
            <w:vAlign w:val="top"/>
          </w:tcPr>
          <w:p w14:paraId="2DC3A3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1A24FDD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CF4DC33">
            <w:pPr>
              <w:rPr>
                <w:rFonts w:hint="eastAsia" w:ascii="宋体"/>
                <w:sz w:val="24"/>
                <w:szCs w:val="24"/>
              </w:rPr>
            </w:pPr>
          </w:p>
        </w:tc>
        <w:tc>
          <w:tcPr>
            <w:tcW w:w="943" w:type="dxa"/>
            <w:vMerge w:val="continue"/>
            <w:tcBorders>
              <w:top w:val="nil"/>
              <w:left w:val="nil"/>
              <w:bottom w:val="outset" w:color="auto" w:sz="8" w:space="0"/>
              <w:right w:val="single" w:color="auto" w:sz="4" w:space="0"/>
            </w:tcBorders>
            <w:shd w:val="clear" w:color="auto" w:fill="auto"/>
            <w:tcMar>
              <w:left w:w="57" w:type="dxa"/>
              <w:right w:w="57" w:type="dxa"/>
            </w:tcMar>
            <w:vAlign w:val="center"/>
          </w:tcPr>
          <w:p w14:paraId="6308AFFE">
            <w:pPr>
              <w:rPr>
                <w:rFonts w:hint="eastAsia" w:ascii="宋体"/>
                <w:sz w:val="24"/>
                <w:szCs w:val="24"/>
              </w:rPr>
            </w:pPr>
          </w:p>
        </w:tc>
        <w:tc>
          <w:tcPr>
            <w:tcW w:w="3220"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51EA29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00CCF0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6C45C8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29572E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632828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66EA55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282EE6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774CAA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59C092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F3F94D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22E1F95">
            <w:pPr>
              <w:rPr>
                <w:rFonts w:hint="eastAsia" w:ascii="宋体"/>
                <w:sz w:val="24"/>
                <w:szCs w:val="24"/>
              </w:rPr>
            </w:pPr>
          </w:p>
        </w:tc>
        <w:tc>
          <w:tcPr>
            <w:tcW w:w="3220" w:type="dxa"/>
            <w:tcBorders>
              <w:top w:val="single" w:color="auto" w:sz="4" w:space="0"/>
              <w:left w:val="nil"/>
              <w:bottom w:val="single" w:color="auto" w:sz="4" w:space="0"/>
              <w:right w:val="single" w:color="auto" w:sz="8" w:space="0"/>
            </w:tcBorders>
            <w:shd w:val="clear" w:color="auto" w:fill="auto"/>
            <w:tcMar>
              <w:left w:w="57" w:type="dxa"/>
              <w:right w:w="57" w:type="dxa"/>
            </w:tcMar>
            <w:vAlign w:val="top"/>
          </w:tcPr>
          <w:p w14:paraId="401902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single" w:color="auto" w:sz="4" w:space="0"/>
              <w:left w:val="nil"/>
              <w:bottom w:val="single" w:color="auto" w:sz="4" w:space="0"/>
              <w:right w:val="single" w:color="auto" w:sz="8" w:space="0"/>
            </w:tcBorders>
            <w:shd w:val="clear" w:color="auto" w:fill="auto"/>
            <w:tcMar>
              <w:left w:w="57" w:type="dxa"/>
              <w:right w:w="57" w:type="dxa"/>
            </w:tcMar>
            <w:vAlign w:val="top"/>
          </w:tcPr>
          <w:p w14:paraId="40EDAD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single" w:color="auto" w:sz="4" w:space="0"/>
              <w:left w:val="nil"/>
              <w:bottom w:val="single" w:color="auto" w:sz="4" w:space="0"/>
              <w:right w:val="single" w:color="auto" w:sz="8" w:space="0"/>
            </w:tcBorders>
            <w:shd w:val="clear" w:color="auto" w:fill="auto"/>
            <w:tcMar>
              <w:left w:w="57" w:type="dxa"/>
              <w:right w:w="57" w:type="dxa"/>
            </w:tcMar>
            <w:vAlign w:val="top"/>
          </w:tcPr>
          <w:p w14:paraId="05890A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4" w:space="0"/>
              <w:right w:val="single" w:color="auto" w:sz="8" w:space="0"/>
            </w:tcBorders>
            <w:shd w:val="clear" w:color="auto" w:fill="auto"/>
            <w:tcMar>
              <w:left w:w="57" w:type="dxa"/>
              <w:right w:w="57" w:type="dxa"/>
            </w:tcMar>
            <w:vAlign w:val="top"/>
          </w:tcPr>
          <w:p w14:paraId="2CD38C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4" w:space="0"/>
              <w:right w:val="single" w:color="auto" w:sz="8" w:space="0"/>
            </w:tcBorders>
            <w:shd w:val="clear" w:color="auto" w:fill="auto"/>
            <w:tcMar>
              <w:left w:w="57" w:type="dxa"/>
              <w:right w:w="57" w:type="dxa"/>
            </w:tcMar>
            <w:vAlign w:val="top"/>
          </w:tcPr>
          <w:p w14:paraId="37350F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4" w:space="0"/>
              <w:right w:val="single" w:color="auto" w:sz="8" w:space="0"/>
            </w:tcBorders>
            <w:shd w:val="clear" w:color="auto" w:fill="auto"/>
            <w:tcMar>
              <w:left w:w="57" w:type="dxa"/>
              <w:right w:w="57" w:type="dxa"/>
            </w:tcMar>
            <w:vAlign w:val="top"/>
          </w:tcPr>
          <w:p w14:paraId="1F4C90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4" w:space="0"/>
              <w:right w:val="single" w:color="auto" w:sz="8" w:space="0"/>
            </w:tcBorders>
            <w:shd w:val="clear" w:color="auto" w:fill="auto"/>
            <w:tcMar>
              <w:left w:w="57" w:type="dxa"/>
              <w:right w:w="57" w:type="dxa"/>
            </w:tcMar>
            <w:vAlign w:val="top"/>
          </w:tcPr>
          <w:p w14:paraId="1A5BAC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4" w:space="0"/>
              <w:left w:val="nil"/>
              <w:bottom w:val="single" w:color="auto" w:sz="4" w:space="0"/>
              <w:right w:val="single" w:color="auto" w:sz="8" w:space="0"/>
            </w:tcBorders>
            <w:shd w:val="clear" w:color="auto" w:fill="auto"/>
            <w:tcMar>
              <w:left w:w="57" w:type="dxa"/>
              <w:right w:w="57" w:type="dxa"/>
            </w:tcMar>
            <w:vAlign w:val="top"/>
          </w:tcPr>
          <w:p w14:paraId="5E56B7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4A86A7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72"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28E3AE9">
            <w:pPr>
              <w:rPr>
                <w:rFonts w:hint="eastAsia" w:ascii="宋体"/>
                <w:sz w:val="24"/>
                <w:szCs w:val="24"/>
              </w:rPr>
            </w:pPr>
          </w:p>
        </w:tc>
        <w:tc>
          <w:tcPr>
            <w:tcW w:w="943" w:type="dxa"/>
            <w:vMerge w:val="continue"/>
            <w:tcBorders>
              <w:top w:val="nil"/>
              <w:left w:val="nil"/>
              <w:bottom w:val="single" w:color="auto" w:sz="4" w:space="0"/>
              <w:right w:val="single" w:color="auto" w:sz="4" w:space="0"/>
            </w:tcBorders>
            <w:shd w:val="clear" w:color="auto" w:fill="auto"/>
            <w:tcMar>
              <w:left w:w="57" w:type="dxa"/>
              <w:right w:w="57" w:type="dxa"/>
            </w:tcMar>
            <w:vAlign w:val="center"/>
          </w:tcPr>
          <w:p w14:paraId="3753AEBD">
            <w:pPr>
              <w:rPr>
                <w:rFonts w:hint="eastAsia" w:ascii="宋体"/>
                <w:sz w:val="24"/>
                <w:szCs w:val="24"/>
              </w:rPr>
            </w:pPr>
          </w:p>
        </w:tc>
        <w:tc>
          <w:tcPr>
            <w:tcW w:w="3220"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35331A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2754A0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eastAsia="zh-CN"/>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331DAD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32931B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743964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3C0FE4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5B173C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3D0E1A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7193AA3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4" w:space="0"/>
            </w:tcBorders>
            <w:shd w:val="clear" w:color="auto" w:fill="auto"/>
            <w:tcMar>
              <w:left w:w="57" w:type="dxa"/>
              <w:right w:w="57" w:type="dxa"/>
            </w:tcMar>
            <w:vAlign w:val="center"/>
          </w:tcPr>
          <w:p w14:paraId="078A0A36">
            <w:pPr>
              <w:rPr>
                <w:rFonts w:hint="eastAsia" w:ascii="宋体"/>
                <w:sz w:val="24"/>
                <w:szCs w:val="24"/>
              </w:rPr>
            </w:pPr>
          </w:p>
        </w:tc>
        <w:tc>
          <w:tcPr>
            <w:tcW w:w="943" w:type="dxa"/>
            <w:vMerge w:val="restart"/>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090C2A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single" w:color="auto" w:sz="4" w:space="0"/>
              <w:left w:val="single" w:color="auto" w:sz="4" w:space="0"/>
              <w:bottom w:val="single" w:color="auto" w:sz="8" w:space="0"/>
              <w:right w:val="single" w:color="auto" w:sz="8" w:space="0"/>
            </w:tcBorders>
            <w:shd w:val="clear" w:color="auto" w:fill="auto"/>
            <w:tcMar>
              <w:left w:w="57" w:type="dxa"/>
              <w:right w:w="57" w:type="dxa"/>
            </w:tcMar>
            <w:vAlign w:val="top"/>
          </w:tcPr>
          <w:p w14:paraId="6E9381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711775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22</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3D8125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65E647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1910CF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6732E1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1ABC13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58D928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22</w:t>
            </w:r>
          </w:p>
        </w:tc>
      </w:tr>
      <w:tr w14:paraId="0692E2E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4" w:space="0"/>
            </w:tcBorders>
            <w:shd w:val="clear" w:color="auto" w:fill="auto"/>
            <w:tcMar>
              <w:left w:w="57" w:type="dxa"/>
              <w:right w:w="57" w:type="dxa"/>
            </w:tcMar>
            <w:vAlign w:val="center"/>
          </w:tcPr>
          <w:p w14:paraId="2566931C">
            <w:pPr>
              <w:rPr>
                <w:rFonts w:hint="eastAsia" w:ascii="宋体"/>
                <w:sz w:val="24"/>
                <w:szCs w:val="24"/>
              </w:rPr>
            </w:pPr>
          </w:p>
        </w:tc>
        <w:tc>
          <w:tcPr>
            <w:tcW w:w="943" w:type="dxa"/>
            <w:vMerge w:val="continue"/>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03319086">
            <w:pPr>
              <w:rPr>
                <w:rFonts w:hint="eastAsia" w:ascii="宋体"/>
                <w:sz w:val="24"/>
                <w:szCs w:val="24"/>
              </w:rPr>
            </w:pPr>
          </w:p>
        </w:tc>
        <w:tc>
          <w:tcPr>
            <w:tcW w:w="3220" w:type="dxa"/>
            <w:tcBorders>
              <w:top w:val="nil"/>
              <w:left w:val="single" w:color="auto" w:sz="4" w:space="0"/>
              <w:bottom w:val="single" w:color="auto" w:sz="4" w:space="0"/>
              <w:right w:val="single" w:color="auto" w:sz="8" w:space="0"/>
            </w:tcBorders>
            <w:shd w:val="clear" w:color="auto" w:fill="auto"/>
            <w:tcMar>
              <w:left w:w="57" w:type="dxa"/>
              <w:right w:w="57" w:type="dxa"/>
            </w:tcMar>
            <w:vAlign w:val="top"/>
          </w:tcPr>
          <w:p w14:paraId="27D11D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63134B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39CCA1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5A7A1A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3BAB4F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6991F5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4" w:space="0"/>
              <w:right w:val="single" w:color="auto" w:sz="8" w:space="0"/>
            </w:tcBorders>
            <w:shd w:val="clear" w:color="auto" w:fill="auto"/>
            <w:tcMar>
              <w:left w:w="57" w:type="dxa"/>
              <w:right w:w="57" w:type="dxa"/>
            </w:tcMar>
            <w:vAlign w:val="top"/>
          </w:tcPr>
          <w:p w14:paraId="6C01FC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4" w:space="0"/>
              <w:right w:val="single" w:color="auto" w:sz="8" w:space="0"/>
            </w:tcBorders>
            <w:shd w:val="clear" w:color="auto" w:fill="auto"/>
            <w:tcMar>
              <w:left w:w="57" w:type="dxa"/>
              <w:right w:w="57" w:type="dxa"/>
            </w:tcMar>
            <w:vAlign w:val="top"/>
          </w:tcPr>
          <w:p w14:paraId="018AC7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32294F7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4" w:space="0"/>
            </w:tcBorders>
            <w:shd w:val="clear" w:color="auto" w:fill="auto"/>
            <w:tcMar>
              <w:left w:w="57" w:type="dxa"/>
              <w:right w:w="57" w:type="dxa"/>
            </w:tcMar>
            <w:vAlign w:val="center"/>
          </w:tcPr>
          <w:p w14:paraId="222DA562">
            <w:pPr>
              <w:rPr>
                <w:rFonts w:hint="eastAsia" w:ascii="宋体"/>
                <w:sz w:val="24"/>
                <w:szCs w:val="24"/>
              </w:rPr>
            </w:pPr>
          </w:p>
        </w:tc>
        <w:tc>
          <w:tcPr>
            <w:tcW w:w="943" w:type="dxa"/>
            <w:vMerge w:val="continue"/>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0CEEE651">
            <w:pPr>
              <w:rPr>
                <w:rFonts w:hint="eastAsia" w:ascii="宋体"/>
                <w:sz w:val="24"/>
                <w:szCs w:val="24"/>
              </w:rPr>
            </w:pPr>
          </w:p>
        </w:tc>
        <w:tc>
          <w:tcPr>
            <w:tcW w:w="3220"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19FF18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16AA0C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3D63DF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61DFD7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160FAF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755096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62C1D6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top"/>
          </w:tcPr>
          <w:p w14:paraId="28E1C4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5A729A5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82"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7A1E4C7">
            <w:pPr>
              <w:rPr>
                <w:rFonts w:hint="eastAsia" w:ascii="宋体"/>
                <w:sz w:val="24"/>
                <w:szCs w:val="24"/>
              </w:rPr>
            </w:pPr>
          </w:p>
        </w:tc>
        <w:tc>
          <w:tcPr>
            <w:tcW w:w="943" w:type="dxa"/>
            <w:vMerge w:val="restart"/>
            <w:tcBorders>
              <w:top w:val="single" w:color="auto" w:sz="4" w:space="0"/>
              <w:left w:val="nil"/>
              <w:bottom w:val="single" w:color="auto" w:sz="4" w:space="0"/>
              <w:right w:val="single" w:color="auto" w:sz="8" w:space="0"/>
            </w:tcBorders>
            <w:shd w:val="clear" w:color="auto" w:fill="auto"/>
            <w:tcMar>
              <w:left w:w="57" w:type="dxa"/>
              <w:right w:w="57" w:type="dxa"/>
            </w:tcMar>
            <w:vAlign w:val="center"/>
          </w:tcPr>
          <w:p w14:paraId="0F61D3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0F73BE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1210BF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484CFE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3AA4D7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100EF6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1154FC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176FF2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4" w:space="0"/>
              <w:left w:val="nil"/>
              <w:bottom w:val="single" w:color="auto" w:sz="8" w:space="0"/>
              <w:right w:val="single" w:color="auto" w:sz="8" w:space="0"/>
            </w:tcBorders>
            <w:shd w:val="clear" w:color="auto" w:fill="auto"/>
            <w:tcMar>
              <w:left w:w="57" w:type="dxa"/>
              <w:right w:w="57" w:type="dxa"/>
            </w:tcMar>
            <w:vAlign w:val="top"/>
          </w:tcPr>
          <w:p w14:paraId="050088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1BE7347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5D6D060">
            <w:pPr>
              <w:rPr>
                <w:rFonts w:hint="eastAsia" w:ascii="宋体"/>
                <w:sz w:val="24"/>
                <w:szCs w:val="24"/>
              </w:rPr>
            </w:pPr>
          </w:p>
        </w:tc>
        <w:tc>
          <w:tcPr>
            <w:tcW w:w="943" w:type="dxa"/>
            <w:vMerge w:val="continue"/>
            <w:tcBorders>
              <w:top w:val="single" w:color="auto" w:sz="4" w:space="0"/>
              <w:left w:val="nil"/>
              <w:bottom w:val="single" w:color="auto" w:sz="4" w:space="0"/>
              <w:right w:val="single" w:color="auto" w:sz="8" w:space="0"/>
            </w:tcBorders>
            <w:shd w:val="clear" w:color="auto" w:fill="auto"/>
            <w:tcMar>
              <w:left w:w="57" w:type="dxa"/>
              <w:right w:w="57" w:type="dxa"/>
            </w:tcMar>
            <w:vAlign w:val="center"/>
          </w:tcPr>
          <w:p w14:paraId="07AA723F">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8F973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1E4C0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8B13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A5DFB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91577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5AEFE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67A76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6D340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466B5FB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97"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ED50B43">
            <w:pPr>
              <w:rPr>
                <w:rFonts w:hint="eastAsia" w:ascii="宋体"/>
                <w:sz w:val="24"/>
                <w:szCs w:val="24"/>
              </w:rPr>
            </w:pPr>
          </w:p>
        </w:tc>
        <w:tc>
          <w:tcPr>
            <w:tcW w:w="943" w:type="dxa"/>
            <w:vMerge w:val="continue"/>
            <w:tcBorders>
              <w:top w:val="single" w:color="auto" w:sz="4" w:space="0"/>
              <w:left w:val="nil"/>
              <w:bottom w:val="single" w:color="auto" w:sz="4" w:space="0"/>
              <w:right w:val="single" w:color="auto" w:sz="8" w:space="0"/>
            </w:tcBorders>
            <w:shd w:val="clear" w:color="auto" w:fill="auto"/>
            <w:tcMar>
              <w:left w:w="57" w:type="dxa"/>
              <w:right w:w="57" w:type="dxa"/>
            </w:tcMar>
            <w:vAlign w:val="center"/>
          </w:tcPr>
          <w:p w14:paraId="6EF839B5">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8173B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8B8DB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E391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AF3B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874B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3CB32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7EC4F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0B603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7BC6ED2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FF884CD">
            <w:pPr>
              <w:rPr>
                <w:rFonts w:hint="eastAsia" w:ascii="宋体"/>
                <w:sz w:val="24"/>
                <w:szCs w:val="24"/>
              </w:rPr>
            </w:pPr>
          </w:p>
        </w:tc>
        <w:tc>
          <w:tcPr>
            <w:tcW w:w="943" w:type="dxa"/>
            <w:vMerge w:val="continue"/>
            <w:tcBorders>
              <w:top w:val="single" w:color="auto" w:sz="4" w:space="0"/>
              <w:left w:val="nil"/>
              <w:bottom w:val="single" w:color="auto" w:sz="4" w:space="0"/>
              <w:right w:val="single" w:color="auto" w:sz="8" w:space="0"/>
            </w:tcBorders>
            <w:shd w:val="clear" w:color="auto" w:fill="auto"/>
            <w:tcMar>
              <w:left w:w="57" w:type="dxa"/>
              <w:right w:w="57" w:type="dxa"/>
            </w:tcMar>
            <w:vAlign w:val="center"/>
          </w:tcPr>
          <w:p w14:paraId="060262B0">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A6D54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7A1CB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EAB53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4CEC0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D22B9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7B66A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C3CD4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E8ED1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28B006F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36E3167">
            <w:pPr>
              <w:rPr>
                <w:rFonts w:hint="eastAsia" w:ascii="宋体"/>
                <w:sz w:val="24"/>
                <w:szCs w:val="24"/>
              </w:rPr>
            </w:pPr>
          </w:p>
        </w:tc>
        <w:tc>
          <w:tcPr>
            <w:tcW w:w="943" w:type="dxa"/>
            <w:vMerge w:val="continue"/>
            <w:tcBorders>
              <w:top w:val="single" w:color="auto" w:sz="4" w:space="0"/>
              <w:left w:val="nil"/>
              <w:bottom w:val="single" w:color="auto" w:sz="4" w:space="0"/>
              <w:right w:val="single" w:color="auto" w:sz="8" w:space="0"/>
            </w:tcBorders>
            <w:shd w:val="clear" w:color="auto" w:fill="auto"/>
            <w:tcMar>
              <w:left w:w="57" w:type="dxa"/>
              <w:right w:w="57" w:type="dxa"/>
            </w:tcMar>
            <w:vAlign w:val="center"/>
          </w:tcPr>
          <w:p w14:paraId="70275E4F">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1CB076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1EF254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2255B7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E1DAA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145224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552F34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5EFB2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14:paraId="2F3E9F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0052E48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FF7ABAF">
            <w:pPr>
              <w:rPr>
                <w:rFonts w:hint="eastAsia" w:ascii="宋体"/>
                <w:sz w:val="24"/>
                <w:szCs w:val="24"/>
              </w:rPr>
            </w:pPr>
          </w:p>
        </w:tc>
        <w:tc>
          <w:tcPr>
            <w:tcW w:w="943" w:type="dxa"/>
            <w:vMerge w:val="restart"/>
            <w:tcBorders>
              <w:top w:val="single" w:color="auto" w:sz="4" w:space="0"/>
              <w:left w:val="nil"/>
              <w:bottom w:val="single" w:color="auto" w:sz="4" w:space="0"/>
              <w:right w:val="single" w:color="auto" w:sz="8" w:space="0"/>
            </w:tcBorders>
            <w:shd w:val="clear" w:color="auto" w:fill="auto"/>
            <w:tcMar>
              <w:left w:w="57" w:type="dxa"/>
              <w:right w:w="57" w:type="dxa"/>
            </w:tcMar>
            <w:vAlign w:val="center"/>
          </w:tcPr>
          <w:p w14:paraId="3629EF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089A2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DDA5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D315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F400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23354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6826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AD63F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C2703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0E5A57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951"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2AA896A">
            <w:pPr>
              <w:rPr>
                <w:rFonts w:hint="eastAsia" w:ascii="宋体"/>
                <w:sz w:val="24"/>
                <w:szCs w:val="24"/>
              </w:rPr>
            </w:pPr>
          </w:p>
        </w:tc>
        <w:tc>
          <w:tcPr>
            <w:tcW w:w="943" w:type="dxa"/>
            <w:vMerge w:val="continue"/>
            <w:tcBorders>
              <w:top w:val="single" w:color="auto" w:sz="4" w:space="0"/>
              <w:left w:val="nil"/>
              <w:bottom w:val="single" w:color="auto" w:sz="4" w:space="0"/>
              <w:right w:val="single" w:color="auto" w:sz="8" w:space="0"/>
            </w:tcBorders>
            <w:shd w:val="clear" w:color="auto" w:fill="auto"/>
            <w:tcMar>
              <w:left w:w="57" w:type="dxa"/>
              <w:right w:w="57" w:type="dxa"/>
            </w:tcMar>
            <w:vAlign w:val="center"/>
          </w:tcPr>
          <w:p w14:paraId="743FDFF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783744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28455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A25CA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2C3C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72E2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34175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1269B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563CB0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eastAsia="zh-CN"/>
              </w:rPr>
              <w:t>0</w:t>
            </w:r>
          </w:p>
        </w:tc>
      </w:tr>
      <w:tr w14:paraId="085322D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67"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605BEFE">
            <w:pPr>
              <w:rPr>
                <w:rFonts w:hint="eastAsia" w:ascii="宋体"/>
                <w:sz w:val="24"/>
                <w:szCs w:val="24"/>
              </w:rPr>
            </w:pPr>
          </w:p>
        </w:tc>
        <w:tc>
          <w:tcPr>
            <w:tcW w:w="943" w:type="dxa"/>
            <w:vMerge w:val="continue"/>
            <w:tcBorders>
              <w:top w:val="single" w:color="auto" w:sz="4" w:space="0"/>
              <w:left w:val="nil"/>
              <w:bottom w:val="single" w:color="auto" w:sz="4" w:space="0"/>
              <w:right w:val="single" w:color="auto" w:sz="8" w:space="0"/>
            </w:tcBorders>
            <w:shd w:val="clear" w:color="auto" w:fill="auto"/>
            <w:tcMar>
              <w:left w:w="57" w:type="dxa"/>
              <w:right w:w="57" w:type="dxa"/>
            </w:tcMar>
            <w:vAlign w:val="center"/>
          </w:tcPr>
          <w:p w14:paraId="09AFA1D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3E5647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820B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2</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A747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1899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8E13D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AE34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8A3C2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431365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2</w:t>
            </w:r>
          </w:p>
        </w:tc>
      </w:tr>
      <w:tr w14:paraId="0AA09A8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347E284">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7DE6BD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E9F83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30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3472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4E09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C760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E417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D7FA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0165F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31</w:t>
            </w:r>
          </w:p>
        </w:tc>
      </w:tr>
      <w:tr w14:paraId="56D33B5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E7DF2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0841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3</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E9214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0E1DF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FD994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B80D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33D3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25A3D79E">
            <w:pPr>
              <w:jc w:val="center"/>
              <w:rPr>
                <w:rFonts w:hint="eastAsia" w:ascii="宋体"/>
                <w:sz w:val="24"/>
                <w:szCs w:val="24"/>
              </w:rPr>
            </w:pPr>
            <w:r>
              <w:rPr>
                <w:rFonts w:hint="eastAsia" w:ascii="Calibri" w:hAnsi="Calibri" w:cs="Calibri"/>
                <w:kern w:val="0"/>
                <w:sz w:val="20"/>
                <w:szCs w:val="20"/>
                <w:lang w:val="en-US" w:eastAsia="zh-CN" w:bidi="ar"/>
              </w:rPr>
              <w:t>3</w:t>
            </w:r>
          </w:p>
        </w:tc>
      </w:tr>
    </w:tbl>
    <w:p w14:paraId="06B9BE2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057484A9">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14:paraId="1089EFC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10"/>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4D9FCCF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4CC35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4ABE8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019F331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A94DA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6AD8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7FAEDC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CAD23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14:paraId="509CE1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FAA29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50E762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3110B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FB68C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434DC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06DA6FF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3381227">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1223C90">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2ABF211">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803D544">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A72877D">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37417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633D75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3DBF1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084349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7FAF8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14:paraId="6ECBCC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C2DCE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1415F0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4B46C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B999C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26B4AC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632DE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6C5693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78E74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14:paraId="229322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DAD88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41438B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178B1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616B42D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2B124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1</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BDDA7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75384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036EA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7A658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1</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80FD2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D0D60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A6B5D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B9E3D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C7790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68A3B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1779B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1A858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BA5F0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3FE8DDA">
            <w:pPr>
              <w:rPr>
                <w:rFonts w:hint="eastAsia" w:ascii="宋体"/>
                <w:sz w:val="24"/>
                <w:szCs w:val="24"/>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r>
    </w:tbl>
    <w:p w14:paraId="4EBE51B7">
      <w:pPr>
        <w:keepNext w:val="0"/>
        <w:keepLines w:val="0"/>
        <w:widowControl/>
        <w:suppressLineNumbers w:val="0"/>
        <w:jc w:val="left"/>
      </w:pPr>
    </w:p>
    <w:p w14:paraId="3BE55505">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lang w:val="en-US" w:eastAsia="zh-CN"/>
        </w:rPr>
        <w:t>五、</w:t>
      </w:r>
      <w:r>
        <w:rPr>
          <w:rFonts w:hint="eastAsia" w:ascii="黑体" w:hAnsi="黑体" w:eastAsia="黑体" w:cs="黑体"/>
          <w:b/>
          <w:bCs/>
          <w:i w:val="0"/>
          <w:iCs w:val="0"/>
          <w:caps w:val="0"/>
          <w:color w:val="333333"/>
          <w:spacing w:val="0"/>
          <w:sz w:val="32"/>
          <w:szCs w:val="32"/>
          <w:shd w:val="clear" w:fill="FFFFFF"/>
        </w:rPr>
        <w:t>存在的主要问题及改进情况</w:t>
      </w:r>
    </w:p>
    <w:p w14:paraId="205E4266">
      <w:pPr>
        <w:keepNext w:val="0"/>
        <w:keepLines w:val="0"/>
        <w:pageBreakBefore w:val="0"/>
        <w:widowControl w:val="0"/>
        <w:numPr>
          <w:ilvl w:val="0"/>
          <w:numId w:val="0"/>
        </w:numPr>
        <w:tabs>
          <w:tab w:val="right" w:pos="8306"/>
        </w:tabs>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Times New Roman" w:hAnsiTheme="minorHAnsi"/>
          <w:kern w:val="2"/>
          <w:sz w:val="32"/>
          <w:szCs w:val="32"/>
          <w:lang w:val="en-US" w:eastAsia="zh-CN" w:bidi="ar-SA"/>
        </w:rPr>
      </w:pPr>
      <w:r>
        <w:rPr>
          <w:rFonts w:hint="eastAsia" w:ascii="仿宋_GB2312" w:eastAsia="仿宋_GB2312" w:cs="Times New Roman" w:hAnsiTheme="minorHAnsi"/>
          <w:kern w:val="2"/>
          <w:sz w:val="32"/>
          <w:szCs w:val="32"/>
          <w:lang w:val="en-US" w:eastAsia="zh-CN" w:bidi="ar-SA"/>
        </w:rPr>
        <w:t>2025年，我办政府信息公开工作虽取得一定成效，但仍存在一些短板与不足，主要表现为对各乡镇、县政府各部门的依申请公开工作指导力度有待加强。近年来，依申请公开数量呈快速增长态势，申请内容日趋复杂多元，而部分单位经办人员因经验不足、对办理流程不够熟悉，导致答复工作进展缓慢。</w:t>
      </w:r>
    </w:p>
    <w:p w14:paraId="104FCB8D">
      <w:pPr>
        <w:keepNext w:val="0"/>
        <w:keepLines w:val="0"/>
        <w:pageBreakBefore w:val="0"/>
        <w:widowControl w:val="0"/>
        <w:numPr>
          <w:ilvl w:val="0"/>
          <w:numId w:val="0"/>
        </w:numPr>
        <w:tabs>
          <w:tab w:val="right" w:pos="8306"/>
        </w:tabs>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Times New Roman" w:hAnsiTheme="minorHAnsi"/>
          <w:kern w:val="2"/>
          <w:sz w:val="32"/>
          <w:szCs w:val="32"/>
          <w:lang w:val="en-US" w:eastAsia="zh-CN" w:bidi="ar-SA"/>
        </w:rPr>
      </w:pPr>
      <w:r>
        <w:rPr>
          <w:rFonts w:hint="eastAsia" w:ascii="仿宋_GB2312" w:eastAsia="仿宋_GB2312" w:cs="Times New Roman" w:hAnsiTheme="minorHAnsi"/>
          <w:kern w:val="2"/>
          <w:sz w:val="32"/>
          <w:szCs w:val="32"/>
          <w:lang w:val="en-US" w:eastAsia="zh-CN" w:bidi="ar-SA"/>
        </w:rPr>
        <w:t>下一步，我办将按照《河北省政府信息公开申请办理规范》加强对各单位政府信息申请答复的指导。</w:t>
      </w:r>
    </w:p>
    <w:p w14:paraId="6840C02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lang w:val="en-US" w:eastAsia="zh-CN"/>
        </w:rPr>
      </w:pPr>
      <w:r>
        <w:rPr>
          <w:rFonts w:hint="eastAsia" w:ascii="黑体" w:hAnsi="黑体" w:eastAsia="黑体" w:cs="黑体"/>
          <w:b/>
          <w:bCs/>
          <w:i w:val="0"/>
          <w:iCs w:val="0"/>
          <w:caps w:val="0"/>
          <w:color w:val="333333"/>
          <w:spacing w:val="0"/>
          <w:sz w:val="32"/>
          <w:szCs w:val="32"/>
          <w:shd w:val="clear" w:fill="FFFFFF"/>
          <w:lang w:val="en-US" w:eastAsia="zh-CN"/>
        </w:rPr>
        <w:t>六、</w:t>
      </w:r>
      <w:r>
        <w:rPr>
          <w:rFonts w:hint="eastAsia" w:ascii="黑体" w:hAnsi="黑体" w:eastAsia="黑体" w:cs="黑体"/>
          <w:b/>
          <w:bCs/>
          <w:i w:val="0"/>
          <w:iCs w:val="0"/>
          <w:caps w:val="0"/>
          <w:color w:val="333333"/>
          <w:spacing w:val="0"/>
          <w:sz w:val="32"/>
          <w:szCs w:val="32"/>
          <w:shd w:val="clear" w:fill="FFFFFF"/>
        </w:rPr>
        <w:t>其他需要报告的</w:t>
      </w:r>
      <w:r>
        <w:rPr>
          <w:rFonts w:hint="eastAsia" w:ascii="黑体" w:hAnsi="黑体" w:eastAsia="黑体" w:cs="黑体"/>
          <w:b/>
          <w:bCs/>
          <w:i w:val="0"/>
          <w:iCs w:val="0"/>
          <w:caps w:val="0"/>
          <w:color w:val="333333"/>
          <w:spacing w:val="0"/>
          <w:sz w:val="32"/>
          <w:szCs w:val="32"/>
          <w:shd w:val="clear" w:fill="FFFFFF"/>
          <w:lang w:val="en-US" w:eastAsia="zh-CN"/>
        </w:rPr>
        <w:t>事项</w:t>
      </w:r>
    </w:p>
    <w:p w14:paraId="348D204C">
      <w:pPr>
        <w:keepNext w:val="0"/>
        <w:keepLines w:val="0"/>
        <w:pageBreakBefore w:val="0"/>
        <w:widowControl w:val="0"/>
        <w:numPr>
          <w:ilvl w:val="0"/>
          <w:numId w:val="0"/>
        </w:numPr>
        <w:tabs>
          <w:tab w:val="right" w:pos="8306"/>
        </w:tabs>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Times New Roman" w:hAnsiTheme="minorHAnsi"/>
          <w:kern w:val="2"/>
          <w:sz w:val="32"/>
          <w:szCs w:val="32"/>
          <w:lang w:val="en-US" w:eastAsia="zh-CN" w:bidi="ar-SA"/>
        </w:rPr>
      </w:pPr>
      <w:r>
        <w:rPr>
          <w:rFonts w:hint="eastAsia" w:ascii="仿宋_GB2312" w:eastAsia="仿宋_GB2312" w:cs="Times New Roman" w:hAnsiTheme="minorHAnsi"/>
          <w:kern w:val="2"/>
          <w:sz w:val="32"/>
          <w:szCs w:val="32"/>
          <w:lang w:val="en-US" w:eastAsia="zh-CN" w:bidi="ar-SA"/>
        </w:rPr>
        <w:t>认真贯彻执行国务院办公厅《政府信息公开信息处理费管理办法》和《关于政府信息公开处理费管理有关事项的通知》。2025年，县政府办公室没有收取信息处理费。无其他需要报告事项。</w:t>
      </w:r>
    </w:p>
    <w:sectPr>
      <w:footerReference r:id="rId3" w:type="default"/>
      <w:pgSz w:w="11906" w:h="16838"/>
      <w:pgMar w:top="1871" w:right="1474" w:bottom="1757"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E7E63">
    <w:pPr>
      <w:pStyle w:val="6"/>
    </w:pPr>
    <w:r>
      <w:rPr>
        <w:sz w:val="18"/>
      </w:rPr>
      <mc:AlternateContent>
        <mc:Choice Requires="wps">
          <w:drawing>
            <wp:anchor distT="0" distB="0" distL="114300" distR="114300" simplePos="0" relativeHeight="251659264" behindDoc="0" locked="0" layoutInCell="1" allowOverlap="1">
              <wp:simplePos x="0" y="0"/>
              <wp:positionH relativeFrom="margin">
                <wp:posOffset>2426970</wp:posOffset>
              </wp:positionH>
              <wp:positionV relativeFrom="paragraph">
                <wp:posOffset>-123825</wp:posOffset>
              </wp:positionV>
              <wp:extent cx="396875" cy="302895"/>
              <wp:effectExtent l="0" t="0" r="0" b="0"/>
              <wp:wrapNone/>
              <wp:docPr id="2" name="文本框 2"/>
              <wp:cNvGraphicFramePr/>
              <a:graphic xmlns:a="http://schemas.openxmlformats.org/drawingml/2006/main">
                <a:graphicData uri="http://schemas.microsoft.com/office/word/2010/wordprocessingShape">
                  <wps:wsp>
                    <wps:cNvSpPr txBox="1"/>
                    <wps:spPr>
                      <a:xfrm>
                        <a:off x="0" y="0"/>
                        <a:ext cx="396875" cy="3028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704D89">
                          <w:pPr>
                            <w:pStyle w:val="6"/>
                            <w:rPr>
                              <w:rFonts w:hint="eastAsia" w:ascii="仿宋" w:hAnsi="仿宋" w:eastAsia="仿宋" w:cs="仿宋"/>
                              <w:sz w:val="32"/>
                              <w:szCs w:val="32"/>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91.1pt;margin-top:-9.75pt;height:23.85pt;width:31.25pt;mso-position-horizontal-relative:margin;z-index:251659264;mso-width-relative:page;mso-height-relative:page;" filled="f" stroked="f" coordsize="21600,21600" o:gfxdata="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1EUBa2QAAAAoBAAAPAAAAAAAAAAEAIAAAACIAAABkcnMvZG93&#10;bnJldi54bWxQSwECFAAUAAAACACHTuJADrXGTDgCAABhBAAADgAAAAAAAAABACAAAAAoAQAAZHJz&#10;L2Uyb0RvYy54bWxQSwUGAAAAAAYABgBZAQAA0gUAAAAA&#10;">
              <v:fill on="f" focussize="0,0"/>
              <v:stroke on="f" weight="0.5pt"/>
              <v:imagedata o:title=""/>
              <o:lock v:ext="edit" aspectratio="f"/>
              <v:textbox inset="0mm,0mm,0mm,0mm">
                <w:txbxContent>
                  <w:p w14:paraId="62704D89">
                    <w:pPr>
                      <w:pStyle w:val="6"/>
                      <w:rPr>
                        <w:rFonts w:hint="eastAsia" w:ascii="仿宋" w:hAnsi="仿宋" w:eastAsia="仿宋" w:cs="仿宋"/>
                        <w:sz w:val="32"/>
                        <w:szCs w:val="32"/>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FkZTc2Y2M1YTQ1NjdkMzM2N2YwMjUyYzQxZDRmYzEifQ=="/>
  </w:docVars>
  <w:rsids>
    <w:rsidRoot w:val="063977E7"/>
    <w:rsid w:val="0078117A"/>
    <w:rsid w:val="011D3525"/>
    <w:rsid w:val="01984664"/>
    <w:rsid w:val="05A34C32"/>
    <w:rsid w:val="061B4CE2"/>
    <w:rsid w:val="063977E7"/>
    <w:rsid w:val="066F340A"/>
    <w:rsid w:val="072A6EBB"/>
    <w:rsid w:val="07585F66"/>
    <w:rsid w:val="07CF51E9"/>
    <w:rsid w:val="08161C67"/>
    <w:rsid w:val="08580DB6"/>
    <w:rsid w:val="08E77E2A"/>
    <w:rsid w:val="09B22306"/>
    <w:rsid w:val="0AD65E50"/>
    <w:rsid w:val="0AF14803"/>
    <w:rsid w:val="0D8D6150"/>
    <w:rsid w:val="0D9B5C09"/>
    <w:rsid w:val="0DA20070"/>
    <w:rsid w:val="0F1C7DBB"/>
    <w:rsid w:val="0FB07F11"/>
    <w:rsid w:val="11A7604C"/>
    <w:rsid w:val="1226402D"/>
    <w:rsid w:val="123855D1"/>
    <w:rsid w:val="12C47D88"/>
    <w:rsid w:val="14BF7375"/>
    <w:rsid w:val="14F434E5"/>
    <w:rsid w:val="15033573"/>
    <w:rsid w:val="157B75F3"/>
    <w:rsid w:val="15E213DA"/>
    <w:rsid w:val="16C85D5E"/>
    <w:rsid w:val="17222DA3"/>
    <w:rsid w:val="176E51BA"/>
    <w:rsid w:val="1780198E"/>
    <w:rsid w:val="17895171"/>
    <w:rsid w:val="1856495D"/>
    <w:rsid w:val="1AB756D1"/>
    <w:rsid w:val="1AC010ED"/>
    <w:rsid w:val="1B7243D2"/>
    <w:rsid w:val="1B9019AB"/>
    <w:rsid w:val="1BBE1FA1"/>
    <w:rsid w:val="1BD1392C"/>
    <w:rsid w:val="1FCF72F7"/>
    <w:rsid w:val="203A26A9"/>
    <w:rsid w:val="21384868"/>
    <w:rsid w:val="22387195"/>
    <w:rsid w:val="22D078AB"/>
    <w:rsid w:val="230210D0"/>
    <w:rsid w:val="234D68B3"/>
    <w:rsid w:val="23E16093"/>
    <w:rsid w:val="243E7504"/>
    <w:rsid w:val="24A061E9"/>
    <w:rsid w:val="26C144CB"/>
    <w:rsid w:val="2B1B1883"/>
    <w:rsid w:val="2BF60452"/>
    <w:rsid w:val="2D356E05"/>
    <w:rsid w:val="2D3A7792"/>
    <w:rsid w:val="2E8B099B"/>
    <w:rsid w:val="2E945A58"/>
    <w:rsid w:val="2F060389"/>
    <w:rsid w:val="2F220452"/>
    <w:rsid w:val="2F23718C"/>
    <w:rsid w:val="320C0069"/>
    <w:rsid w:val="335702CA"/>
    <w:rsid w:val="33AB6AB9"/>
    <w:rsid w:val="33F05CCA"/>
    <w:rsid w:val="34F65C41"/>
    <w:rsid w:val="35AD335B"/>
    <w:rsid w:val="35D32233"/>
    <w:rsid w:val="379B18FC"/>
    <w:rsid w:val="37B06CE3"/>
    <w:rsid w:val="382B5607"/>
    <w:rsid w:val="38DA319F"/>
    <w:rsid w:val="3A020E55"/>
    <w:rsid w:val="3A241712"/>
    <w:rsid w:val="3A3E7B24"/>
    <w:rsid w:val="3B5D554C"/>
    <w:rsid w:val="3BCA3066"/>
    <w:rsid w:val="3C226C56"/>
    <w:rsid w:val="3C5207B8"/>
    <w:rsid w:val="3C945361"/>
    <w:rsid w:val="3CB7554A"/>
    <w:rsid w:val="3D754529"/>
    <w:rsid w:val="3DA62A8A"/>
    <w:rsid w:val="3F6733C9"/>
    <w:rsid w:val="3F6C1B91"/>
    <w:rsid w:val="3F6F1681"/>
    <w:rsid w:val="3FBF6D58"/>
    <w:rsid w:val="3FDE3D85"/>
    <w:rsid w:val="40030CD0"/>
    <w:rsid w:val="406F2185"/>
    <w:rsid w:val="40D32467"/>
    <w:rsid w:val="40DF093A"/>
    <w:rsid w:val="41735017"/>
    <w:rsid w:val="42003C12"/>
    <w:rsid w:val="43C26223"/>
    <w:rsid w:val="43C347FD"/>
    <w:rsid w:val="46DB47F7"/>
    <w:rsid w:val="46F83E7F"/>
    <w:rsid w:val="476D7963"/>
    <w:rsid w:val="48061B28"/>
    <w:rsid w:val="480A4080"/>
    <w:rsid w:val="48677399"/>
    <w:rsid w:val="48811BE2"/>
    <w:rsid w:val="489A4233"/>
    <w:rsid w:val="4A423052"/>
    <w:rsid w:val="4B6825A0"/>
    <w:rsid w:val="4C8B4547"/>
    <w:rsid w:val="4CBA79DA"/>
    <w:rsid w:val="4D794C14"/>
    <w:rsid w:val="4E757AA5"/>
    <w:rsid w:val="4F2B696A"/>
    <w:rsid w:val="50B42A21"/>
    <w:rsid w:val="52636C89"/>
    <w:rsid w:val="52C71B73"/>
    <w:rsid w:val="5439577E"/>
    <w:rsid w:val="544B21CB"/>
    <w:rsid w:val="5455279C"/>
    <w:rsid w:val="54C14BA4"/>
    <w:rsid w:val="5502051C"/>
    <w:rsid w:val="553D3F40"/>
    <w:rsid w:val="55870575"/>
    <w:rsid w:val="561B767E"/>
    <w:rsid w:val="56FB7981"/>
    <w:rsid w:val="58D00F8B"/>
    <w:rsid w:val="5AE87034"/>
    <w:rsid w:val="5BA4024B"/>
    <w:rsid w:val="5BCF1C72"/>
    <w:rsid w:val="5D3F4F10"/>
    <w:rsid w:val="5DE629DB"/>
    <w:rsid w:val="5EB34C79"/>
    <w:rsid w:val="5EFB7BBA"/>
    <w:rsid w:val="5F09183B"/>
    <w:rsid w:val="5FAB3BB8"/>
    <w:rsid w:val="606B7724"/>
    <w:rsid w:val="60EB004D"/>
    <w:rsid w:val="62A001BA"/>
    <w:rsid w:val="62CA3A26"/>
    <w:rsid w:val="63233A21"/>
    <w:rsid w:val="649F1B91"/>
    <w:rsid w:val="65483052"/>
    <w:rsid w:val="663366B5"/>
    <w:rsid w:val="66C00D37"/>
    <w:rsid w:val="675114E9"/>
    <w:rsid w:val="67FF35B9"/>
    <w:rsid w:val="685A0C35"/>
    <w:rsid w:val="69460600"/>
    <w:rsid w:val="69D41849"/>
    <w:rsid w:val="69F43C85"/>
    <w:rsid w:val="69F77072"/>
    <w:rsid w:val="6B6950F2"/>
    <w:rsid w:val="6BA12C0F"/>
    <w:rsid w:val="6C81627F"/>
    <w:rsid w:val="6CD86F61"/>
    <w:rsid w:val="6D37320D"/>
    <w:rsid w:val="6D6968F2"/>
    <w:rsid w:val="6E0A6EA2"/>
    <w:rsid w:val="6EBE33BB"/>
    <w:rsid w:val="733316CD"/>
    <w:rsid w:val="73E2109B"/>
    <w:rsid w:val="74082F2F"/>
    <w:rsid w:val="762B3E08"/>
    <w:rsid w:val="77172599"/>
    <w:rsid w:val="77DD3BA6"/>
    <w:rsid w:val="78B71CF6"/>
    <w:rsid w:val="7CAC2607"/>
    <w:rsid w:val="7DDB1F42"/>
    <w:rsid w:val="7EC95D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autoRedefine/>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11">
    <w:name w:val="Default Paragraph Font"/>
    <w:autoRedefine/>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120" w:afterLines="0" w:afterAutospacing="0"/>
    </w:pPr>
  </w:style>
  <w:style w:type="paragraph" w:customStyle="1" w:styleId="3">
    <w:name w:val="Body Text Indent_f77f72b6-f40b-4644-955b-05e6e524d3cb"/>
    <w:basedOn w:val="1"/>
    <w:autoRedefine/>
    <w:qFormat/>
    <w:uiPriority w:val="99"/>
    <w:pPr>
      <w:ind w:left="420" w:leftChars="200"/>
    </w:pPr>
    <w:rPr>
      <w:kern w:val="0"/>
      <w:sz w:val="24"/>
      <w:szCs w:val="20"/>
    </w:rPr>
  </w:style>
  <w:style w:type="paragraph" w:styleId="5">
    <w:name w:val="Body Text Indent"/>
    <w:basedOn w:val="1"/>
    <w:autoRedefine/>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9">
    <w:name w:val="Body Text First Indent 2"/>
    <w:basedOn w:val="5"/>
    <w:autoRedefine/>
    <w:unhideWhenUsed/>
    <w:qFormat/>
    <w:uiPriority w:val="99"/>
    <w:pPr>
      <w:ind w:firstLine="420"/>
    </w:pPr>
  </w:style>
  <w:style w:type="character" w:styleId="12">
    <w:name w:val="Strong"/>
    <w:basedOn w:val="11"/>
    <w:autoRedefine/>
    <w:qFormat/>
    <w:uiPriority w:val="0"/>
    <w:rPr>
      <w:b/>
    </w:rPr>
  </w:style>
  <w:style w:type="character" w:styleId="13">
    <w:name w:val="FollowedHyperlink"/>
    <w:basedOn w:val="11"/>
    <w:autoRedefine/>
    <w:qFormat/>
    <w:uiPriority w:val="0"/>
    <w:rPr>
      <w:rFonts w:hint="eastAsia" w:ascii="微软雅黑" w:hAnsi="微软雅黑" w:eastAsia="微软雅黑" w:cs="微软雅黑"/>
      <w:color w:val="800080"/>
      <w:u w:val="none"/>
    </w:rPr>
  </w:style>
  <w:style w:type="character" w:styleId="14">
    <w:name w:val="Emphasis"/>
    <w:basedOn w:val="11"/>
    <w:autoRedefine/>
    <w:qFormat/>
    <w:uiPriority w:val="0"/>
    <w:rPr>
      <w:rFonts w:hint="eastAsia" w:ascii="微软雅黑" w:hAnsi="微软雅黑" w:eastAsia="微软雅黑" w:cs="微软雅黑"/>
      <w:u w:val="none"/>
    </w:rPr>
  </w:style>
  <w:style w:type="character" w:styleId="15">
    <w:name w:val="Hyperlink"/>
    <w:basedOn w:val="11"/>
    <w:autoRedefine/>
    <w:qFormat/>
    <w:uiPriority w:val="0"/>
    <w:rPr>
      <w:rFonts w:hint="eastAsia" w:ascii="微软雅黑" w:hAnsi="微软雅黑" w:eastAsia="微软雅黑" w:cs="微软雅黑"/>
      <w:color w:val="0000FF"/>
      <w:u w:val="none"/>
    </w:rPr>
  </w:style>
  <w:style w:type="character" w:customStyle="1" w:styleId="16">
    <w:name w:val="hover12"/>
    <w:basedOn w:val="11"/>
    <w:autoRedefine/>
    <w:qFormat/>
    <w:uiPriority w:val="0"/>
    <w:rPr>
      <w:color w:val="C50000"/>
    </w:rPr>
  </w:style>
  <w:style w:type="character" w:customStyle="1" w:styleId="17">
    <w:name w:val="curr"/>
    <w:basedOn w:val="11"/>
    <w:autoRedefine/>
    <w:qFormat/>
    <w:uiPriority w:val="0"/>
    <w:rPr>
      <w:color w:val="FFFFFF"/>
      <w:shd w:val="clear" w:fill="C50000"/>
    </w:rPr>
  </w:style>
  <w:style w:type="character" w:customStyle="1" w:styleId="18">
    <w:name w:val="curr2"/>
    <w:basedOn w:val="11"/>
    <w:autoRedefine/>
    <w:qFormat/>
    <w:uiPriority w:val="0"/>
    <w:rPr>
      <w:color w:val="FFFFFF"/>
      <w:shd w:val="clear" w:fill="C50000"/>
    </w:rPr>
  </w:style>
  <w:style w:type="character" w:customStyle="1" w:styleId="19">
    <w:name w:val="curr1"/>
    <w:basedOn w:val="11"/>
    <w:autoRedefine/>
    <w:qFormat/>
    <w:uiPriority w:val="0"/>
    <w:rPr>
      <w:color w:val="FFFFFF"/>
      <w:shd w:val="clear" w:fill="C50000"/>
    </w:rPr>
  </w:style>
  <w:style w:type="character" w:customStyle="1" w:styleId="20">
    <w:name w:val="hover"/>
    <w:basedOn w:val="11"/>
    <w:autoRedefine/>
    <w:qFormat/>
    <w:uiPriority w:val="0"/>
    <w:rPr>
      <w:color w:val="C50000"/>
    </w:rPr>
  </w:style>
  <w:style w:type="character" w:customStyle="1" w:styleId="21">
    <w:name w:val="hover1"/>
    <w:basedOn w:val="11"/>
    <w:autoRedefine/>
    <w:qFormat/>
    <w:uiPriority w:val="0"/>
    <w:rPr>
      <w:color w:val="C5000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1733</Words>
  <Characters>1811</Characters>
  <Lines>0</Lines>
  <Paragraphs>0</Paragraphs>
  <TotalTime>248</TotalTime>
  <ScaleCrop>false</ScaleCrop>
  <LinksUpToDate>false</LinksUpToDate>
  <CharactersWithSpaces>1811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2022-01-06T07:29:00Z</dcterms:created>
  <dc:creator>Administrator</dc:creator>
  <cp:lastModifiedBy>史世龙</cp:lastModifiedBy>
  <cp:lastPrinted>2026-01-05T07:29:00Z</cp:lastPrinted>
  <dcterms:modified xsi:type="dcterms:W3CDTF">2026-01-14T01:13:37Z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1157CE926B71424ABCEDD46E97C11597</vt:lpwstr>
  </property>
  <property fmtid="{D5CDD505-2E9C-101B-9397-08002B2CF9AE}" pid="4" name="KSOTemplateDocerSaveRecord">
    <vt:lpwstr>eyJoZGlkIjoiMWU4NWIzYzY2NGQ3MGU5ODgxNDJkZWJlYTNlMThiOTUiLCJ1c2VySWQiOiI5NTgzMzM2NzYifQ==</vt:lpwstr>
  </property>
</Properties>
</file>