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647E86D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rPr>
          <w:rFonts w:hint="eastAsia" w:ascii="宋体" w:hAnsi="宋体" w:eastAsia="宋体" w:cs="宋体"/>
          <w:i w:val="0"/>
          <w:caps w:val="0"/>
          <w:color w:val="333333"/>
          <w:spacing w:val="0"/>
          <w:sz w:val="40"/>
          <w:szCs w:val="40"/>
        </w:rPr>
      </w:pP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40"/>
          <w:szCs w:val="40"/>
          <w:shd w:val="clear" w:color="auto" w:fill="FFFFFF"/>
          <w:lang w:eastAsia="zh-CN"/>
        </w:rPr>
        <w:t>宁晋县</w:t>
      </w: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40"/>
          <w:szCs w:val="40"/>
          <w:shd w:val="clear" w:color="auto" w:fill="FFFFFF"/>
          <w:lang w:val="en-US" w:eastAsia="zh-CN"/>
        </w:rPr>
        <w:t>耿庄桥镇2025年</w:t>
      </w:r>
      <w:r>
        <w:rPr>
          <w:rFonts w:hint="eastAsia" w:ascii="宋体" w:hAnsi="宋体" w:eastAsia="宋体" w:cs="宋体"/>
          <w:b/>
          <w:i w:val="0"/>
          <w:caps w:val="0"/>
          <w:color w:val="333333"/>
          <w:spacing w:val="0"/>
          <w:sz w:val="40"/>
          <w:szCs w:val="40"/>
          <w:shd w:val="clear" w:color="auto" w:fill="FFFFFF"/>
        </w:rPr>
        <w:t>政府信息公开工作年度报告</w:t>
      </w:r>
    </w:p>
    <w:p w14:paraId="4566BC65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0E3057D5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宋体" w:hAnsi="宋体" w:eastAsia="宋体" w:cs="宋体"/>
          <w:b/>
          <w:bCs/>
          <w:i w:val="0"/>
          <w:iCs w:val="0"/>
          <w:caps w:val="0"/>
          <w:color w:val="333333"/>
          <w:spacing w:val="0"/>
          <w:sz w:val="24"/>
          <w:szCs w:val="24"/>
          <w:shd w:val="clear" w:fill="FFFFFF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  <w:t>根据《中华人民共和国政府信息公开条例》《河北省实施〈中华人民共和国政府信息公开条例〉办法》《中华人民共和国政府信息公开工作年度报告格式》等规定，发布本年度报告。报告中所列数据统计期限为2025年1月1日至12月31日。</w:t>
      </w:r>
    </w:p>
    <w:p w14:paraId="4C334165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</w:p>
    <w:p w14:paraId="6B534FAA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  <w:t>2025年，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lang w:eastAsia="zh-CN"/>
        </w:rPr>
        <w:t>耿庄桥镇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  <w:t>人民政府严格贯彻落实《中华人民共和国政府信息公开条例》，精准对标《中华人民共和国政府信息公开工作年度报告格式》及《政府信息公开工作年度报告编发指南（参考）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lang w:eastAsia="zh-CN"/>
        </w:rPr>
        <w:t>》等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  <w:t xml:space="preserve">相关要求，同时严格遵循省、市、县各级工作部署，持续强化政府信息公开工作的组织领导，健全完善信息公开制度体系，全面压实工作主体责任，扎实有序推进各项公开工作，进一步提升了政府公信力与工作透明度。 </w:t>
      </w:r>
      <w:r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  <w:t>     </w:t>
      </w:r>
    </w:p>
    <w:p w14:paraId="3BFC9116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  <w:t xml:space="preserve">（一）主动公开方面               </w:t>
      </w:r>
    </w:p>
    <w:p w14:paraId="6B68C65F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  <w:t>2025年，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耿庄桥镇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  <w:t>聚焦群众关切和镇域发展重点，精准梳理主动公开内容，不断扩大公开范围、提升公开质量。一是明确公开重点领域，围绕镇政府中心工作，重点公开财政预决算、重大项目建设、乡村振兴、民生保障、安全生产、生态环保、行政执法等关键领域信息。二是丰富公开内容形式，除常规文字信息外，积极运用图片、表格等形式直观呈现工作情况。三是规范公开时限流程，建立“部门梳理—办公室审核—分管领导签发”的三级审核机制，确保主动公开信息准确无误。</w:t>
      </w:r>
    </w:p>
    <w:p w14:paraId="6C7F77DB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  <w:t xml:space="preserve">（二）依申请公开方面              </w:t>
      </w:r>
    </w:p>
    <w:p w14:paraId="198131E5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  <w:t>2025年，我镇严格落实《河北省政府信息公开申请办理规范》，在县政府信息公开平台规范发布申请指南，明确现场申请、信函申请等办理渠道，进一步健全依申请公开工作机制，推动该项工作标准化、规范化运行。全年未收到政府信息公开申请，相关办理量均为0件。</w:t>
      </w:r>
    </w:p>
    <w:p w14:paraId="6F97A4A4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  <w:t xml:space="preserve">（三）政府信息管理方面               </w:t>
      </w:r>
    </w:p>
    <w:p w14:paraId="660C12EE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耿庄桥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  <w:t>镇高度重视政府信息管理工作，着力构建规范、高效的信息管理体系，保障政府信息安全有序。一是健全信息分类归档机制，对主动公开、依申请公开及不予公开的政府信息进行分类梳理，建立电子档案和纸质档案双重台账，明确档案保管责任，确保信息档案完整规范。二是强化信息源头管控，在公文起草环节明确信息公开属性（主动公开、依申请公开、不予公开）；对已公开的信息定期开展梳理排查，及时更新失效信息，纠正错误信息。三是严格信息安全管理，对拟公开信息严格开展保密审查，杜绝涉密信息泄露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lang w:eastAsia="zh-CN"/>
        </w:rPr>
        <w:t>。</w:t>
      </w:r>
    </w:p>
    <w:p w14:paraId="4CF2096E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  <w:t xml:space="preserve">（四）政府信息公开平台建设方面                </w:t>
      </w:r>
    </w:p>
    <w:p w14:paraId="766FD107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耿庄桥镇不断优化政府信息公开平台建设，提升信息传播覆盖面和便捷性。一是强化线上平台运维，及时上传主动公开信息，方便群众检索查询。二是完善线下公开阵地，在镇政府办公大楼设立政务公开公示栏，定期公布重大项目进展、惠民政策等信息；在38个行政村设立村务公开栏，实现镇、村两级公开阵地全覆盖。三是推进平台融合衔接，加强线上线下平台信息同步性，确保同一信息在不同渠道发布内容一致、更新及时。</w:t>
      </w:r>
    </w:p>
    <w:p w14:paraId="1C753DDC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  <w:t xml:space="preserve">（五）监督保障方面        </w:t>
      </w:r>
    </w:p>
    <w:p w14:paraId="3E429ACF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为确保政府信息公开工作落到实处，耿庄桥镇不断强化监督保障机制，压实工作责任。一是加强组织领导，调整充实镇政府信息公开工作领导小组，定期召开政府信息公开工作专题会议，研究解决存在的问题。二是健全考核评价机制，将政府信息公开工作纳入各部门年度绩效考核体系，定期对各部门信息公开完成情况进行检查考核。三是畅通监督渠道，通过设立投诉举报电话、邮箱等方式，主动接受群众和社会监督，对收到的监督举报信息及时核查处理，确保政府信息公开工作规范有序推进。</w:t>
      </w:r>
    </w:p>
    <w:p w14:paraId="444FB543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3" w:firstLineChars="200"/>
        <w:jc w:val="both"/>
        <w:textAlignment w:val="auto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4"/>
        <w:tblW w:w="974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435"/>
        <w:gridCol w:w="2435"/>
        <w:gridCol w:w="2435"/>
        <w:gridCol w:w="2435"/>
      </w:tblGrid>
      <w:tr w14:paraId="72EDAFA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7976AF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第二十条第（一）项</w:t>
            </w:r>
          </w:p>
        </w:tc>
      </w:tr>
      <w:tr w14:paraId="376E50E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E9D45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AAAF2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制发件数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ECE9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本年废止件数</w:t>
            </w:r>
          </w:p>
        </w:tc>
        <w:tc>
          <w:tcPr>
            <w:tcW w:w="243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A81DBB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现行有效件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数</w:t>
            </w:r>
          </w:p>
        </w:tc>
      </w:tr>
      <w:tr w14:paraId="0AFD3DB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54C2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19F1E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C187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8265B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7753F4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418F7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693B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DC65E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5FD0D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2909D91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60D913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第二十条第（五）项</w:t>
            </w:r>
          </w:p>
        </w:tc>
      </w:tr>
      <w:tr w14:paraId="34EE88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AB91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C4B8B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057EE7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E62F7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2C1D5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1"/>
                <w:szCs w:val="21"/>
                <w:lang w:val="en-US" w:eastAsia="zh-CN" w:bidi="ar"/>
              </w:rPr>
              <w:t>0</w:t>
            </w:r>
          </w:p>
        </w:tc>
      </w:tr>
      <w:tr w14:paraId="0AD10A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1C5099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第二十条第（六）项</w:t>
            </w:r>
          </w:p>
        </w:tc>
      </w:tr>
      <w:tr w14:paraId="43F21D9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157B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9C89A8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本年处理决定数量</w:t>
            </w:r>
          </w:p>
        </w:tc>
      </w:tr>
      <w:tr w14:paraId="037642D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E0B8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8EA6C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16</w:t>
            </w:r>
          </w:p>
        </w:tc>
      </w:tr>
      <w:tr w14:paraId="329AD2D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A98AAE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C9F8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CFB3CC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974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14:paraId="7A1FB60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第二十条第（八）项</w:t>
            </w:r>
          </w:p>
        </w:tc>
      </w:tr>
      <w:tr w14:paraId="44FDD0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20D615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58CEE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本年收费金额（单位：万元）</w:t>
            </w:r>
          </w:p>
        </w:tc>
      </w:tr>
      <w:tr w14:paraId="45FEFF7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40" w:hRule="atLeast"/>
          <w:jc w:val="center"/>
        </w:trPr>
        <w:tc>
          <w:tcPr>
            <w:tcW w:w="2435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4A359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589548">
            <w:pPr>
              <w:jc w:val="center"/>
              <w:rPr>
                <w:rFonts w:hint="eastAsia" w:ascii="宋体" w:eastAsia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="宋体"/>
                <w:sz w:val="24"/>
                <w:szCs w:val="24"/>
                <w:lang w:val="en-US" w:eastAsia="zh-CN"/>
              </w:rPr>
              <w:t>0</w:t>
            </w:r>
          </w:p>
        </w:tc>
      </w:tr>
    </w:tbl>
    <w:p w14:paraId="2548577C">
      <w:pPr>
        <w:keepNext w:val="0"/>
        <w:keepLines w:val="0"/>
        <w:widowControl/>
        <w:suppressLineNumbers w:val="0"/>
        <w:jc w:val="left"/>
      </w:pPr>
    </w:p>
    <w:p w14:paraId="4B27CC14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3" w:firstLineChars="200"/>
        <w:jc w:val="both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三、收到和处理政府信息公开申请情况</w:t>
      </w:r>
    </w:p>
    <w:p w14:paraId="542C9013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3" w:firstLineChars="200"/>
        <w:jc w:val="both"/>
        <w:textAlignment w:val="auto"/>
        <w:rPr>
          <w:rFonts w:hint="eastAsia" w:ascii="黑体" w:hAnsi="黑体" w:eastAsia="黑体" w:cs="黑体"/>
          <w:b/>
          <w:bCs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</w:p>
    <w:tbl>
      <w:tblPr>
        <w:tblStyle w:val="4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768"/>
        <w:gridCol w:w="943"/>
        <w:gridCol w:w="3220"/>
        <w:gridCol w:w="688"/>
        <w:gridCol w:w="688"/>
        <w:gridCol w:w="688"/>
        <w:gridCol w:w="688"/>
        <w:gridCol w:w="688"/>
        <w:gridCol w:w="688"/>
        <w:gridCol w:w="689"/>
      </w:tblGrid>
      <w:tr w14:paraId="382F2096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EE5D80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（本列数据的勾稽关系为：第一项加第二项之和，等于第三项加第四项之和）</w:t>
            </w:r>
          </w:p>
        </w:tc>
        <w:tc>
          <w:tcPr>
            <w:tcW w:w="4998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B8AD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申请人情况</w:t>
            </w:r>
          </w:p>
        </w:tc>
      </w:tr>
      <w:tr w14:paraId="39CCD7E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3C79BE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AEF09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自然人</w:t>
            </w:r>
          </w:p>
        </w:tc>
        <w:tc>
          <w:tcPr>
            <w:tcW w:w="35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D122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法人或其他组织</w:t>
            </w:r>
          </w:p>
        </w:tc>
        <w:tc>
          <w:tcPr>
            <w:tcW w:w="714" w:type="dxa"/>
            <w:vMerge w:val="restart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70C03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10EE178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6D1959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C265E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A4311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商业</w:t>
            </w:r>
          </w:p>
          <w:p w14:paraId="13A110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企业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9688A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科研</w:t>
            </w:r>
          </w:p>
          <w:p w14:paraId="0FF7149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47DD5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社会公益组织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B8E0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法律服务机构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D1B0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</w:p>
        </w:tc>
        <w:tc>
          <w:tcPr>
            <w:tcW w:w="714" w:type="dxa"/>
            <w:vMerge w:val="continue"/>
            <w:tcBorders>
              <w:top w:val="single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0BD837">
            <w:pPr>
              <w:rPr>
                <w:rFonts w:hint="eastAsia" w:ascii="宋体"/>
                <w:sz w:val="24"/>
                <w:szCs w:val="24"/>
              </w:rPr>
            </w:pPr>
          </w:p>
        </w:tc>
      </w:tr>
      <w:tr w14:paraId="65F4DB3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5DE7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一、本年新收政府信息公开申请数量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2FDFB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  <w:rPr>
                <w:rFonts w:hint="default"/>
                <w:lang w:val="en-US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A71D8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3DC1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2416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B9238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46A71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33B1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11A591B5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CEADE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二、上年结转政府信息公开申请数量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B355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D657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E0D9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53C3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3FBA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F344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23D6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1340F1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restart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4A26F5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三、本年度办理结果</w:t>
            </w: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1AC2B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（一）予以公开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732A2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B773B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2A19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D1EF0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ED2E7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3D036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5C17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A85A32A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876C5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8CCB7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（二）部分公开</w:t>
            </w:r>
            <w:r>
              <w:rPr>
                <w:rFonts w:hint="eastAsia" w:ascii="楷体" w:hAnsi="楷体" w:eastAsia="楷体" w:cs="楷体"/>
                <w:kern w:val="0"/>
                <w:sz w:val="20"/>
                <w:szCs w:val="20"/>
                <w:lang w:val="en-US" w:eastAsia="zh-CN" w:bidi="ar"/>
              </w:rPr>
              <w:t>（区分处理的，只计这一情形，不计其他情形）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F2FD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6ADA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CF723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20C1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3741A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0C288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7F0A1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67D4FA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40F40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7FA4DB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（三）不予公开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17358E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1.属于国家秘密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9C2E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B0DC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86EB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056D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6F611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CF478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0551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0B7EF3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8ABBE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125944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06D7CD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2.其他法律行政法规禁止公开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4B8A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85603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ADB5B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07245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BF22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7C584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5B13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581F28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1D940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21E65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1DA94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3.危及“三安全一稳定”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C415F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6281D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034460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A42F8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A9265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D344C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98353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B46EAE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FF5C3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B93807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68F23A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4.保护第三方合法权益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1E1B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1B301B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F0ECE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F2CBC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74D8B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0797C4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FF83B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4A52015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24287F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AC2FE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59B3BE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5.属于三类内部事务信息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4DD25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7443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51508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53857D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813D83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3AD07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105DB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F54073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C6918C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E784A8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8CD85D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6.属于四类过程性信息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164B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43A69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E1915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736C6C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EC8C0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288BA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F456D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FEEFEA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6C11EF7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EFFC7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5D9F6A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7.属于行政执法案卷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B8B2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4EE06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6B1D8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D6BCC0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9173D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609F3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B32085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079820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78CEE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6C44F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4DCBD44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8.属于行政查询事项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5E153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C561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78B7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6F2C0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372F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8C0BAD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5BF4F6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B71C21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C08CC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D030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（四）无法提供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2CDC0F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1.本机关不掌握相关政府信息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86D030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0E570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AFD2C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B1730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4083F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7AF59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2F5264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B3F6ADC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18C98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24C2E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14A5F1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2.没有现成信息需要另行制作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89681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D5B88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42840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3CD05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CD8B4A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54A64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F46A6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A075D1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77C92B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589B45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7AF6A4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3.补正后申请内容仍不明确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D11A0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44E63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3853F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8FB28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E9F6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836654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94BF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3D614C4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9E28440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4276C0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（五）不予处理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68066E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1.信访举报投诉类申请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5F240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FA017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840F9A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B4D455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F6F65F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0BB9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66D70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284F0D2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D1E8B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43EDB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758140F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195148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5F32D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CAD3DC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5C182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33FB7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69BD0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B738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28A3F42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B4EFD8F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A9AFC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305A25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3.要求提供公开出版物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13D7C3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E272B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12522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90825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E28C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B437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F3470C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A8A24AD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18F37D8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1BCE7E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top"/>
          </w:tcPr>
          <w:p w14:paraId="3222107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4.无正当理由大量反复申请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3DEBC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A34F77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7E409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9E156FD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328EA8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2471DC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AF10FA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C60ED3F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79" w:hRule="atLeast"/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9F287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B0CC69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97C89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5.要求行政机关确认或重新出具已获取信息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A75A6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485B4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E4525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3D106A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8D6CD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2840F8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062E54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5DE2C2B8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2BA5B53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restart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A67B89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（六）其他处理</w:t>
            </w: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3A37B3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1.申请人无正当理由逾期不补正、行政机关不再处理其政府信息公开申请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F8CCF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C8585C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0A7F4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999957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8094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F318C1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6855F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35E7072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8FACCFB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3BDBC7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3333A0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both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2.申请人逾期未按收费通知要求缴纳费用、行政机关不再处理其政府信息公开申请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9DA83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71DF79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7F45C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EC5EFA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0993252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413E98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DE7ED2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49E4321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DBE7C91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959" w:type="dxa"/>
            <w:vMerge w:val="continue"/>
            <w:tcBorders>
              <w:top w:val="outset" w:color="auto" w:sz="8" w:space="0"/>
              <w:left w:val="nil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03DE9E2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34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0B1ECB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3.其他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B26113E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14DABC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E8E78C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96544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56BA5C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F1AE56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2487FCA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6E9E8E6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785" w:type="dxa"/>
            <w:vMerge w:val="continue"/>
            <w:tcBorders>
              <w:top w:val="nil"/>
              <w:left w:val="single" w:color="auto" w:sz="8" w:space="0"/>
              <w:bottom w:val="outset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E82EFBA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4365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4A4FC5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（七）总计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C4B169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0C48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0237FF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AF00F1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F63209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223702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5C2165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  <w:tr w14:paraId="7AAA23C3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150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A251F8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left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四、结转下年度继续办理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5491769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1D0CEE6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BBCB1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697A7E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3614403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76878C4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/>
              <w:jc w:val="center"/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71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14:paraId="4D307E9C">
            <w:pPr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Calibri" w:hAnsi="Calibri" w:cs="Calibri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 w14:paraId="5795A83F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p w14:paraId="0B0F9A99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四、政府信息公开行政复议、行政诉讼情况</w:t>
      </w:r>
    </w:p>
    <w:p w14:paraId="01379C41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</w:p>
    <w:tbl>
      <w:tblPr>
        <w:tblStyle w:val="4"/>
        <w:tblW w:w="9748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649"/>
        <w:gridCol w:w="649"/>
        <w:gridCol w:w="649"/>
        <w:gridCol w:w="649"/>
        <w:gridCol w:w="649"/>
        <w:gridCol w:w="649"/>
        <w:gridCol w:w="649"/>
        <w:gridCol w:w="650"/>
        <w:gridCol w:w="650"/>
        <w:gridCol w:w="650"/>
        <w:gridCol w:w="651"/>
        <w:gridCol w:w="651"/>
        <w:gridCol w:w="651"/>
        <w:gridCol w:w="651"/>
        <w:gridCol w:w="651"/>
      </w:tblGrid>
      <w:tr w14:paraId="61AED34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1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B25B84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ACA843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行政诉讼</w:t>
            </w:r>
          </w:p>
        </w:tc>
      </w:tr>
      <w:tr w14:paraId="506D5D0B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0A01BF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DC0DC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8A36F5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004ED0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936188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6A95BCC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ADE66E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复议后起诉</w:t>
            </w:r>
          </w:p>
        </w:tc>
      </w:tr>
      <w:tr w14:paraId="1DAF61A7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B43BA66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17A9C3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7043025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2A86EC9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A3C226D">
            <w:pPr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D1A1C2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8A86F1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5FA511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E0257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F4F60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39CAA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维持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3F4652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结果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纠正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1457E1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其他</w:t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结果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31845D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尚未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 w:bidi="ar"/>
              </w:rPr>
              <w:t>审结</w:t>
            </w:r>
          </w:p>
        </w:tc>
        <w:tc>
          <w:tcPr>
            <w:tcW w:w="643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2B9E2E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宋体" w:hAnsi="宋体" w:eastAsia="宋体" w:cs="宋体"/>
                <w:color w:val="000000"/>
                <w:kern w:val="0"/>
                <w:sz w:val="20"/>
                <w:szCs w:val="20"/>
                <w:lang w:val="en-US" w:eastAsia="zh-CN" w:bidi="ar"/>
              </w:rPr>
              <w:t>总计</w:t>
            </w:r>
          </w:p>
        </w:tc>
      </w:tr>
      <w:tr w14:paraId="00B99229"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72" w:hRule="atLeast"/>
          <w:jc w:val="center"/>
        </w:trPr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A8BC737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  <w:rPr>
                <w:rFonts w:hint="default"/>
                <w:lang w:val="en-US"/>
              </w:rPr>
            </w:pPr>
            <w:r>
              <w:rPr>
                <w:rFonts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 </w:t>
            </w: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2555AE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1E775D8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765A569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E7AA463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6702F61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5B389C4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D6D5D40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58C6042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1324E95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DB525F6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2A98DCF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ED5ABB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79B4C6A"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/>
              <w:ind w:left="0" w:right="0" w:firstLine="0"/>
              <w:jc w:val="center"/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D4EBBD">
            <w:pPr>
              <w:rPr>
                <w:rFonts w:hint="eastAsia" w:ascii="宋体"/>
                <w:sz w:val="24"/>
                <w:szCs w:val="24"/>
              </w:rPr>
            </w:pPr>
            <w:r>
              <w:rPr>
                <w:rFonts w:hint="eastAsia" w:ascii="黑体" w:hAnsi="宋体" w:eastAsia="黑体" w:cs="黑体"/>
                <w:kern w:val="0"/>
                <w:sz w:val="20"/>
                <w:szCs w:val="20"/>
                <w:lang w:val="en-US" w:eastAsia="zh-CN" w:bidi="ar"/>
              </w:rPr>
              <w:t>0</w:t>
            </w:r>
          </w:p>
        </w:tc>
      </w:tr>
    </w:tbl>
    <w:p w14:paraId="51C29980">
      <w:pPr>
        <w:keepNext w:val="0"/>
        <w:keepLines w:val="0"/>
        <w:widowControl/>
        <w:suppressLineNumbers w:val="0"/>
        <w:jc w:val="left"/>
      </w:pPr>
    </w:p>
    <w:p w14:paraId="58543ABC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五、存在的主要问题及改进情况</w:t>
      </w:r>
    </w:p>
    <w:p w14:paraId="58C51453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420"/>
        <w:jc w:val="both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  <w:t>公开内容深度不足。部分领域信息公开较为浅显，缺乏政策解读、办理流程指引等配套内容，群众理解和获取信息的便捷性有待提升。工作人员专业能力有待提升。镇内信息公开工作人员缺乏系统的政务公开专业培训，对公开范围界定、保密审查尺度把握、依申请公开答复规范等方面的业务能力不足，一定程度上影响了信息公开工作的质量和效率。</w:t>
      </w:r>
    </w:p>
    <w:p w14:paraId="02337E2B"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right="0" w:firstLine="640" w:firstLineChars="200"/>
        <w:jc w:val="both"/>
        <w:rPr>
          <w:rFonts w:hint="eastAsia" w:ascii="宋体" w:hAnsi="宋体" w:eastAsia="宋体" w:cs="宋体"/>
          <w:i w:val="0"/>
          <w:iCs w:val="0"/>
          <w:caps w:val="0"/>
          <w:color w:val="333333"/>
          <w:spacing w:val="0"/>
          <w:sz w:val="24"/>
          <w:szCs w:val="24"/>
        </w:rPr>
      </w:pP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  <w:t>针对上述问题，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耿庄桥镇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  <w:t>扎实推进整改提升：深化公开内容，提升信息实用性。聚焦群众关切，梳理各领域公开清单，对重大项目、民生政策等重点信息，补充完善深层次内容，同步发布政策解读、办理指南等配套材料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</w:rPr>
        <w:t>加强队伍建设，提升业务能力。优化信息公开工作队伍配置，明确各部门专职信息公开联络员；加大业务培训力度，全面提升工作人员专业素养，保障政府信息公开工作高质量推进。</w:t>
      </w:r>
    </w:p>
    <w:p w14:paraId="378A7352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 w:val="0"/>
          <w:i w:val="0"/>
          <w:iCs w:val="0"/>
          <w:caps w:val="0"/>
          <w:color w:val="333333"/>
          <w:spacing w:val="0"/>
          <w:sz w:val="32"/>
          <w:szCs w:val="32"/>
          <w:shd w:val="clear" w:fill="FFFFFF"/>
        </w:rPr>
        <w:t>六、其他需要报告的事项</w:t>
      </w:r>
    </w:p>
    <w:p w14:paraId="55EF3CDB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/>
        <w:ind w:right="0" w:firstLine="640" w:firstLineChars="200"/>
        <w:jc w:val="both"/>
        <w:textAlignment w:val="auto"/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仿宋" w:hAnsi="仿宋" w:eastAsia="仿宋" w:cs="仿宋"/>
          <w:i w:val="0"/>
          <w:iCs w:val="0"/>
          <w:caps w:val="0"/>
          <w:color w:val="333333"/>
          <w:spacing w:val="0"/>
          <w:sz w:val="32"/>
          <w:szCs w:val="32"/>
          <w:lang w:val="en-US" w:eastAsia="zh-CN"/>
        </w:rPr>
        <w:t>2025年，耿庄桥镇没有收取信息处理费，无其他需要报告事项。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50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华文仿宋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UI Emoji">
    <w:panose1 w:val="020B0502040204020203"/>
    <w:charset w:val="00"/>
    <w:family w:val="auto"/>
    <w:pitch w:val="default"/>
    <w:sig w:usb0="00000001" w:usb1="02000000" w:usb2="00000000" w:usb3="00000000" w:csb0="00000001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国标仿宋">
    <w:panose1 w:val="02000500000000000000"/>
    <w:charset w:val="86"/>
    <w:family w:val="auto"/>
    <w:pitch w:val="default"/>
    <w:sig w:usb0="A00002BF" w:usb1="38C77CFA" w:usb2="00000016" w:usb3="00000000" w:csb0="00060007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QyODQ4M2E5MTJjMmI5MWNmMzZkOTBjNmY4NWJjMzMifQ=="/>
  </w:docVars>
  <w:rsids>
    <w:rsidRoot w:val="063977E7"/>
    <w:rsid w:val="063977E7"/>
    <w:rsid w:val="0C4C174B"/>
    <w:rsid w:val="0D2F01B1"/>
    <w:rsid w:val="0F546D2E"/>
    <w:rsid w:val="163A59FC"/>
    <w:rsid w:val="1BD1392C"/>
    <w:rsid w:val="1C964CCC"/>
    <w:rsid w:val="1F44191F"/>
    <w:rsid w:val="2D3A7792"/>
    <w:rsid w:val="301729F2"/>
    <w:rsid w:val="32192405"/>
    <w:rsid w:val="3B8B2FB7"/>
    <w:rsid w:val="3C5D3DE5"/>
    <w:rsid w:val="401E2F1A"/>
    <w:rsid w:val="40E47D03"/>
    <w:rsid w:val="49210164"/>
    <w:rsid w:val="4A4D25BF"/>
    <w:rsid w:val="56FB7981"/>
    <w:rsid w:val="57405985"/>
    <w:rsid w:val="58D00F8B"/>
    <w:rsid w:val="5FFE30EE"/>
    <w:rsid w:val="6FCC795E"/>
    <w:rsid w:val="7D696D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actReview xmlns="http://schemas.wps.cn/vas-ai-hub/contract-review">
  <reviewItems>
    <reviewItem>
      <errorID>0ca288d5-1454-433a-815e-9ee8f4a4babb</errorID>
      <errorWord>》</errorWord>
      <group>L1_Word</group>
      <groupName>字词问题</groupName>
      <ability>L2_Typo</ability>
      <abilityName>字词错误</abilityName>
      <candidateList>
        <item>》等</item>
      </candidateList>
      <explain/>
      <paraID>6B534FAA</paraID>
      <start>87</start>
      <end>89</end>
      <status>modified</status>
      <modifiedWord>》等</modifiedWord>
      <trackRevisions>false</trackRevisions>
    </reviewItem>
    <reviewItem>
      <errorID>3011d494-f3c1-48a6-ad9d-a81b8c8cc19e</errorID>
      <errorWord>镇镇</errorWord>
      <group>L1_Word</group>
      <groupName>字词问题</groupName>
      <ability>L2_Typo</ability>
      <abilityName>字词错误</abilityName>
      <candidateList>
        <item>镇</item>
      </candidateList>
      <explain/>
      <paraID>6B68C65F</paraID>
      <start>9</start>
      <end>10</end>
      <status>modified</status>
      <modifiedWord>镇</modifiedWord>
      <trackRevisions>false</trackRevisions>
    </reviewItem>
    <reviewItem>
      <errorID>02e92f43-ec0d-435b-b334-fd0b7be908cb</errorID>
      <errorWord>重</errorWord>
      <group>L1_Grammar</group>
      <groupName>语法问题</groupName>
      <ability>L2_Missing</ability>
      <abilityName>成分残缺</abilityName>
      <candidateList>
        <item>公布重</item>
      </candidateList>
      <explain>句子中可能存在主谓宾、修饰语或者必要的词语残缺。</explain>
      <paraID>766FD107</paraID>
      <start>95</start>
      <end>98</end>
      <status>modified</status>
      <modifiedWord>公布重</modifiedWord>
      <trackRevisions>false</trackRevisions>
    </reviewItem>
    <reviewItem>
      <errorID>6cbcb1ba-7ec3-413f-a667-a3f725111996</errorID>
      <errorWord>处理</errorWord>
      <group>L1_Word</group>
      <groupName>字词问题</groupName>
      <ability>L2_Typo</ability>
      <abilityName>字词错误</abilityName>
      <candidateList>
        <item>受理</item>
      </candidateList>
      <explain/>
      <paraID>53A37B3F</paraID>
      <start>22</start>
      <end>24</end>
      <status>ignored</status>
      <modifiedWord/>
      <trackRevisions>false</trackRevisions>
    </reviewItem>
    <reviewItem>
      <errorID>fe19de1f-485f-4a58-a998-f3420755fc68</errorID>
      <errorWord>处理</errorWord>
      <group>L1_Word</group>
      <groupName>字词问题</groupName>
      <ability>L2_Typo</ability>
      <abilityName>字词错误</abilityName>
      <candidateList>
        <item>受理</item>
      </candidateList>
      <explain/>
      <paraID>33333A0C</paraID>
      <start>26</start>
      <end>28</end>
      <status>ignored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4d7e3fdc-e485-4404-bc01-36412d6d59ab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2609</Words>
  <Characters>2650</Characters>
  <Lines>0</Lines>
  <Paragraphs>0</Paragraphs>
  <TotalTime>47</TotalTime>
  <ScaleCrop>false</ScaleCrop>
  <LinksUpToDate>false</LinksUpToDate>
  <CharactersWithSpaces>2727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2022-01-06T07:29:00Z</dcterms:created>
  <dc:creator>Administrator</dc:creator>
  <cp:lastModifiedBy>Administrator</cp:lastModifiedBy>
  <dcterms:modified xsi:type="dcterms:W3CDTF">2026-01-15T07:42:12Z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1157CE926B71424ABCEDD46E97C11597</vt:lpwstr>
  </property>
  <property fmtid="{D5CDD505-2E9C-101B-9397-08002B2CF9AE}" pid="4" name="KSOTemplateDocerSaveRecord">
    <vt:lpwstr>eyJoZGlkIjoiOGVlNDQ3YzI2NzRlMWMxYTk2NDlhZTEyMGM2YTc4ZmUiLCJ1c2VySWQiOiIyOTc0NzYyNzMifQ==</vt:lpwstr>
  </property>
</Properties>
</file>