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9C221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u w:val="none"/>
          <w:shd w:val="clear" w:fill="FFFFFF"/>
          <w:lang w:val="en-US" w:eastAsia="zh-CN"/>
        </w:rPr>
      </w:pPr>
      <w:r>
        <w:rPr>
          <w:rFonts w:hint="eastAsia" w:ascii="方正小标宋简体" w:hAnsi="方正小标宋简体" w:eastAsia="方正小标宋简体" w:cs="方正小标宋简体"/>
          <w:b w:val="0"/>
          <w:bCs/>
          <w:i w:val="0"/>
          <w:caps w:val="0"/>
          <w:color w:val="333333"/>
          <w:spacing w:val="0"/>
          <w:sz w:val="44"/>
          <w:szCs w:val="44"/>
          <w:u w:val="none"/>
          <w:shd w:val="clear" w:fill="FFFFFF"/>
        </w:rPr>
        <w:t>宁晋县宁北街道</w:t>
      </w:r>
      <w:r>
        <w:rPr>
          <w:rFonts w:hint="eastAsia" w:ascii="方正小标宋简体" w:hAnsi="方正小标宋简体" w:eastAsia="方正小标宋简体" w:cs="方正小标宋简体"/>
          <w:b w:val="0"/>
          <w:bCs/>
          <w:i w:val="0"/>
          <w:caps w:val="0"/>
          <w:color w:val="333333"/>
          <w:spacing w:val="0"/>
          <w:sz w:val="44"/>
          <w:szCs w:val="44"/>
          <w:u w:val="none"/>
          <w:shd w:val="clear" w:fill="FFFFFF"/>
          <w:lang w:val="en-US" w:eastAsia="zh-CN"/>
        </w:rPr>
        <w:t>办事处</w:t>
      </w:r>
    </w:p>
    <w:p w14:paraId="737EAF0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b w:val="0"/>
          <w:bCs/>
          <w:i w:val="0"/>
          <w:color w:val="333333"/>
          <w:sz w:val="44"/>
          <w:szCs w:val="44"/>
          <w:u w:val="none"/>
        </w:rPr>
      </w:pPr>
      <w:r>
        <w:rPr>
          <w:rFonts w:hint="eastAsia" w:ascii="方正小标宋简体" w:hAnsi="方正小标宋简体" w:eastAsia="方正小标宋简体" w:cs="方正小标宋简体"/>
          <w:b w:val="0"/>
          <w:bCs/>
          <w:i w:val="0"/>
          <w:caps w:val="0"/>
          <w:color w:val="333333"/>
          <w:spacing w:val="0"/>
          <w:sz w:val="44"/>
          <w:szCs w:val="44"/>
          <w:u w:val="none"/>
          <w:shd w:val="clear" w:fill="FFFFFF"/>
        </w:rPr>
        <w:t>202</w:t>
      </w:r>
      <w:r>
        <w:rPr>
          <w:rFonts w:hint="eastAsia" w:ascii="方正小标宋简体" w:hAnsi="方正小标宋简体" w:eastAsia="方正小标宋简体" w:cs="方正小标宋简体"/>
          <w:b w:val="0"/>
          <w:bCs/>
          <w:i w:val="0"/>
          <w:caps w:val="0"/>
          <w:color w:val="333333"/>
          <w:spacing w:val="0"/>
          <w:sz w:val="44"/>
          <w:szCs w:val="44"/>
          <w:u w:val="none"/>
          <w:shd w:val="clear" w:fill="FFFFFF"/>
          <w:lang w:val="en-US" w:eastAsia="zh-CN"/>
        </w:rPr>
        <w:t>5</w:t>
      </w:r>
      <w:r>
        <w:rPr>
          <w:rFonts w:hint="eastAsia" w:ascii="方正小标宋简体" w:hAnsi="方正小标宋简体" w:eastAsia="方正小标宋简体" w:cs="方正小标宋简体"/>
          <w:b w:val="0"/>
          <w:bCs/>
          <w:i w:val="0"/>
          <w:caps w:val="0"/>
          <w:color w:val="333333"/>
          <w:spacing w:val="0"/>
          <w:sz w:val="44"/>
          <w:szCs w:val="44"/>
          <w:u w:val="none"/>
          <w:shd w:val="clear" w:fill="FFFFFF"/>
        </w:rPr>
        <w:t>年政府信息公开工作年度报告</w:t>
      </w:r>
    </w:p>
    <w:p w14:paraId="50A58D49">
      <w:pPr>
        <w:ind w:firstLine="560" w:firstLineChars="200"/>
        <w:rPr>
          <w:rFonts w:hint="eastAsia" w:ascii="仿宋" w:hAnsi="仿宋" w:eastAsia="仿宋" w:cs="仿宋"/>
          <w:sz w:val="28"/>
          <w:szCs w:val="28"/>
          <w:lang w:val="en-US" w:eastAsia="zh-CN"/>
        </w:rPr>
      </w:pPr>
    </w:p>
    <w:p w14:paraId="163CBF1A">
      <w:pPr>
        <w:keepNext w:val="0"/>
        <w:keepLines w:val="0"/>
        <w:pageBreakBefore w:val="0"/>
        <w:widowControl w:val="0"/>
        <w:kinsoku/>
        <w:wordWrap/>
        <w:overflowPunct/>
        <w:topLinePunct w:val="0"/>
        <w:autoSpaceDE/>
        <w:autoSpaceDN/>
        <w:bidi w:val="0"/>
        <w:adjustRightInd/>
        <w:snapToGrid/>
        <w:spacing w:line="540" w:lineRule="exact"/>
        <w:ind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lang w:val="en-US" w:eastAsia="zh-CN"/>
        </w:rPr>
      </w:pPr>
      <w:r>
        <w:rPr>
          <w:rFonts w:hint="eastAsia" w:ascii="仿宋_GB2312" w:hAnsi="仿宋_GB2312" w:eastAsia="仿宋_GB2312" w:cs="仿宋_GB2312"/>
          <w:sz w:val="30"/>
          <w:szCs w:val="30"/>
          <w:lang w:val="en-US" w:eastAsia="zh-CN"/>
        </w:rPr>
        <w:t>本年度报告依据《中华人民共和国政府信息公开条例》、《中华人民共和国政府信息公开工作年度报告格式》和省、市政务公开工作要求，由宁晋县宁北街道办事处办公室编制而成。全文包括总体情况、主动公开政府信息情况、收到和处理政府信息公开申请情况、政府信息公开行政复议和行政诉讼情况、存在的主要问题及改进情况、其他需要报告的事项等内容。本年报中所列数据的统计期限为2025年1月1日至12月31日。本年报的电子版可在宁晋县人民政府网站（https://www.ningjin.gov.cn/）下载。如对本年报有任何疑问，请与宁晋县宁北街道办事处办公室联系，联系电话：0319-5811139。</w:t>
      </w:r>
    </w:p>
    <w:p w14:paraId="416A9C69">
      <w:pPr>
        <w:keepNext w:val="0"/>
        <w:keepLines w:val="0"/>
        <w:pageBreakBefore w:val="0"/>
        <w:widowControl w:val="0"/>
        <w:kinsoku/>
        <w:wordWrap/>
        <w:overflowPunct/>
        <w:topLinePunct w:val="0"/>
        <w:autoSpaceDE/>
        <w:autoSpaceDN/>
        <w:bidi w:val="0"/>
        <w:adjustRightInd/>
        <w:snapToGrid/>
        <w:spacing w:line="540" w:lineRule="exact"/>
        <w:ind w:firstLine="600" w:firstLineChars="200"/>
        <w:jc w:val="both"/>
        <w:textAlignment w:val="auto"/>
        <w:rPr>
          <w:rFonts w:hint="eastAsia" w:ascii="黑体" w:hAnsi="黑体" w:eastAsia="黑体" w:cs="黑体"/>
          <w:sz w:val="30"/>
          <w:szCs w:val="30"/>
          <w:lang w:val="en-US" w:eastAsia="zh-CN"/>
        </w:rPr>
      </w:pPr>
      <w:r>
        <w:rPr>
          <w:rFonts w:hint="eastAsia" w:ascii="黑体" w:hAnsi="黑体" w:eastAsia="黑体" w:cs="黑体"/>
          <w:sz w:val="30"/>
          <w:szCs w:val="30"/>
          <w:lang w:val="en-US" w:eastAsia="zh-CN"/>
        </w:rPr>
        <w:t>一、总体情况</w:t>
      </w:r>
    </w:p>
    <w:p w14:paraId="5C87610E">
      <w:pPr>
        <w:keepNext w:val="0"/>
        <w:keepLines w:val="0"/>
        <w:pageBreakBefore w:val="0"/>
        <w:widowControl w:val="0"/>
        <w:kinsoku/>
        <w:wordWrap/>
        <w:overflowPunct/>
        <w:topLinePunct w:val="0"/>
        <w:autoSpaceDE/>
        <w:autoSpaceDN/>
        <w:bidi w:val="0"/>
        <w:adjustRightInd/>
        <w:snapToGrid/>
        <w:spacing w:line="540" w:lineRule="exact"/>
        <w:ind w:firstLine="600" w:firstLineChars="200"/>
        <w:jc w:val="both"/>
        <w:textAlignment w:val="auto"/>
        <w:rPr>
          <w:rFonts w:hint="eastAsia" w:ascii="仿宋_GB2312" w:hAnsi="仿宋_GB2312" w:eastAsia="仿宋_GB2312" w:cs="仿宋_GB2312"/>
          <w:sz w:val="30"/>
          <w:szCs w:val="30"/>
          <w:highlight w:val="none"/>
          <w:lang w:val="en-US" w:eastAsia="zh-CN"/>
        </w:rPr>
      </w:pPr>
      <w:r>
        <w:rPr>
          <w:rFonts w:hint="eastAsia" w:ascii="仿宋_GB2312" w:hAnsi="仿宋_GB2312" w:eastAsia="仿宋_GB2312" w:cs="仿宋_GB2312"/>
          <w:sz w:val="30"/>
          <w:szCs w:val="30"/>
          <w:highlight w:val="none"/>
          <w:lang w:val="en-US" w:eastAsia="zh-CN"/>
        </w:rPr>
        <w:t>2025年，宁晋县宁北街道办事处始终以习近平新时代中国特色社会主义思想为根本遵循，严格落实党中央、国务院关于政务公开的决策部署，精准对标省委、省政府、市委、市政府及县委、县政府的工作要求，在县委、县政府的统一领导下稳步推进各项工作。围绕主动公开、依申请公开、政府信息管理、公开平台建设、监督保障等核心任务，街道办事处强化统筹督导、狠抓工作落实，推动政务公开工作提质增效，为“经济强县、美丽宁晋”建设筑牢公开透明的政务环境支撑</w:t>
      </w:r>
    </w:p>
    <w:p w14:paraId="3B9BCCF6">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eastAsia" w:ascii="仿宋_GB2312" w:hAnsi="仿宋_GB2312" w:eastAsia="仿宋_GB2312" w:cs="仿宋_GB2312"/>
          <w:sz w:val="30"/>
          <w:szCs w:val="30"/>
          <w:highlight w:val="none"/>
          <w:lang w:val="en-US" w:eastAsia="zh-CN"/>
        </w:rPr>
      </w:pPr>
      <w:r>
        <w:rPr>
          <w:rFonts w:hint="eastAsia" w:ascii="楷体_GB2312" w:hAnsi="楷体_GB2312" w:eastAsia="楷体_GB2312" w:cs="楷体_GB2312"/>
          <w:b w:val="0"/>
          <w:bCs w:val="0"/>
          <w:sz w:val="30"/>
          <w:szCs w:val="30"/>
          <w:lang w:val="en-US" w:eastAsia="zh-CN"/>
        </w:rPr>
        <w:t>（一）主动公开情况。</w:t>
      </w:r>
      <w:r>
        <w:rPr>
          <w:rFonts w:hint="eastAsia" w:ascii="仿宋_GB2312" w:hAnsi="仿宋_GB2312" w:eastAsia="仿宋_GB2312" w:cs="仿宋_GB2312"/>
          <w:sz w:val="30"/>
          <w:szCs w:val="30"/>
          <w:highlight w:val="none"/>
          <w:lang w:val="en-US" w:eastAsia="zh-CN"/>
        </w:rPr>
        <w:t>2025年，我街道通过宁晋县政府网站和政府信息公开平台，常态化发布规划信息、权责清单、资金使用、政策解读、政务动态等各类政府信息，涵盖扶贫资金、预算决算、惠农补贴、建议提案办理等重点领域。相关信息均按时上传，实现内容真实、时效合规、范围全覆盖。</w:t>
      </w:r>
    </w:p>
    <w:p w14:paraId="2FAD98ED">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eastAsia" w:ascii="仿宋_GB2312" w:hAnsi="仿宋_GB2312" w:eastAsia="仿宋_GB2312" w:cs="仿宋_GB2312"/>
          <w:sz w:val="30"/>
          <w:szCs w:val="30"/>
          <w:lang w:val="en-US" w:eastAsia="zh-CN"/>
        </w:rPr>
      </w:pPr>
      <w:r>
        <w:rPr>
          <w:rFonts w:hint="eastAsia" w:ascii="楷体_GB2312" w:hAnsi="楷体_GB2312" w:eastAsia="楷体_GB2312" w:cs="楷体_GB2312"/>
          <w:b w:val="0"/>
          <w:bCs w:val="0"/>
          <w:sz w:val="30"/>
          <w:szCs w:val="30"/>
          <w:lang w:val="en-US" w:eastAsia="zh-CN"/>
        </w:rPr>
        <w:t>（二）依申请公开情况。</w:t>
      </w:r>
      <w:r>
        <w:rPr>
          <w:rFonts w:hint="eastAsia" w:ascii="仿宋_GB2312" w:hAnsi="仿宋_GB2312" w:eastAsia="仿宋_GB2312" w:cs="仿宋_GB2312"/>
          <w:sz w:val="30"/>
          <w:szCs w:val="30"/>
          <w:lang w:val="en-US" w:eastAsia="zh-CN"/>
        </w:rPr>
        <w:t>2025年我办未发生诉讼及相关公开和咨询情况。</w:t>
      </w:r>
    </w:p>
    <w:p w14:paraId="5528FD30">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eastAsia" w:ascii="仿宋" w:hAnsi="仿宋" w:eastAsia="仿宋" w:cs="仿宋"/>
          <w:sz w:val="30"/>
          <w:szCs w:val="30"/>
          <w:lang w:val="en-US" w:eastAsia="zh-CN"/>
        </w:rPr>
      </w:pPr>
      <w:r>
        <w:rPr>
          <w:rFonts w:hint="eastAsia" w:ascii="楷体_GB2312" w:hAnsi="楷体_GB2312" w:eastAsia="楷体_GB2312" w:cs="楷体_GB2312"/>
          <w:b w:val="0"/>
          <w:bCs w:val="0"/>
          <w:sz w:val="30"/>
          <w:szCs w:val="30"/>
          <w:lang w:val="en-US" w:eastAsia="zh-CN"/>
        </w:rPr>
        <w:t>（三）政府信息管理。</w:t>
      </w:r>
      <w:r>
        <w:rPr>
          <w:rFonts w:hint="eastAsia" w:ascii="仿宋_GB2312" w:hAnsi="仿宋_GB2312" w:eastAsia="仿宋_GB2312" w:cs="仿宋_GB2312"/>
          <w:sz w:val="30"/>
          <w:szCs w:val="30"/>
          <w:highlight w:val="none"/>
          <w:lang w:val="en-US" w:eastAsia="zh-CN"/>
        </w:rPr>
        <w:t>我办严格落实各项信息管理机制，结合本单位实际情况，建立健全相关政府信息公开工作制度，并指定专人管理此项工作，时刻关注热点信息，及时公开发布，确保政府信息公开工作规范、有序地开展。</w:t>
      </w:r>
    </w:p>
    <w:p w14:paraId="44B59BB6">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default" w:ascii="仿宋" w:hAnsi="仿宋" w:eastAsia="仿宋" w:cs="仿宋"/>
          <w:sz w:val="30"/>
          <w:szCs w:val="30"/>
          <w:lang w:val="en-US" w:eastAsia="zh-CN"/>
        </w:rPr>
      </w:pPr>
      <w:r>
        <w:rPr>
          <w:rFonts w:hint="eastAsia" w:ascii="楷体_GB2312" w:hAnsi="楷体_GB2312" w:eastAsia="楷体_GB2312" w:cs="楷体_GB2312"/>
          <w:b w:val="0"/>
          <w:bCs w:val="0"/>
          <w:sz w:val="30"/>
          <w:szCs w:val="30"/>
          <w:lang w:val="en-US" w:eastAsia="zh-CN"/>
        </w:rPr>
        <w:t>（四）政府信息公开平台建设。</w:t>
      </w:r>
      <w:r>
        <w:rPr>
          <w:rFonts w:hint="eastAsia" w:ascii="仿宋_GB2312" w:hAnsi="仿宋_GB2312" w:eastAsia="仿宋_GB2312" w:cs="仿宋_GB2312"/>
          <w:sz w:val="30"/>
          <w:szCs w:val="30"/>
          <w:lang w:val="en-US" w:eastAsia="zh-CN"/>
        </w:rPr>
        <w:t>我办严格遵守政府信息公开平台建设各项工作条例，</w:t>
      </w:r>
      <w:r>
        <w:rPr>
          <w:rFonts w:hint="eastAsia" w:ascii="仿宋_GB2312" w:hAnsi="仿宋_GB2312" w:eastAsia="仿宋_GB2312" w:cs="仿宋_GB2312"/>
          <w:sz w:val="30"/>
          <w:szCs w:val="30"/>
          <w:highlight w:val="none"/>
          <w:lang w:val="en-US" w:eastAsia="zh-CN"/>
        </w:rPr>
        <w:t>主动通过政府网站乡镇动态专栏渠道加强政府信息公开平台宣传，及时更新时事热点，积极打造新媒体网络宣传阵地，为政府信息公开平台建设贡献力量。</w:t>
      </w:r>
    </w:p>
    <w:p w14:paraId="37EAB098">
      <w:pPr>
        <w:keepNext w:val="0"/>
        <w:keepLines w:val="0"/>
        <w:pageBreakBefore w:val="0"/>
        <w:widowControl w:val="0"/>
        <w:kinsoku/>
        <w:wordWrap/>
        <w:overflowPunct/>
        <w:topLinePunct w:val="0"/>
        <w:autoSpaceDE/>
        <w:autoSpaceDN/>
        <w:bidi w:val="0"/>
        <w:adjustRightInd/>
        <w:snapToGrid/>
        <w:spacing w:line="520" w:lineRule="exact"/>
        <w:ind w:firstLine="600" w:firstLineChars="200"/>
        <w:jc w:val="both"/>
        <w:textAlignment w:val="auto"/>
        <w:rPr>
          <w:rFonts w:hint="eastAsia" w:ascii="仿宋_GB2312" w:hAnsi="仿宋_GB2312" w:eastAsia="仿宋_GB2312" w:cs="仿宋_GB2312"/>
          <w:sz w:val="30"/>
          <w:szCs w:val="30"/>
          <w:lang w:val="en-US" w:eastAsia="zh-CN"/>
        </w:rPr>
      </w:pPr>
      <w:r>
        <w:rPr>
          <w:rFonts w:hint="eastAsia" w:ascii="楷体_GB2312" w:hAnsi="楷体_GB2312" w:eastAsia="楷体_GB2312" w:cs="楷体_GB2312"/>
          <w:b w:val="0"/>
          <w:bCs w:val="0"/>
          <w:sz w:val="30"/>
          <w:szCs w:val="30"/>
          <w:lang w:val="en-US" w:eastAsia="zh-CN"/>
        </w:rPr>
        <w:t>（五）监督保障。</w:t>
      </w:r>
      <w:r>
        <w:rPr>
          <w:rFonts w:hint="eastAsia" w:ascii="仿宋_GB2312" w:hAnsi="仿宋_GB2312" w:eastAsia="仿宋_GB2312" w:cs="仿宋_GB2312"/>
          <w:sz w:val="30"/>
          <w:szCs w:val="30"/>
          <w:lang w:val="en-US" w:eastAsia="zh-CN"/>
        </w:rPr>
        <w:t>积极落实信息公开制度，严格信息审查机制，加大网上巡查力度，对未按照要求公开政府信息及时进行整改到位。</w:t>
      </w:r>
    </w:p>
    <w:p w14:paraId="23BA3680">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eastAsia" w:ascii="黑体" w:hAnsi="黑体" w:eastAsia="黑体" w:cs="黑体"/>
          <w:sz w:val="30"/>
          <w:szCs w:val="30"/>
          <w:lang w:val="en-US" w:eastAsia="zh-CN"/>
        </w:rPr>
      </w:pPr>
      <w:r>
        <w:rPr>
          <w:rFonts w:hint="eastAsia" w:ascii="黑体" w:hAnsi="黑体" w:eastAsia="黑体" w:cs="黑体"/>
          <w:sz w:val="30"/>
          <w:szCs w:val="30"/>
          <w:lang w:val="en-US" w:eastAsia="zh-CN"/>
        </w:rPr>
        <w:t>二、主动公开政府信息情况</w:t>
      </w:r>
    </w:p>
    <w:tbl>
      <w:tblPr>
        <w:tblStyle w:val="5"/>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14:paraId="7767B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31AE36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16B6A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D7EE6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18560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011C6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C4A94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71925E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769DD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9830D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D3F12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9A7F8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499CA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4AB19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16A64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1FA347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7D9A4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03F0F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FC3B6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2A484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5A85E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67E771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5CB8D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45233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1CF6AA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328</w:t>
            </w:r>
          </w:p>
        </w:tc>
      </w:tr>
      <w:tr w14:paraId="243693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19601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38EA4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3A808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D40EF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10DEF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CE7FA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7D20C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lang w:val="en-US" w:eastAsia="zh-CN"/>
              </w:rPr>
              <w:t>6</w:t>
            </w:r>
          </w:p>
        </w:tc>
      </w:tr>
      <w:tr w14:paraId="516D4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605C4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63B53A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7BCEE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7D4161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6E1F6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0A8B5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4FA42D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74571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4D48A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7B44DA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eastAsiaTheme="minorEastAsia"/>
                <w:sz w:val="24"/>
                <w:szCs w:val="24"/>
                <w:lang w:val="en-US" w:eastAsia="zh-CN"/>
              </w:rPr>
            </w:pPr>
            <w:r>
              <w:rPr>
                <w:rFonts w:hint="eastAsia"/>
                <w:lang w:val="en-US" w:eastAsia="zh-CN"/>
              </w:rPr>
              <w:t>0</w:t>
            </w:r>
          </w:p>
        </w:tc>
      </w:tr>
    </w:tbl>
    <w:p w14:paraId="366B1738">
      <w:pPr>
        <w:keepNext w:val="0"/>
        <w:keepLines w:val="0"/>
        <w:widowControl/>
        <w:suppressLineNumbers w:val="0"/>
        <w:jc w:val="left"/>
      </w:pPr>
    </w:p>
    <w:p w14:paraId="19D5F853">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sz w:val="30"/>
          <w:szCs w:val="30"/>
          <w:lang w:val="en-US" w:eastAsia="zh-CN"/>
        </w:rPr>
        <w:t>三、收到和处理政府信息公开申请情况</w:t>
      </w: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46"/>
        <w:gridCol w:w="923"/>
        <w:gridCol w:w="3260"/>
        <w:gridCol w:w="688"/>
        <w:gridCol w:w="688"/>
        <w:gridCol w:w="668"/>
        <w:gridCol w:w="668"/>
        <w:gridCol w:w="668"/>
        <w:gridCol w:w="668"/>
        <w:gridCol w:w="771"/>
      </w:tblGrid>
      <w:tr w14:paraId="65EC91F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46320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998"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EFE13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宋体" w:hAnsi="宋体" w:eastAsia="宋体" w:cs="宋体"/>
                <w:kern w:val="0"/>
                <w:sz w:val="20"/>
                <w:szCs w:val="20"/>
                <w:lang w:val="en-US" w:eastAsia="zh-CN" w:bidi="ar"/>
              </w:rPr>
              <w:t>申请人情况</w:t>
            </w:r>
          </w:p>
        </w:tc>
      </w:tr>
      <w:tr w14:paraId="1C87338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23B5B0DE">
            <w:pPr>
              <w:rPr>
                <w:rFonts w:hint="eastAsia" w:ascii="宋体"/>
                <w:sz w:val="24"/>
                <w:szCs w:val="24"/>
              </w:rPr>
            </w:pPr>
          </w:p>
        </w:tc>
        <w:tc>
          <w:tcPr>
            <w:tcW w:w="714"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2B2F15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宋体" w:hAnsi="宋体" w:eastAsia="宋体" w:cs="宋体"/>
                <w:kern w:val="0"/>
                <w:sz w:val="20"/>
                <w:szCs w:val="20"/>
                <w:lang w:val="en-US" w:eastAsia="zh-CN" w:bidi="ar"/>
              </w:rPr>
              <w:t>自然人</w:t>
            </w:r>
          </w:p>
        </w:tc>
        <w:tc>
          <w:tcPr>
            <w:tcW w:w="3459"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16483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宋体" w:hAnsi="宋体" w:eastAsia="宋体" w:cs="宋体"/>
                <w:kern w:val="0"/>
                <w:sz w:val="20"/>
                <w:szCs w:val="20"/>
                <w:lang w:val="en-US" w:eastAsia="zh-CN" w:bidi="ar"/>
              </w:rPr>
              <w:t>法人或其他组织</w:t>
            </w:r>
          </w:p>
        </w:tc>
        <w:tc>
          <w:tcPr>
            <w:tcW w:w="693"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06B4EA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宋体" w:hAnsi="宋体" w:eastAsia="宋体" w:cs="宋体"/>
                <w:kern w:val="0"/>
                <w:sz w:val="20"/>
                <w:szCs w:val="20"/>
                <w:lang w:val="en-US" w:eastAsia="zh-CN" w:bidi="ar"/>
              </w:rPr>
              <w:t>总计</w:t>
            </w:r>
          </w:p>
        </w:tc>
      </w:tr>
      <w:tr w14:paraId="322628A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30DF94D2">
            <w:pPr>
              <w:rPr>
                <w:rFonts w:hint="eastAsia" w:ascii="宋体"/>
                <w:sz w:val="24"/>
                <w:szCs w:val="24"/>
              </w:rPr>
            </w:pPr>
          </w:p>
        </w:tc>
        <w:tc>
          <w:tcPr>
            <w:tcW w:w="714"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5180E512">
            <w:pPr>
              <w:rPr>
                <w:rFonts w:hint="eastAsia" w:ascii="宋体"/>
                <w:sz w:val="24"/>
                <w:szCs w:val="24"/>
              </w:rPr>
            </w:pP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0BF79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14:paraId="69D956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宋体" w:hAnsi="宋体" w:eastAsia="宋体" w:cs="宋体"/>
                <w:kern w:val="0"/>
                <w:sz w:val="20"/>
                <w:szCs w:val="20"/>
                <w:lang w:val="en-US" w:eastAsia="zh-CN" w:bidi="ar"/>
              </w:rPr>
              <w:t>企业</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0FF52D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14:paraId="720AA6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宋体" w:hAnsi="宋体" w:eastAsia="宋体" w:cs="宋体"/>
                <w:kern w:val="0"/>
                <w:sz w:val="20"/>
                <w:szCs w:val="20"/>
                <w:lang w:val="en-US" w:eastAsia="zh-CN" w:bidi="ar"/>
              </w:rPr>
              <w:t>机构</w:t>
            </w:r>
          </w:p>
        </w:tc>
        <w:tc>
          <w:tcPr>
            <w:tcW w:w="692"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94F79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宋体" w:hAnsi="宋体" w:eastAsia="宋体" w:cs="宋体"/>
                <w:kern w:val="0"/>
                <w:sz w:val="20"/>
                <w:szCs w:val="20"/>
                <w:lang w:val="en-US" w:eastAsia="zh-CN" w:bidi="ar"/>
              </w:rPr>
              <w:t>社会公益组织</w:t>
            </w:r>
          </w:p>
        </w:tc>
        <w:tc>
          <w:tcPr>
            <w:tcW w:w="692"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4E6BD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宋体" w:hAnsi="宋体" w:eastAsia="宋体" w:cs="宋体"/>
                <w:kern w:val="0"/>
                <w:sz w:val="20"/>
                <w:szCs w:val="20"/>
                <w:lang w:val="en-US" w:eastAsia="zh-CN" w:bidi="ar"/>
              </w:rPr>
              <w:t>法律服务机构</w:t>
            </w:r>
          </w:p>
        </w:tc>
        <w:tc>
          <w:tcPr>
            <w:tcW w:w="692"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94F41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宋体" w:hAnsi="宋体" w:eastAsia="宋体" w:cs="宋体"/>
                <w:kern w:val="0"/>
                <w:sz w:val="20"/>
                <w:szCs w:val="20"/>
                <w:lang w:val="en-US" w:eastAsia="zh-CN" w:bidi="ar"/>
              </w:rPr>
              <w:t>其他</w:t>
            </w:r>
          </w:p>
        </w:tc>
        <w:tc>
          <w:tcPr>
            <w:tcW w:w="693"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3CDEE97B">
            <w:pPr>
              <w:rPr>
                <w:rFonts w:hint="eastAsia" w:ascii="宋体"/>
                <w:sz w:val="24"/>
                <w:szCs w:val="24"/>
              </w:rPr>
            </w:pPr>
          </w:p>
        </w:tc>
      </w:tr>
      <w:tr w14:paraId="6AA97E4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D5644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一、本年新收政府信息公开申请数量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13084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B677A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3CE6F7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7C476B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5BD86C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165A79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145B18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61A1E54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58A50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二、上年结转政府信息公开申请数量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B2BBD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E120D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2B9BC4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0811AD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7595AA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20E18A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3474F9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4F57EA7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3"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95753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三、本年度办理结果</w:t>
            </w:r>
          </w:p>
        </w:tc>
        <w:tc>
          <w:tcPr>
            <w:tcW w:w="414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2012A7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（一）予以公开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AE8E0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A1F37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3BC432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216A02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2692C4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323E73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5886E0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15F6992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41FFDBF">
            <w:pPr>
              <w:rPr>
                <w:rFonts w:hint="eastAsia" w:ascii="宋体"/>
                <w:sz w:val="24"/>
                <w:szCs w:val="24"/>
              </w:rPr>
            </w:pPr>
          </w:p>
        </w:tc>
        <w:tc>
          <w:tcPr>
            <w:tcW w:w="414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76DDA0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A3B0A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80F7B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1B1420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73FCB6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32139F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698E9E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center"/>
          </w:tcPr>
          <w:p w14:paraId="24694C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eastAsiaTheme="minorEastAsia"/>
                <w:lang w:val="en-US" w:eastAsia="zh-CN"/>
              </w:rPr>
            </w:pPr>
            <w:r>
              <w:rPr>
                <w:rFonts w:hint="eastAsia" w:ascii="Calibri" w:hAnsi="Calibri" w:cs="Calibri"/>
                <w:kern w:val="0"/>
                <w:sz w:val="20"/>
                <w:szCs w:val="20"/>
                <w:lang w:val="en-US" w:eastAsia="zh-CN" w:bidi="ar"/>
              </w:rPr>
              <w:t>0</w:t>
            </w:r>
          </w:p>
        </w:tc>
      </w:tr>
      <w:tr w14:paraId="3FA231E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80AF42D">
            <w:pPr>
              <w:rPr>
                <w:rFonts w:hint="eastAsia" w:ascii="宋体"/>
                <w:sz w:val="24"/>
                <w:szCs w:val="24"/>
              </w:rPr>
            </w:pPr>
          </w:p>
        </w:tc>
        <w:tc>
          <w:tcPr>
            <w:tcW w:w="938"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5FD95B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rPr>
                <w:rFonts w:hint="eastAsia" w:ascii="Calibri" w:hAnsi="Calibri" w:cs="Calibri"/>
                <w:kern w:val="0"/>
                <w:sz w:val="20"/>
                <w:szCs w:val="20"/>
                <w:lang w:val="en-US" w:eastAsia="zh-CN" w:bidi="ar"/>
              </w:rPr>
            </w:pPr>
            <w:r>
              <w:rPr>
                <w:rFonts w:hint="eastAsia" w:ascii="宋体" w:hAnsi="宋体" w:eastAsia="宋体" w:cs="宋体"/>
                <w:kern w:val="0"/>
                <w:sz w:val="20"/>
                <w:szCs w:val="20"/>
                <w:lang w:val="en-US" w:eastAsia="zh-CN" w:bidi="ar"/>
              </w:rPr>
              <w:t>（三）不予公开</w:t>
            </w:r>
          </w:p>
        </w:tc>
        <w:tc>
          <w:tcPr>
            <w:tcW w:w="3204" w:type="dxa"/>
            <w:tcBorders>
              <w:top w:val="nil"/>
              <w:left w:val="nil"/>
              <w:bottom w:val="single" w:color="auto" w:sz="8" w:space="0"/>
              <w:right w:val="single" w:color="auto" w:sz="8" w:space="0"/>
            </w:tcBorders>
            <w:shd w:val="clear" w:color="auto" w:fill="auto"/>
            <w:tcMar>
              <w:left w:w="57" w:type="dxa"/>
              <w:right w:w="57" w:type="dxa"/>
            </w:tcMar>
            <w:vAlign w:val="top"/>
          </w:tcPr>
          <w:p w14:paraId="624602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1.属于国家秘密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48417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E56F4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0799AB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6D322C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0CEACD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157B94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60A4CC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7A067EF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8AB8F6D">
            <w:pPr>
              <w:rPr>
                <w:rFonts w:hint="eastAsia" w:ascii="宋体"/>
                <w:sz w:val="24"/>
                <w:szCs w:val="24"/>
              </w:rPr>
            </w:pPr>
          </w:p>
        </w:tc>
        <w:tc>
          <w:tcPr>
            <w:tcW w:w="93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F0B3937">
            <w:pPr>
              <w:rPr>
                <w:rFonts w:hint="eastAsia" w:ascii="宋体"/>
                <w:sz w:val="24"/>
                <w:szCs w:val="24"/>
              </w:rPr>
            </w:pPr>
          </w:p>
        </w:tc>
        <w:tc>
          <w:tcPr>
            <w:tcW w:w="3204" w:type="dxa"/>
            <w:tcBorders>
              <w:top w:val="nil"/>
              <w:left w:val="nil"/>
              <w:bottom w:val="single" w:color="auto" w:sz="8" w:space="0"/>
              <w:right w:val="single" w:color="auto" w:sz="8" w:space="0"/>
            </w:tcBorders>
            <w:shd w:val="clear" w:color="auto" w:fill="auto"/>
            <w:tcMar>
              <w:left w:w="57" w:type="dxa"/>
              <w:right w:w="57" w:type="dxa"/>
            </w:tcMar>
            <w:vAlign w:val="top"/>
          </w:tcPr>
          <w:p w14:paraId="68880A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2.其他法律行政法规禁止公开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19AE75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D718F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lang w:val="en-US"/>
              </w:rP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5894BD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5BFBE9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10DE10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610D4E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581061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43B2211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D5FB35F">
            <w:pPr>
              <w:rPr>
                <w:rFonts w:hint="eastAsia" w:ascii="宋体"/>
                <w:sz w:val="24"/>
                <w:szCs w:val="24"/>
              </w:rPr>
            </w:pPr>
          </w:p>
        </w:tc>
        <w:tc>
          <w:tcPr>
            <w:tcW w:w="93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A44862B">
            <w:pPr>
              <w:rPr>
                <w:rFonts w:hint="eastAsia" w:ascii="宋体"/>
                <w:sz w:val="24"/>
                <w:szCs w:val="24"/>
              </w:rPr>
            </w:pPr>
          </w:p>
        </w:tc>
        <w:tc>
          <w:tcPr>
            <w:tcW w:w="3204" w:type="dxa"/>
            <w:tcBorders>
              <w:top w:val="nil"/>
              <w:left w:val="nil"/>
              <w:bottom w:val="single" w:color="auto" w:sz="8" w:space="0"/>
              <w:right w:val="single" w:color="auto" w:sz="8" w:space="0"/>
            </w:tcBorders>
            <w:shd w:val="clear" w:color="auto" w:fill="auto"/>
            <w:tcMar>
              <w:left w:w="57" w:type="dxa"/>
              <w:right w:w="57" w:type="dxa"/>
            </w:tcMar>
            <w:vAlign w:val="top"/>
          </w:tcPr>
          <w:p w14:paraId="482C21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3.危及“三安全一稳定”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94DE2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E5547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6574E3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30A4B9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4CE35A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3BC5CF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735DDD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0B28448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4F327BB">
            <w:pPr>
              <w:rPr>
                <w:rFonts w:hint="eastAsia" w:ascii="宋体"/>
                <w:sz w:val="24"/>
                <w:szCs w:val="24"/>
              </w:rPr>
            </w:pPr>
          </w:p>
        </w:tc>
        <w:tc>
          <w:tcPr>
            <w:tcW w:w="93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FF623AF">
            <w:pPr>
              <w:rPr>
                <w:rFonts w:hint="eastAsia" w:ascii="宋体"/>
                <w:sz w:val="24"/>
                <w:szCs w:val="24"/>
              </w:rPr>
            </w:pPr>
          </w:p>
        </w:tc>
        <w:tc>
          <w:tcPr>
            <w:tcW w:w="3204" w:type="dxa"/>
            <w:tcBorders>
              <w:top w:val="nil"/>
              <w:left w:val="nil"/>
              <w:bottom w:val="single" w:color="auto" w:sz="8" w:space="0"/>
              <w:right w:val="single" w:color="auto" w:sz="8" w:space="0"/>
            </w:tcBorders>
            <w:shd w:val="clear" w:color="auto" w:fill="auto"/>
            <w:tcMar>
              <w:left w:w="57" w:type="dxa"/>
              <w:right w:w="57" w:type="dxa"/>
            </w:tcMar>
            <w:vAlign w:val="top"/>
          </w:tcPr>
          <w:p w14:paraId="1357FE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4.保护第三方合法权益</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A9ECA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5C8FA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37E731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4E2ED4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7F5C7E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47CCEF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2FCF04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731D0EE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E55B743">
            <w:pPr>
              <w:rPr>
                <w:rFonts w:hint="eastAsia" w:ascii="宋体"/>
                <w:sz w:val="24"/>
                <w:szCs w:val="24"/>
              </w:rPr>
            </w:pPr>
          </w:p>
        </w:tc>
        <w:tc>
          <w:tcPr>
            <w:tcW w:w="93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EC2AC2C">
            <w:pPr>
              <w:rPr>
                <w:rFonts w:hint="eastAsia" w:ascii="宋体"/>
                <w:sz w:val="24"/>
                <w:szCs w:val="24"/>
              </w:rPr>
            </w:pPr>
          </w:p>
        </w:tc>
        <w:tc>
          <w:tcPr>
            <w:tcW w:w="3204" w:type="dxa"/>
            <w:tcBorders>
              <w:top w:val="nil"/>
              <w:left w:val="nil"/>
              <w:bottom w:val="single" w:color="auto" w:sz="8" w:space="0"/>
              <w:right w:val="single" w:color="auto" w:sz="8" w:space="0"/>
            </w:tcBorders>
            <w:shd w:val="clear" w:color="auto" w:fill="auto"/>
            <w:tcMar>
              <w:left w:w="57" w:type="dxa"/>
              <w:right w:w="57" w:type="dxa"/>
            </w:tcMar>
            <w:vAlign w:val="top"/>
          </w:tcPr>
          <w:p w14:paraId="2B6B7C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5.属于三类内部事务信息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9278B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E5BB7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453D08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4DA09B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31A1FB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570469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6066EA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679E550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A46257F">
            <w:pPr>
              <w:rPr>
                <w:rFonts w:hint="eastAsia" w:ascii="宋体"/>
                <w:sz w:val="24"/>
                <w:szCs w:val="24"/>
              </w:rPr>
            </w:pPr>
          </w:p>
        </w:tc>
        <w:tc>
          <w:tcPr>
            <w:tcW w:w="93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ADAF018">
            <w:pPr>
              <w:rPr>
                <w:rFonts w:hint="eastAsia" w:ascii="宋体"/>
                <w:sz w:val="24"/>
                <w:szCs w:val="24"/>
              </w:rPr>
            </w:pPr>
          </w:p>
        </w:tc>
        <w:tc>
          <w:tcPr>
            <w:tcW w:w="3204" w:type="dxa"/>
            <w:tcBorders>
              <w:top w:val="nil"/>
              <w:left w:val="nil"/>
              <w:bottom w:val="single" w:color="auto" w:sz="8" w:space="0"/>
              <w:right w:val="single" w:color="auto" w:sz="8" w:space="0"/>
            </w:tcBorders>
            <w:shd w:val="clear" w:color="auto" w:fill="auto"/>
            <w:tcMar>
              <w:left w:w="57" w:type="dxa"/>
              <w:right w:w="57" w:type="dxa"/>
            </w:tcMar>
            <w:vAlign w:val="top"/>
          </w:tcPr>
          <w:p w14:paraId="56B106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6.属于四类过程性信息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8CF47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128B14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6F0649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108D01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37620A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0ADB4C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2A36B8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3B38316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65B0BD3">
            <w:pPr>
              <w:rPr>
                <w:rFonts w:hint="eastAsia" w:ascii="宋体"/>
                <w:sz w:val="24"/>
                <w:szCs w:val="24"/>
              </w:rPr>
            </w:pPr>
          </w:p>
        </w:tc>
        <w:tc>
          <w:tcPr>
            <w:tcW w:w="93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C06BDBE">
            <w:pPr>
              <w:rPr>
                <w:rFonts w:hint="eastAsia" w:ascii="宋体"/>
                <w:sz w:val="24"/>
                <w:szCs w:val="24"/>
              </w:rPr>
            </w:pPr>
          </w:p>
        </w:tc>
        <w:tc>
          <w:tcPr>
            <w:tcW w:w="3204" w:type="dxa"/>
            <w:tcBorders>
              <w:top w:val="nil"/>
              <w:left w:val="nil"/>
              <w:bottom w:val="single" w:color="auto" w:sz="8" w:space="0"/>
              <w:right w:val="single" w:color="auto" w:sz="8" w:space="0"/>
            </w:tcBorders>
            <w:shd w:val="clear" w:color="auto" w:fill="auto"/>
            <w:tcMar>
              <w:left w:w="57" w:type="dxa"/>
              <w:right w:w="57" w:type="dxa"/>
            </w:tcMar>
            <w:vAlign w:val="top"/>
          </w:tcPr>
          <w:p w14:paraId="2A3490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7.属于行政执法案卷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40D0E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1BEB6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3734C4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62BB65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63BB24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2ECF2B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2E5750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28638CC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C2AA198">
            <w:pPr>
              <w:rPr>
                <w:rFonts w:hint="eastAsia" w:ascii="宋体"/>
                <w:sz w:val="24"/>
                <w:szCs w:val="24"/>
              </w:rPr>
            </w:pPr>
          </w:p>
        </w:tc>
        <w:tc>
          <w:tcPr>
            <w:tcW w:w="93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065B18B">
            <w:pPr>
              <w:rPr>
                <w:rFonts w:hint="eastAsia" w:ascii="宋体"/>
                <w:sz w:val="24"/>
                <w:szCs w:val="24"/>
              </w:rPr>
            </w:pPr>
          </w:p>
        </w:tc>
        <w:tc>
          <w:tcPr>
            <w:tcW w:w="3204" w:type="dxa"/>
            <w:tcBorders>
              <w:top w:val="nil"/>
              <w:left w:val="nil"/>
              <w:bottom w:val="single" w:color="auto" w:sz="8" w:space="0"/>
              <w:right w:val="single" w:color="auto" w:sz="8" w:space="0"/>
            </w:tcBorders>
            <w:shd w:val="clear" w:color="auto" w:fill="auto"/>
            <w:tcMar>
              <w:left w:w="57" w:type="dxa"/>
              <w:right w:w="57" w:type="dxa"/>
            </w:tcMar>
            <w:vAlign w:val="top"/>
          </w:tcPr>
          <w:p w14:paraId="6D6618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8.属于行政查询事项</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532D4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4740D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7D64D3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40C37B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2FA34C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13B976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37BEF0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5B10EE3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F1062D4">
            <w:pPr>
              <w:rPr>
                <w:rFonts w:hint="eastAsia" w:ascii="宋体"/>
                <w:sz w:val="24"/>
                <w:szCs w:val="24"/>
              </w:rPr>
            </w:pPr>
          </w:p>
        </w:tc>
        <w:tc>
          <w:tcPr>
            <w:tcW w:w="938"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6B4263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rPr>
                <w:rFonts w:hint="eastAsia" w:ascii="Calibri" w:hAnsi="Calibri" w:cs="Calibri"/>
                <w:kern w:val="0"/>
                <w:sz w:val="20"/>
                <w:szCs w:val="20"/>
                <w:lang w:val="en-US" w:eastAsia="zh-CN" w:bidi="ar"/>
              </w:rPr>
            </w:pPr>
            <w:r>
              <w:rPr>
                <w:rFonts w:hint="eastAsia" w:ascii="宋体" w:hAnsi="宋体" w:eastAsia="宋体" w:cs="宋体"/>
                <w:kern w:val="0"/>
                <w:sz w:val="20"/>
                <w:szCs w:val="20"/>
                <w:lang w:val="en-US" w:eastAsia="zh-CN" w:bidi="ar"/>
              </w:rPr>
              <w:t>（四）无法提供</w:t>
            </w:r>
          </w:p>
        </w:tc>
        <w:tc>
          <w:tcPr>
            <w:tcW w:w="3204" w:type="dxa"/>
            <w:tcBorders>
              <w:top w:val="nil"/>
              <w:left w:val="nil"/>
              <w:bottom w:val="single" w:color="auto" w:sz="8" w:space="0"/>
              <w:right w:val="single" w:color="auto" w:sz="8" w:space="0"/>
            </w:tcBorders>
            <w:shd w:val="clear" w:color="auto" w:fill="auto"/>
            <w:tcMar>
              <w:left w:w="57" w:type="dxa"/>
              <w:right w:w="57" w:type="dxa"/>
            </w:tcMar>
            <w:vAlign w:val="top"/>
          </w:tcPr>
          <w:p w14:paraId="2B7B84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1.本机关不掌握相关政府信息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1F0B4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AA7DA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78B179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1D18D4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2CDFC7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7158C9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1F444B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2A48C62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46EC8F8">
            <w:pPr>
              <w:rPr>
                <w:rFonts w:hint="eastAsia" w:ascii="宋体"/>
                <w:sz w:val="24"/>
                <w:szCs w:val="24"/>
              </w:rPr>
            </w:pPr>
          </w:p>
        </w:tc>
        <w:tc>
          <w:tcPr>
            <w:tcW w:w="93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20A2981">
            <w:pPr>
              <w:rPr>
                <w:rFonts w:hint="eastAsia" w:ascii="宋体"/>
                <w:sz w:val="24"/>
                <w:szCs w:val="24"/>
              </w:rPr>
            </w:pPr>
          </w:p>
        </w:tc>
        <w:tc>
          <w:tcPr>
            <w:tcW w:w="3204" w:type="dxa"/>
            <w:tcBorders>
              <w:top w:val="nil"/>
              <w:left w:val="nil"/>
              <w:bottom w:val="single" w:color="auto" w:sz="8" w:space="0"/>
              <w:right w:val="single" w:color="auto" w:sz="8" w:space="0"/>
            </w:tcBorders>
            <w:shd w:val="clear" w:color="auto" w:fill="auto"/>
            <w:tcMar>
              <w:left w:w="57" w:type="dxa"/>
              <w:right w:w="57" w:type="dxa"/>
            </w:tcMar>
            <w:vAlign w:val="top"/>
          </w:tcPr>
          <w:p w14:paraId="40A137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2.没有现成信息需要另行制作</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D4EAA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06B74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10CA28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7EE280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7B43B6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6368C2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23984F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32821A3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1FF6AF2">
            <w:pPr>
              <w:rPr>
                <w:rFonts w:hint="eastAsia" w:ascii="宋体"/>
                <w:sz w:val="24"/>
                <w:szCs w:val="24"/>
              </w:rPr>
            </w:pPr>
          </w:p>
        </w:tc>
        <w:tc>
          <w:tcPr>
            <w:tcW w:w="93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F0AD89C">
            <w:pPr>
              <w:rPr>
                <w:rFonts w:hint="eastAsia" w:ascii="宋体"/>
                <w:sz w:val="24"/>
                <w:szCs w:val="24"/>
              </w:rPr>
            </w:pPr>
          </w:p>
        </w:tc>
        <w:tc>
          <w:tcPr>
            <w:tcW w:w="3204" w:type="dxa"/>
            <w:tcBorders>
              <w:top w:val="nil"/>
              <w:left w:val="nil"/>
              <w:bottom w:val="single" w:color="auto" w:sz="8" w:space="0"/>
              <w:right w:val="single" w:color="auto" w:sz="8" w:space="0"/>
            </w:tcBorders>
            <w:shd w:val="clear" w:color="auto" w:fill="auto"/>
            <w:tcMar>
              <w:left w:w="57" w:type="dxa"/>
              <w:right w:w="57" w:type="dxa"/>
            </w:tcMar>
            <w:vAlign w:val="top"/>
          </w:tcPr>
          <w:p w14:paraId="743C02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3.补正后申请内容仍不明确</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64AA5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9B387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3654E5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458443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00BF4E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228BEE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53BDA1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61F9405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AE3C2A6">
            <w:pPr>
              <w:rPr>
                <w:rFonts w:hint="eastAsia" w:ascii="宋体"/>
                <w:sz w:val="24"/>
                <w:szCs w:val="24"/>
              </w:rPr>
            </w:pPr>
          </w:p>
        </w:tc>
        <w:tc>
          <w:tcPr>
            <w:tcW w:w="938"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65BB61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rPr>
                <w:rFonts w:hint="eastAsia" w:ascii="Calibri" w:hAnsi="Calibri" w:cs="Calibri"/>
                <w:kern w:val="0"/>
                <w:sz w:val="20"/>
                <w:szCs w:val="20"/>
                <w:lang w:val="en-US" w:eastAsia="zh-CN" w:bidi="ar"/>
              </w:rPr>
            </w:pPr>
            <w:r>
              <w:rPr>
                <w:rFonts w:hint="eastAsia" w:ascii="宋体" w:hAnsi="宋体" w:eastAsia="宋体" w:cs="宋体"/>
                <w:kern w:val="0"/>
                <w:sz w:val="20"/>
                <w:szCs w:val="20"/>
                <w:lang w:val="en-US" w:eastAsia="zh-CN" w:bidi="ar"/>
              </w:rPr>
              <w:t>（五）不予处理</w:t>
            </w:r>
          </w:p>
        </w:tc>
        <w:tc>
          <w:tcPr>
            <w:tcW w:w="3204" w:type="dxa"/>
            <w:tcBorders>
              <w:top w:val="nil"/>
              <w:left w:val="nil"/>
              <w:bottom w:val="single" w:color="auto" w:sz="8" w:space="0"/>
              <w:right w:val="single" w:color="auto" w:sz="8" w:space="0"/>
            </w:tcBorders>
            <w:shd w:val="clear" w:color="auto" w:fill="auto"/>
            <w:tcMar>
              <w:left w:w="57" w:type="dxa"/>
              <w:right w:w="57" w:type="dxa"/>
            </w:tcMar>
            <w:vAlign w:val="top"/>
          </w:tcPr>
          <w:p w14:paraId="700B4E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1.信访举报投诉类申请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109F2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85355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347206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212DD2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7AA442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71A4BB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387CFC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419AD4E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E8EF02B">
            <w:pPr>
              <w:rPr>
                <w:rFonts w:hint="eastAsia" w:ascii="宋体"/>
                <w:sz w:val="24"/>
                <w:szCs w:val="24"/>
              </w:rPr>
            </w:pPr>
          </w:p>
        </w:tc>
        <w:tc>
          <w:tcPr>
            <w:tcW w:w="93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EE24A5D">
            <w:pPr>
              <w:rPr>
                <w:rFonts w:hint="eastAsia" w:ascii="宋体"/>
                <w:sz w:val="24"/>
                <w:szCs w:val="24"/>
              </w:rPr>
            </w:pPr>
          </w:p>
        </w:tc>
        <w:tc>
          <w:tcPr>
            <w:tcW w:w="3204" w:type="dxa"/>
            <w:tcBorders>
              <w:top w:val="nil"/>
              <w:left w:val="nil"/>
              <w:bottom w:val="single" w:color="auto" w:sz="8" w:space="0"/>
              <w:right w:val="single" w:color="auto" w:sz="8" w:space="0"/>
            </w:tcBorders>
            <w:shd w:val="clear" w:color="auto" w:fill="auto"/>
            <w:tcMar>
              <w:left w:w="57" w:type="dxa"/>
              <w:right w:w="57" w:type="dxa"/>
            </w:tcMar>
            <w:vAlign w:val="top"/>
          </w:tcPr>
          <w:p w14:paraId="754243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2.重复申请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1F4769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7871D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129311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5BDE37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2C4501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1F6A59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2E310A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0AA4C91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BC9B50A">
            <w:pPr>
              <w:rPr>
                <w:rFonts w:hint="eastAsia" w:ascii="宋体"/>
                <w:sz w:val="24"/>
                <w:szCs w:val="24"/>
              </w:rPr>
            </w:pPr>
          </w:p>
        </w:tc>
        <w:tc>
          <w:tcPr>
            <w:tcW w:w="93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AD94AA6">
            <w:pPr>
              <w:rPr>
                <w:rFonts w:hint="eastAsia" w:ascii="宋体"/>
                <w:sz w:val="24"/>
                <w:szCs w:val="24"/>
              </w:rPr>
            </w:pPr>
          </w:p>
        </w:tc>
        <w:tc>
          <w:tcPr>
            <w:tcW w:w="3204" w:type="dxa"/>
            <w:tcBorders>
              <w:top w:val="nil"/>
              <w:left w:val="nil"/>
              <w:bottom w:val="single" w:color="auto" w:sz="8" w:space="0"/>
              <w:right w:val="single" w:color="auto" w:sz="8" w:space="0"/>
            </w:tcBorders>
            <w:shd w:val="clear" w:color="auto" w:fill="auto"/>
            <w:tcMar>
              <w:left w:w="57" w:type="dxa"/>
              <w:right w:w="57" w:type="dxa"/>
            </w:tcMar>
            <w:vAlign w:val="top"/>
          </w:tcPr>
          <w:p w14:paraId="364F77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3.要求提供公开出版物</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840AB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1BF63E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51E0B5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40E85E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537E48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49C8FB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30FD5A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6671BE0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0A6B6DD">
            <w:pPr>
              <w:rPr>
                <w:rFonts w:hint="eastAsia" w:ascii="宋体"/>
                <w:sz w:val="24"/>
                <w:szCs w:val="24"/>
              </w:rPr>
            </w:pPr>
          </w:p>
        </w:tc>
        <w:tc>
          <w:tcPr>
            <w:tcW w:w="93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5072DE8">
            <w:pPr>
              <w:rPr>
                <w:rFonts w:hint="eastAsia" w:ascii="宋体"/>
                <w:sz w:val="24"/>
                <w:szCs w:val="24"/>
              </w:rPr>
            </w:pPr>
          </w:p>
        </w:tc>
        <w:tc>
          <w:tcPr>
            <w:tcW w:w="3204" w:type="dxa"/>
            <w:tcBorders>
              <w:top w:val="nil"/>
              <w:left w:val="nil"/>
              <w:bottom w:val="single" w:color="auto" w:sz="8" w:space="0"/>
              <w:right w:val="single" w:color="auto" w:sz="8" w:space="0"/>
            </w:tcBorders>
            <w:shd w:val="clear" w:color="auto" w:fill="auto"/>
            <w:tcMar>
              <w:left w:w="57" w:type="dxa"/>
              <w:right w:w="57" w:type="dxa"/>
            </w:tcMar>
            <w:vAlign w:val="top"/>
          </w:tcPr>
          <w:p w14:paraId="30A48F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4.无正当理由大量反复申请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90032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169719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536346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6F095C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7AA2B9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top"/>
          </w:tcPr>
          <w:p w14:paraId="020148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733472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28AABA4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74A2BCA">
            <w:pPr>
              <w:rPr>
                <w:rFonts w:hint="eastAsia" w:ascii="宋体"/>
                <w:sz w:val="24"/>
                <w:szCs w:val="24"/>
              </w:rPr>
            </w:pPr>
          </w:p>
        </w:tc>
        <w:tc>
          <w:tcPr>
            <w:tcW w:w="938"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37A214D">
            <w:pPr>
              <w:rPr>
                <w:rFonts w:hint="eastAsia" w:ascii="宋体"/>
                <w:sz w:val="24"/>
                <w:szCs w:val="24"/>
              </w:rPr>
            </w:pPr>
          </w:p>
        </w:tc>
        <w:tc>
          <w:tcPr>
            <w:tcW w:w="3204" w:type="dxa"/>
            <w:tcBorders>
              <w:top w:val="nil"/>
              <w:left w:val="nil"/>
              <w:bottom w:val="outset" w:color="auto" w:sz="8" w:space="0"/>
              <w:right w:val="single" w:color="auto" w:sz="8" w:space="0"/>
            </w:tcBorders>
            <w:shd w:val="clear" w:color="auto" w:fill="auto"/>
            <w:tcMar>
              <w:left w:w="57" w:type="dxa"/>
              <w:right w:w="57" w:type="dxa"/>
            </w:tcMar>
            <w:vAlign w:val="center"/>
          </w:tcPr>
          <w:p w14:paraId="386642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both"/>
            </w:pPr>
            <w:r>
              <w:rPr>
                <w:rFonts w:hint="eastAsia" w:ascii="宋体" w:hAnsi="宋体" w:eastAsia="宋体" w:cs="宋体"/>
                <w:kern w:val="0"/>
                <w:sz w:val="20"/>
                <w:szCs w:val="20"/>
                <w:lang w:val="en-US" w:eastAsia="zh-CN" w:bidi="ar"/>
              </w:rPr>
              <w:t>5.要求行政机关确认或重新出具已获取信息</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14:paraId="6F7271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14:paraId="039A19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outset" w:color="auto" w:sz="8" w:space="0"/>
              <w:right w:val="single" w:color="auto" w:sz="8" w:space="0"/>
            </w:tcBorders>
            <w:shd w:val="clear" w:color="auto" w:fill="auto"/>
            <w:tcMar>
              <w:left w:w="57" w:type="dxa"/>
              <w:right w:w="57" w:type="dxa"/>
            </w:tcMar>
            <w:vAlign w:val="center"/>
          </w:tcPr>
          <w:p w14:paraId="015B99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outset" w:color="auto" w:sz="8" w:space="0"/>
              <w:right w:val="single" w:color="auto" w:sz="8" w:space="0"/>
            </w:tcBorders>
            <w:shd w:val="clear" w:color="auto" w:fill="auto"/>
            <w:tcMar>
              <w:left w:w="57" w:type="dxa"/>
              <w:right w:w="57" w:type="dxa"/>
            </w:tcMar>
            <w:vAlign w:val="center"/>
          </w:tcPr>
          <w:p w14:paraId="18EBD8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outset" w:color="auto" w:sz="8" w:space="0"/>
              <w:right w:val="single" w:color="auto" w:sz="8" w:space="0"/>
            </w:tcBorders>
            <w:shd w:val="clear" w:color="auto" w:fill="auto"/>
            <w:tcMar>
              <w:left w:w="57" w:type="dxa"/>
              <w:right w:w="57" w:type="dxa"/>
            </w:tcMar>
            <w:vAlign w:val="center"/>
          </w:tcPr>
          <w:p w14:paraId="347152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outset" w:color="auto" w:sz="8" w:space="0"/>
              <w:right w:val="single" w:color="auto" w:sz="8" w:space="0"/>
            </w:tcBorders>
            <w:shd w:val="clear" w:color="auto" w:fill="auto"/>
            <w:tcMar>
              <w:left w:w="57" w:type="dxa"/>
              <w:right w:w="57" w:type="dxa"/>
            </w:tcMar>
            <w:vAlign w:val="center"/>
          </w:tcPr>
          <w:p w14:paraId="1A8084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outset" w:color="auto" w:sz="8" w:space="0"/>
              <w:right w:val="single" w:color="auto" w:sz="8" w:space="0"/>
            </w:tcBorders>
            <w:shd w:val="clear" w:color="auto" w:fill="auto"/>
            <w:tcMar>
              <w:left w:w="57" w:type="dxa"/>
              <w:right w:w="57" w:type="dxa"/>
            </w:tcMar>
            <w:vAlign w:val="center"/>
          </w:tcPr>
          <w:p w14:paraId="6B39BE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5340EE9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A27A4D0">
            <w:pPr>
              <w:rPr>
                <w:rFonts w:hint="eastAsia" w:ascii="宋体"/>
                <w:sz w:val="24"/>
                <w:szCs w:val="24"/>
              </w:rPr>
            </w:pPr>
          </w:p>
        </w:tc>
        <w:tc>
          <w:tcPr>
            <w:tcW w:w="938"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43BDAF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rPr>
                <w:rFonts w:hint="eastAsia" w:ascii="Calibri" w:hAnsi="Calibri" w:cs="Calibri"/>
                <w:kern w:val="0"/>
                <w:sz w:val="20"/>
                <w:szCs w:val="20"/>
                <w:lang w:val="en-US" w:eastAsia="zh-CN" w:bidi="ar"/>
              </w:rPr>
            </w:pPr>
            <w:r>
              <w:rPr>
                <w:rFonts w:hint="eastAsia" w:ascii="宋体" w:hAnsi="宋体" w:eastAsia="宋体" w:cs="宋体"/>
                <w:kern w:val="0"/>
                <w:sz w:val="20"/>
                <w:szCs w:val="20"/>
                <w:lang w:val="en-US" w:eastAsia="zh-CN" w:bidi="ar"/>
              </w:rPr>
              <w:t>（六）其他处理</w:t>
            </w:r>
          </w:p>
        </w:tc>
        <w:tc>
          <w:tcPr>
            <w:tcW w:w="3204" w:type="dxa"/>
            <w:tcBorders>
              <w:top w:val="nil"/>
              <w:left w:val="nil"/>
              <w:bottom w:val="single" w:color="auto" w:sz="8" w:space="0"/>
              <w:right w:val="single" w:color="auto" w:sz="8" w:space="0"/>
            </w:tcBorders>
            <w:shd w:val="clear" w:color="auto" w:fill="auto"/>
            <w:tcMar>
              <w:left w:w="57" w:type="dxa"/>
              <w:right w:w="57" w:type="dxa"/>
            </w:tcMar>
            <w:vAlign w:val="center"/>
          </w:tcPr>
          <w:p w14:paraId="362140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D1E9D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3A059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5C1D16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4E6B34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6FC864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6C1035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center"/>
          </w:tcPr>
          <w:p w14:paraId="753D1B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6F3C4A0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5902E97">
            <w:pPr>
              <w:rPr>
                <w:rFonts w:hint="eastAsia" w:ascii="宋体"/>
                <w:sz w:val="24"/>
                <w:szCs w:val="24"/>
              </w:rPr>
            </w:pPr>
          </w:p>
        </w:tc>
        <w:tc>
          <w:tcPr>
            <w:tcW w:w="938"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77789DEF">
            <w:pPr>
              <w:rPr>
                <w:rFonts w:hint="eastAsia" w:ascii="宋体"/>
                <w:sz w:val="24"/>
                <w:szCs w:val="24"/>
              </w:rPr>
            </w:pPr>
          </w:p>
        </w:tc>
        <w:tc>
          <w:tcPr>
            <w:tcW w:w="3204" w:type="dxa"/>
            <w:tcBorders>
              <w:top w:val="nil"/>
              <w:left w:val="nil"/>
              <w:bottom w:val="single" w:color="auto" w:sz="8" w:space="0"/>
              <w:right w:val="single" w:color="auto" w:sz="8" w:space="0"/>
            </w:tcBorders>
            <w:shd w:val="clear" w:color="auto" w:fill="auto"/>
            <w:tcMar>
              <w:left w:w="57" w:type="dxa"/>
              <w:right w:w="57" w:type="dxa"/>
            </w:tcMar>
            <w:vAlign w:val="center"/>
          </w:tcPr>
          <w:p w14:paraId="6B12D9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4E96A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EF8EC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03B7F6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00A7BA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6233CC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7683D3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center"/>
          </w:tcPr>
          <w:p w14:paraId="26F476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47710C5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5BE1413">
            <w:pPr>
              <w:rPr>
                <w:rFonts w:hint="eastAsia" w:ascii="宋体"/>
                <w:sz w:val="24"/>
                <w:szCs w:val="24"/>
              </w:rPr>
            </w:pPr>
          </w:p>
        </w:tc>
        <w:tc>
          <w:tcPr>
            <w:tcW w:w="938"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1EE66E76">
            <w:pPr>
              <w:rPr>
                <w:rFonts w:hint="eastAsia" w:ascii="宋体"/>
                <w:sz w:val="24"/>
                <w:szCs w:val="24"/>
              </w:rPr>
            </w:pPr>
          </w:p>
        </w:tc>
        <w:tc>
          <w:tcPr>
            <w:tcW w:w="3204" w:type="dxa"/>
            <w:tcBorders>
              <w:top w:val="nil"/>
              <w:left w:val="nil"/>
              <w:bottom w:val="single" w:color="auto" w:sz="8" w:space="0"/>
              <w:right w:val="single" w:color="auto" w:sz="8" w:space="0"/>
            </w:tcBorders>
            <w:shd w:val="clear" w:color="auto" w:fill="auto"/>
            <w:tcMar>
              <w:left w:w="57" w:type="dxa"/>
              <w:right w:w="57" w:type="dxa"/>
            </w:tcMar>
            <w:vAlign w:val="center"/>
          </w:tcPr>
          <w:p w14:paraId="1316D6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3.其他</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91313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ECBAF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460D64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1D22D3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4A6004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6F2D0E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76A3BA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1F11B63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3"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E2C70F9">
            <w:pPr>
              <w:rPr>
                <w:rFonts w:hint="eastAsia" w:ascii="宋体"/>
                <w:sz w:val="24"/>
                <w:szCs w:val="24"/>
              </w:rPr>
            </w:pPr>
          </w:p>
        </w:tc>
        <w:tc>
          <w:tcPr>
            <w:tcW w:w="414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24A083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（七）总计</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88370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36290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4EEE11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57653E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4E18DD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4429D2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1CF459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2BAB852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03096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四、结转下年度继续办理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FBC5E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1E0EC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53F576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3D3F21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4E2221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2" w:type="dxa"/>
            <w:tcBorders>
              <w:top w:val="nil"/>
              <w:left w:val="nil"/>
              <w:bottom w:val="single" w:color="auto" w:sz="8" w:space="0"/>
              <w:right w:val="single" w:color="auto" w:sz="8" w:space="0"/>
            </w:tcBorders>
            <w:shd w:val="clear" w:color="auto" w:fill="auto"/>
            <w:tcMar>
              <w:left w:w="57" w:type="dxa"/>
              <w:right w:w="57" w:type="dxa"/>
            </w:tcMar>
            <w:vAlign w:val="center"/>
          </w:tcPr>
          <w:p w14:paraId="57D0CE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93" w:type="dxa"/>
            <w:tcBorders>
              <w:top w:val="nil"/>
              <w:left w:val="nil"/>
              <w:bottom w:val="single" w:color="auto" w:sz="8" w:space="0"/>
              <w:right w:val="single" w:color="auto" w:sz="8" w:space="0"/>
            </w:tcBorders>
            <w:shd w:val="clear" w:color="auto" w:fill="auto"/>
            <w:tcMar>
              <w:left w:w="57" w:type="dxa"/>
              <w:right w:w="57" w:type="dxa"/>
            </w:tcMar>
            <w:vAlign w:val="top"/>
          </w:tcPr>
          <w:p w14:paraId="5F2C965A">
            <w:pPr>
              <w:jc w:val="center"/>
              <w:rPr>
                <w:rFonts w:hint="eastAsia" w:ascii="宋体"/>
                <w:sz w:val="24"/>
                <w:szCs w:val="24"/>
              </w:rPr>
            </w:pPr>
            <w:r>
              <w:rPr>
                <w:rFonts w:hint="eastAsia" w:ascii="Calibri" w:hAnsi="Calibri" w:cs="Calibri"/>
                <w:kern w:val="0"/>
                <w:sz w:val="20"/>
                <w:szCs w:val="20"/>
                <w:lang w:val="en-US" w:eastAsia="zh-CN" w:bidi="ar"/>
              </w:rPr>
              <w:t>0</w:t>
            </w:r>
          </w:p>
        </w:tc>
      </w:tr>
    </w:tbl>
    <w:p w14:paraId="43F7444F">
      <w:pPr>
        <w:keepNext w:val="0"/>
        <w:keepLines w:val="0"/>
        <w:pageBreakBefore w:val="0"/>
        <w:kinsoku/>
        <w:wordWrap/>
        <w:overflowPunct/>
        <w:topLinePunct w:val="0"/>
        <w:autoSpaceDE/>
        <w:autoSpaceDN/>
        <w:bidi w:val="0"/>
        <w:adjustRightInd/>
        <w:snapToGrid/>
        <w:spacing w:line="560" w:lineRule="exact"/>
        <w:jc w:val="both"/>
        <w:textAlignment w:val="auto"/>
        <w:rPr>
          <w:rFonts w:hint="eastAsia" w:ascii="黑体" w:hAnsi="黑体" w:eastAsia="黑体" w:cs="黑体"/>
          <w:sz w:val="30"/>
          <w:szCs w:val="30"/>
          <w:lang w:val="en-US" w:eastAsia="zh-CN"/>
        </w:rPr>
      </w:pPr>
    </w:p>
    <w:p w14:paraId="672B7642">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eastAsia" w:ascii="黑体" w:hAnsi="黑体" w:eastAsia="黑体" w:cs="黑体"/>
          <w:sz w:val="30"/>
          <w:szCs w:val="30"/>
          <w:lang w:val="en-US" w:eastAsia="zh-CN"/>
        </w:rPr>
      </w:pPr>
    </w:p>
    <w:p w14:paraId="3765C9AC">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sz w:val="30"/>
          <w:szCs w:val="30"/>
          <w:lang w:val="en-US" w:eastAsia="zh-CN"/>
        </w:rPr>
        <w:t>四、政府信息公开行政复议、行政诉讼情况</w:t>
      </w: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4C515D7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86CD5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BA75F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5B21B48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21E6C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63815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31D83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1BFA8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D5DD3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D42AC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FBA82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4230C2C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7DFC415">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CF273B0">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C330AD2">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38B5C61">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0347E8C">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E1679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0614D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93781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0BF8F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FC87C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33117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728BE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2822A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6CE5A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59526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3F6905D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6E9B7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69F2F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946CB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8BFA3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41F55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1A2B2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F94ED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9CA14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0E30E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9C794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992C9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C2696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9BFF7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FED3D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177293F">
            <w:pPr>
              <w:rPr>
                <w:rFonts w:hint="eastAsia" w:ascii="宋体"/>
                <w:sz w:val="24"/>
                <w:szCs w:val="24"/>
              </w:rPr>
            </w:pPr>
            <w:r>
              <w:rPr>
                <w:rFonts w:hint="eastAsia" w:ascii="黑体" w:hAnsi="宋体" w:eastAsia="黑体" w:cs="黑体"/>
                <w:kern w:val="0"/>
                <w:sz w:val="20"/>
                <w:szCs w:val="20"/>
                <w:lang w:val="en-US" w:eastAsia="zh-CN" w:bidi="ar"/>
              </w:rPr>
              <w:t>0</w:t>
            </w:r>
          </w:p>
        </w:tc>
      </w:tr>
    </w:tbl>
    <w:p w14:paraId="64AA2EE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rPr>
      </w:pPr>
      <w:r>
        <w:rPr>
          <w:rFonts w:hint="eastAsia" w:ascii="黑体" w:hAnsi="黑体" w:eastAsia="黑体" w:cs="黑体"/>
          <w:b w:val="0"/>
          <w:bCs w:val="0"/>
          <w:i w:val="0"/>
          <w:iCs w:val="0"/>
          <w:caps w:val="0"/>
          <w:color w:val="333333"/>
          <w:spacing w:val="0"/>
          <w:sz w:val="30"/>
          <w:szCs w:val="30"/>
          <w:shd w:val="clear" w:fill="FFFFFF"/>
        </w:rPr>
        <w:t>五、存在的主要问题及改进情况</w:t>
      </w:r>
    </w:p>
    <w:p w14:paraId="689B472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firstLine="600" w:firstLineChars="200"/>
        <w:jc w:val="both"/>
        <w:textAlignment w:val="auto"/>
        <w:rPr>
          <w:rFonts w:hint="eastAsia" w:ascii="仿宋_GB2312" w:hAnsi="仿宋_GB2312" w:eastAsia="仿宋_GB2312" w:cs="仿宋_GB2312"/>
          <w:kern w:val="2"/>
          <w:sz w:val="30"/>
          <w:szCs w:val="30"/>
          <w:highlight w:val="none"/>
          <w:lang w:val="en-US" w:eastAsia="zh-CN" w:bidi="ar-SA"/>
        </w:rPr>
      </w:pPr>
      <w:r>
        <w:rPr>
          <w:rFonts w:hint="eastAsia" w:ascii="仿宋_GB2312" w:hAnsi="仿宋_GB2312" w:eastAsia="仿宋_GB2312" w:cs="仿宋_GB2312"/>
          <w:kern w:val="2"/>
          <w:sz w:val="30"/>
          <w:szCs w:val="30"/>
          <w:highlight w:val="none"/>
          <w:lang w:val="en-US" w:eastAsia="zh-CN" w:bidi="ar-SA"/>
        </w:rPr>
        <w:t>尽管我街道政府信息公开工作取得阶段性成效，但对照高质量发展要求仍存在短板弱项：一是公开内容覆盖面较窄，部分信息发布时效性不足；二是公开渠道载体较为单一，信息传播力与利用率有待提升；三是工作人员理论学习深度和广度不够，业务能力尚有提升空间。</w:t>
      </w:r>
    </w:p>
    <w:p w14:paraId="0403332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firstLine="600" w:firstLineChars="200"/>
        <w:jc w:val="both"/>
        <w:textAlignment w:val="auto"/>
        <w:rPr>
          <w:rFonts w:hint="eastAsia" w:ascii="仿宋_GB2312" w:hAnsi="仿宋_GB2312" w:eastAsia="仿宋_GB2312" w:cs="仿宋_GB2312"/>
          <w:kern w:val="2"/>
          <w:sz w:val="30"/>
          <w:szCs w:val="30"/>
          <w:highlight w:val="none"/>
          <w:lang w:val="en-US" w:eastAsia="zh-CN" w:bidi="ar-SA"/>
        </w:rPr>
      </w:pPr>
      <w:r>
        <w:rPr>
          <w:rFonts w:hint="eastAsia" w:ascii="仿宋_GB2312" w:hAnsi="仿宋_GB2312" w:eastAsia="仿宋_GB2312" w:cs="仿宋_GB2312"/>
          <w:kern w:val="2"/>
          <w:sz w:val="30"/>
          <w:szCs w:val="30"/>
          <w:highlight w:val="none"/>
          <w:lang w:val="en-US" w:eastAsia="zh-CN" w:bidi="ar-SA"/>
        </w:rPr>
        <w:t>针对以上问题，2026年宁北街道将重点做好以下工作：</w:t>
      </w:r>
    </w:p>
    <w:p w14:paraId="42A408A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firstLine="600" w:firstLineChars="200"/>
        <w:jc w:val="both"/>
        <w:textAlignment w:val="auto"/>
        <w:rPr>
          <w:rFonts w:hint="eastAsia" w:ascii="仿宋_GB2312" w:hAnsi="仿宋_GB2312" w:eastAsia="仿宋_GB2312" w:cs="仿宋_GB2312"/>
          <w:kern w:val="2"/>
          <w:sz w:val="30"/>
          <w:szCs w:val="30"/>
          <w:highlight w:val="none"/>
          <w:lang w:val="en-US" w:eastAsia="zh-CN" w:bidi="ar-SA"/>
        </w:rPr>
      </w:pPr>
      <w:r>
        <w:rPr>
          <w:rFonts w:hint="eastAsia" w:ascii="楷体_GB2312" w:hAnsi="楷体_GB2312" w:eastAsia="楷体_GB2312" w:cs="楷体_GB2312"/>
          <w:kern w:val="2"/>
          <w:sz w:val="30"/>
          <w:szCs w:val="30"/>
          <w:highlight w:val="none"/>
          <w:lang w:val="en-US" w:eastAsia="zh-CN" w:bidi="ar-SA"/>
        </w:rPr>
        <w:t>（一）健全政务公开平台精细化管理机制。</w:t>
      </w:r>
      <w:r>
        <w:rPr>
          <w:rFonts w:hint="eastAsia" w:ascii="仿宋_GB2312" w:hAnsi="仿宋_GB2312" w:eastAsia="仿宋_GB2312" w:cs="仿宋_GB2312"/>
          <w:kern w:val="2"/>
          <w:sz w:val="30"/>
          <w:szCs w:val="30"/>
          <w:highlight w:val="none"/>
          <w:lang w:val="en-US" w:eastAsia="zh-CN" w:bidi="ar-SA"/>
        </w:rPr>
        <w:t>通过建立台账、动态跟踪、多方联动、督查问效等举措，保障公开平台规范高效运行。同时聚焦工作亮点，深挖典型案例，拓展信息公开的广度与深度。</w:t>
      </w:r>
    </w:p>
    <w:p w14:paraId="73EF817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firstLine="600" w:firstLineChars="200"/>
        <w:jc w:val="both"/>
        <w:textAlignment w:val="auto"/>
        <w:rPr>
          <w:rFonts w:hint="eastAsia" w:ascii="仿宋_GB2312" w:hAnsi="仿宋_GB2312" w:eastAsia="仿宋_GB2312" w:cs="仿宋_GB2312"/>
          <w:kern w:val="2"/>
          <w:sz w:val="30"/>
          <w:szCs w:val="30"/>
          <w:highlight w:val="none"/>
          <w:lang w:val="en-US" w:eastAsia="zh-CN" w:bidi="ar-SA"/>
        </w:rPr>
      </w:pPr>
      <w:r>
        <w:rPr>
          <w:rFonts w:hint="eastAsia" w:ascii="楷体_GB2312" w:hAnsi="楷体_GB2312" w:eastAsia="楷体_GB2312" w:cs="楷体_GB2312"/>
          <w:kern w:val="2"/>
          <w:sz w:val="30"/>
          <w:szCs w:val="30"/>
          <w:highlight w:val="none"/>
          <w:lang w:val="en-US" w:eastAsia="zh-CN" w:bidi="ar-SA"/>
        </w:rPr>
        <w:t>（二）丰富政府信息公开内容与传播渠道。</w:t>
      </w:r>
      <w:r>
        <w:rPr>
          <w:rFonts w:hint="eastAsia" w:ascii="仿宋_GB2312" w:hAnsi="仿宋_GB2312" w:eastAsia="仿宋_GB2312" w:cs="仿宋_GB2312"/>
          <w:kern w:val="2"/>
          <w:sz w:val="30"/>
          <w:szCs w:val="30"/>
          <w:highlight w:val="none"/>
          <w:lang w:val="en-US" w:eastAsia="zh-CN" w:bidi="ar-SA"/>
        </w:rPr>
        <w:t>优化公开栏目设置，完善公开指南，拓宽信息来源渠道，充实公开内容。综合运用电话、网络、标语、宣传栏等多种载体，强化信息互通共享，切实提升信息利用率。</w:t>
      </w:r>
    </w:p>
    <w:p w14:paraId="6D1EC23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firstLine="600" w:firstLineChars="200"/>
        <w:jc w:val="both"/>
        <w:textAlignment w:val="auto"/>
        <w:rPr>
          <w:rFonts w:hint="eastAsia" w:ascii="仿宋_GB2312" w:hAnsi="仿宋_GB2312" w:eastAsia="仿宋_GB2312" w:cs="仿宋_GB2312"/>
          <w:kern w:val="2"/>
          <w:sz w:val="30"/>
          <w:szCs w:val="30"/>
          <w:highlight w:val="none"/>
          <w:lang w:val="en-US" w:eastAsia="zh-CN" w:bidi="ar-SA"/>
        </w:rPr>
      </w:pPr>
      <w:r>
        <w:rPr>
          <w:rFonts w:hint="eastAsia" w:ascii="楷体_GB2312" w:hAnsi="楷体_GB2312" w:eastAsia="楷体_GB2312" w:cs="楷体_GB2312"/>
          <w:kern w:val="2"/>
          <w:sz w:val="30"/>
          <w:szCs w:val="30"/>
          <w:highlight w:val="none"/>
          <w:lang w:val="en-US" w:eastAsia="zh-CN" w:bidi="ar-SA"/>
        </w:rPr>
        <w:t>（三）强化政务公开工作队伍建设。</w:t>
      </w:r>
      <w:r>
        <w:rPr>
          <w:rFonts w:hint="eastAsia" w:ascii="仿宋_GB2312" w:hAnsi="仿宋_GB2312" w:eastAsia="仿宋_GB2312" w:cs="仿宋_GB2312"/>
          <w:kern w:val="2"/>
          <w:sz w:val="30"/>
          <w:szCs w:val="30"/>
          <w:highlight w:val="none"/>
          <w:lang w:val="en-US" w:eastAsia="zh-CN" w:bidi="ar-SA"/>
        </w:rPr>
        <w:t>采取点对点精准指导与集中培训相结合的方式，压实各部门工作责任，提升工作人员专业素养与业务能力，推动全街道政务公开工作提质增效。</w:t>
      </w:r>
    </w:p>
    <w:p w14:paraId="0AB8E59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rPr>
      </w:pPr>
      <w:r>
        <w:rPr>
          <w:rFonts w:hint="eastAsia" w:ascii="黑体" w:hAnsi="黑体" w:eastAsia="黑体" w:cs="黑体"/>
          <w:b w:val="0"/>
          <w:bCs w:val="0"/>
          <w:i w:val="0"/>
          <w:iCs w:val="0"/>
          <w:caps w:val="0"/>
          <w:color w:val="333333"/>
          <w:spacing w:val="0"/>
          <w:sz w:val="30"/>
          <w:szCs w:val="30"/>
          <w:shd w:val="clear" w:fill="FFFFFF"/>
        </w:rPr>
        <w:t>六、其他需要报告的事项</w:t>
      </w:r>
    </w:p>
    <w:p w14:paraId="7D4FDA2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20" w:lineRule="exact"/>
        <w:ind w:right="0" w:firstLine="600" w:firstLineChars="200"/>
        <w:jc w:val="both"/>
        <w:textAlignment w:val="auto"/>
        <w:rPr>
          <w:rFonts w:hint="default" w:ascii="仿宋_GB2312" w:hAnsi="仿宋_GB2312" w:eastAsia="仿宋_GB2312" w:cs="仿宋_GB2312"/>
          <w:kern w:val="2"/>
          <w:sz w:val="30"/>
          <w:szCs w:val="30"/>
          <w:lang w:val="en-US" w:eastAsia="zh-CN" w:bidi="ar-SA"/>
        </w:rPr>
      </w:pPr>
      <w:r>
        <w:rPr>
          <w:rFonts w:hint="eastAsia" w:ascii="仿宋_GB2312" w:hAnsi="仿宋_GB2312" w:eastAsia="仿宋_GB2312" w:cs="仿宋_GB2312"/>
          <w:kern w:val="2"/>
          <w:sz w:val="30"/>
          <w:szCs w:val="30"/>
          <w:lang w:val="en-US" w:eastAsia="zh-CN" w:bidi="ar-SA"/>
        </w:rPr>
        <w:t>2025年，宁北街道办事处没有收取信息处理费，无其他需要报告事项。</w:t>
      </w:r>
    </w:p>
    <w:p w14:paraId="1C08721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QyODQ4M2E5MTJjMmI5MWNmMzZkOTBjNmY4NWJjMzMifQ=="/>
  </w:docVars>
  <w:rsids>
    <w:rsidRoot w:val="063977E7"/>
    <w:rsid w:val="025A704C"/>
    <w:rsid w:val="063977E7"/>
    <w:rsid w:val="0D2F01B1"/>
    <w:rsid w:val="1B950C9D"/>
    <w:rsid w:val="1BD1392C"/>
    <w:rsid w:val="1DF35130"/>
    <w:rsid w:val="1F100D66"/>
    <w:rsid w:val="20104D96"/>
    <w:rsid w:val="22D64075"/>
    <w:rsid w:val="230E380E"/>
    <w:rsid w:val="27D52B4D"/>
    <w:rsid w:val="290F208E"/>
    <w:rsid w:val="2D3A7792"/>
    <w:rsid w:val="2D9C5EBB"/>
    <w:rsid w:val="301729F2"/>
    <w:rsid w:val="32C20171"/>
    <w:rsid w:val="3C5D3DE5"/>
    <w:rsid w:val="3CA1704A"/>
    <w:rsid w:val="401E2F1A"/>
    <w:rsid w:val="40E47D03"/>
    <w:rsid w:val="487675DC"/>
    <w:rsid w:val="492C413F"/>
    <w:rsid w:val="56FB7981"/>
    <w:rsid w:val="58D00F8B"/>
    <w:rsid w:val="5A407A4A"/>
    <w:rsid w:val="5A6574B1"/>
    <w:rsid w:val="5B6634E0"/>
    <w:rsid w:val="5FFE30EE"/>
    <w:rsid w:val="63ED479F"/>
    <w:rsid w:val="65FC6F1B"/>
    <w:rsid w:val="68420E31"/>
    <w:rsid w:val="6B900B9A"/>
    <w:rsid w:val="6CF070AE"/>
    <w:rsid w:val="6E973C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1976</Words>
  <Characters>2038</Characters>
  <Lines>0</Lines>
  <Paragraphs>0</Paragraphs>
  <TotalTime>4</TotalTime>
  <ScaleCrop>false</ScaleCrop>
  <LinksUpToDate>false</LinksUpToDate>
  <CharactersWithSpaces>2039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2022-01-06T07:29:00Z</dcterms:created>
  <dc:creator>Administrator</dc:creator>
  <cp:lastModifiedBy>WPS_1676990936</cp:lastModifiedBy>
  <dcterms:modified xsi:type="dcterms:W3CDTF">2026-01-21T02:03:34Z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007159FA819446B98F1B76DF15AAFF4E_13</vt:lpwstr>
  </property>
  <property fmtid="{D5CDD505-2E9C-101B-9397-08002B2CF9AE}" pid="4" name="KSOTemplateDocerSaveRecord">
    <vt:lpwstr>eyJoZGlkIjoiYzZhZTUyMTVmYThmODRjN2ZlNjFjYzg4MTA2MzAxOGIiLCJ1c2VySWQiOiIxNDc1NDYzNjgzIn0=</vt:lpwstr>
  </property>
</Properties>
</file>