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830B02E">
      <w:pPr>
        <w:pStyle w:val="9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宋体" w:hAnsi="宋体" w:cs="宋体"/>
          <w:b/>
          <w:i w:val="0"/>
          <w:caps w:val="0"/>
          <w:smallCaps w:val="0"/>
          <w:color w:val="333333"/>
          <w:spacing w:val="0"/>
          <w:sz w:val="36"/>
          <w:szCs w:val="36"/>
          <w:shd w:val="clear" w:color="auto" w:fill="FFFFFF"/>
          <w:lang w:val="en-US" w:eastAsia="zh-CN"/>
        </w:rPr>
      </w:pPr>
      <w:r>
        <w:rPr>
          <w:rFonts w:hint="eastAsia" w:ascii="宋体" w:hAnsi="宋体" w:cs="宋体"/>
          <w:b/>
          <w:i w:val="0"/>
          <w:caps w:val="0"/>
          <w:smallCaps w:val="0"/>
          <w:color w:val="333333"/>
          <w:spacing w:val="0"/>
          <w:sz w:val="36"/>
          <w:szCs w:val="36"/>
          <w:shd w:val="clear" w:color="auto" w:fill="FFFFFF"/>
          <w:lang w:eastAsia="zh-CN"/>
        </w:rPr>
        <w:t>宁晋县</w:t>
      </w:r>
      <w:r>
        <w:rPr>
          <w:rFonts w:hint="eastAsia" w:ascii="宋体" w:hAnsi="宋体" w:cs="宋体"/>
          <w:b/>
          <w:i w:val="0"/>
          <w:caps w:val="0"/>
          <w:smallCaps w:val="0"/>
          <w:color w:val="333333"/>
          <w:spacing w:val="0"/>
          <w:sz w:val="36"/>
          <w:szCs w:val="36"/>
          <w:shd w:val="clear" w:color="auto" w:fill="FFFFFF"/>
          <w:lang w:val="en-US" w:eastAsia="zh-CN"/>
        </w:rPr>
        <w:t>城市管理综合行政执法局</w:t>
      </w:r>
    </w:p>
    <w:p w14:paraId="09BFF241">
      <w:pPr>
        <w:pStyle w:val="9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宋体" w:hAnsi="宋体" w:eastAsia="宋体" w:cs="宋体"/>
          <w:i w:val="0"/>
          <w:caps w:val="0"/>
          <w:small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cs="宋体"/>
          <w:b/>
          <w:i w:val="0"/>
          <w:caps w:val="0"/>
          <w:smallCaps w:val="0"/>
          <w:color w:val="333333"/>
          <w:spacing w:val="0"/>
          <w:sz w:val="36"/>
          <w:szCs w:val="36"/>
          <w:shd w:val="clear" w:color="auto" w:fill="FFFFFF"/>
          <w:lang w:val="en-US" w:eastAsia="zh-CN"/>
        </w:rPr>
        <w:t>2025年</w:t>
      </w:r>
      <w:r>
        <w:rPr>
          <w:rFonts w:hint="eastAsia" w:ascii="宋体" w:hAnsi="宋体" w:eastAsia="宋体" w:cs="宋体"/>
          <w:b/>
          <w:i w:val="0"/>
          <w:caps w:val="0"/>
          <w:smallCaps w:val="0"/>
          <w:color w:val="333333"/>
          <w:spacing w:val="0"/>
          <w:sz w:val="36"/>
          <w:szCs w:val="36"/>
          <w:shd w:val="clear" w:color="auto" w:fill="FFFFFF"/>
        </w:rPr>
        <w:t>政府信息公开工作年度报告</w:t>
      </w:r>
    </w:p>
    <w:p w14:paraId="3C79D35B">
      <w:pPr>
        <w:pStyle w:val="9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smallCaps w:val="0"/>
          <w:color w:val="333333"/>
          <w:spacing w:val="0"/>
          <w:sz w:val="24"/>
          <w:szCs w:val="24"/>
        </w:rPr>
      </w:pPr>
    </w:p>
    <w:p w14:paraId="6E97D202">
      <w:pPr>
        <w:pStyle w:val="9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small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i w:val="0"/>
          <w:iCs w:val="0"/>
          <w:caps w:val="0"/>
          <w:smallCaps w:val="0"/>
          <w:color w:val="333333"/>
          <w:spacing w:val="0"/>
          <w:sz w:val="24"/>
          <w:szCs w:val="24"/>
        </w:rPr>
        <w:t>本年度报告根据《中华人民共和国政府信息公开条例》、《中华人民共和国政府信息公开工作年度报告格式》文件要求，对202</w:t>
      </w:r>
      <w:r>
        <w:rPr>
          <w:rFonts w:hint="eastAsia" w:ascii="宋体" w:hAnsi="宋体" w:cs="宋体"/>
          <w:i w:val="0"/>
          <w:iCs w:val="0"/>
          <w:caps w:val="0"/>
          <w:smallCaps w:val="0"/>
          <w:color w:val="333333"/>
          <w:spacing w:val="0"/>
          <w:sz w:val="24"/>
          <w:szCs w:val="24"/>
          <w:lang w:val="en-US" w:eastAsia="zh-CN"/>
        </w:rPr>
        <w:t>5</w:t>
      </w:r>
      <w:r>
        <w:rPr>
          <w:rFonts w:hint="eastAsia" w:ascii="宋体" w:hAnsi="宋体" w:eastAsia="宋体" w:cs="宋体"/>
          <w:i w:val="0"/>
          <w:iCs w:val="0"/>
          <w:caps w:val="0"/>
          <w:smallCaps w:val="0"/>
          <w:color w:val="333333"/>
          <w:spacing w:val="0"/>
          <w:sz w:val="24"/>
          <w:szCs w:val="24"/>
        </w:rPr>
        <w:t>年政府信息公开工作情况进行总结回顾，形成202</w:t>
      </w:r>
      <w:r>
        <w:rPr>
          <w:rFonts w:hint="eastAsia" w:ascii="宋体" w:hAnsi="宋体" w:cs="宋体"/>
          <w:i w:val="0"/>
          <w:iCs w:val="0"/>
          <w:caps w:val="0"/>
          <w:smallCaps w:val="0"/>
          <w:color w:val="333333"/>
          <w:spacing w:val="0"/>
          <w:sz w:val="24"/>
          <w:szCs w:val="24"/>
          <w:lang w:val="en-US" w:eastAsia="zh-CN"/>
        </w:rPr>
        <w:t>5</w:t>
      </w:r>
      <w:r>
        <w:rPr>
          <w:rFonts w:hint="eastAsia" w:ascii="宋体" w:hAnsi="宋体" w:eastAsia="宋体" w:cs="宋体"/>
          <w:i w:val="0"/>
          <w:iCs w:val="0"/>
          <w:caps w:val="0"/>
          <w:smallCaps w:val="0"/>
          <w:color w:val="333333"/>
          <w:spacing w:val="0"/>
          <w:sz w:val="24"/>
          <w:szCs w:val="24"/>
        </w:rPr>
        <w:t>年县城管局信息公开年度报告。本报告由总体情况、主动公开信息情况、收到和处理政府信息公开申请情况、政府信息公开行政复议、行政诉讼情况、存在的主要问题及改进情况、其他需要报告的事项共六个部分组成。本报告所列数据统计期限自202</w:t>
      </w:r>
      <w:r>
        <w:rPr>
          <w:rFonts w:hint="eastAsia" w:ascii="宋体" w:hAnsi="宋体" w:cs="宋体"/>
          <w:i w:val="0"/>
          <w:iCs w:val="0"/>
          <w:caps w:val="0"/>
          <w:smallCaps w:val="0"/>
          <w:color w:val="333333"/>
          <w:spacing w:val="0"/>
          <w:sz w:val="24"/>
          <w:szCs w:val="24"/>
          <w:lang w:val="en-US" w:eastAsia="zh-CN"/>
        </w:rPr>
        <w:t>5</w:t>
      </w:r>
      <w:r>
        <w:rPr>
          <w:rFonts w:hint="eastAsia" w:ascii="宋体" w:hAnsi="宋体" w:eastAsia="宋体" w:cs="宋体"/>
          <w:i w:val="0"/>
          <w:iCs w:val="0"/>
          <w:caps w:val="0"/>
          <w:smallCaps w:val="0"/>
          <w:color w:val="333333"/>
          <w:spacing w:val="0"/>
          <w:sz w:val="24"/>
          <w:szCs w:val="24"/>
        </w:rPr>
        <w:t>年1月1日起至202</w:t>
      </w:r>
      <w:r>
        <w:rPr>
          <w:rFonts w:hint="eastAsia" w:ascii="宋体" w:hAnsi="宋体" w:cs="宋体"/>
          <w:i w:val="0"/>
          <w:iCs w:val="0"/>
          <w:caps w:val="0"/>
          <w:smallCaps w:val="0"/>
          <w:color w:val="333333"/>
          <w:spacing w:val="0"/>
          <w:sz w:val="24"/>
          <w:szCs w:val="24"/>
          <w:lang w:val="en-US" w:eastAsia="zh-CN"/>
        </w:rPr>
        <w:t>5</w:t>
      </w:r>
      <w:r>
        <w:rPr>
          <w:rFonts w:hint="eastAsia" w:ascii="宋体" w:hAnsi="宋体" w:eastAsia="宋体" w:cs="宋体"/>
          <w:i w:val="0"/>
          <w:iCs w:val="0"/>
          <w:caps w:val="0"/>
          <w:smallCaps w:val="0"/>
          <w:color w:val="333333"/>
          <w:spacing w:val="0"/>
          <w:sz w:val="24"/>
          <w:szCs w:val="24"/>
        </w:rPr>
        <w:t>年12月31日止。如对本报告有任何疑问，可到宁晋县城市管理综合行政执法局（联系地址：宁晋县兴宁街16号，邮编：055550，电话：5885700）查询。</w:t>
      </w:r>
    </w:p>
    <w:p w14:paraId="575F27A2">
      <w:pPr>
        <w:pStyle w:val="9"/>
        <w:keepNext w:val="0"/>
        <w:keepLines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b/>
          <w:bCs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总体情况</w:t>
      </w:r>
    </w:p>
    <w:p w14:paraId="21407EA0">
      <w:pPr>
        <w:pStyle w:val="9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720" w:firstLineChars="300"/>
        <w:jc w:val="both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202</w:t>
      </w:r>
      <w:r>
        <w:rPr>
          <w:rFonts w:hint="eastAsia" w:ascii="宋体" w:hAnsi="宋体" w:cs="宋体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  <w:lang w:val="en-US" w:eastAsia="zh-CN"/>
        </w:rPr>
        <w:t>5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年，我局认真贯彻落实县委县政府关于政务公开工作的安排部署，坚持及时、准确、规范公开政府信息，切实保障企业、群众依法获取政府信息。公开的主要类别为机构职能、行政许可、行政处罚、行政收费、年度预算重点民生工程公开、人大代表建议、政协提案办理情况公开、政府信息公开年报等相关内容。</w:t>
      </w:r>
    </w:p>
    <w:p w14:paraId="0B5F70A1">
      <w:pPr>
        <w:pStyle w:val="9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482" w:firstLineChars="200"/>
        <w:jc w:val="both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</w:pPr>
      <w:r>
        <w:rPr>
          <w:rFonts w:hint="eastAsia" w:ascii="宋体" w:hAnsi="宋体" w:cs="宋体"/>
          <w:b/>
          <w:bCs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  <w:lang w:eastAsia="zh-CN"/>
        </w:rPr>
        <w:t>（</w:t>
      </w:r>
      <w:r>
        <w:rPr>
          <w:rFonts w:hint="eastAsia" w:ascii="宋体" w:hAnsi="宋体" w:cs="宋体"/>
          <w:b/>
          <w:bCs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  <w:lang w:val="en-US" w:eastAsia="zh-CN"/>
        </w:rPr>
        <w:t>一</w:t>
      </w:r>
      <w:r>
        <w:rPr>
          <w:rFonts w:hint="eastAsia" w:ascii="宋体" w:hAnsi="宋体" w:cs="宋体"/>
          <w:b/>
          <w:bCs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  <w:lang w:eastAsia="zh-CN"/>
        </w:rPr>
        <w:t>）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主动公开</w:t>
      </w:r>
      <w:r>
        <w:rPr>
          <w:rFonts w:hint="eastAsia" w:ascii="宋体" w:hAnsi="宋体" w:cs="宋体"/>
          <w:b/>
          <w:bCs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  <w:lang w:val="en-US" w:eastAsia="zh-CN"/>
        </w:rPr>
        <w:t>信息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。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一是执法公开。在宁晋县人民政府网站，对执法情况进行公示并及时更新。1.事前公开：</w:t>
      </w:r>
      <w:r>
        <w:rPr>
          <w:rFonts w:hint="eastAsia" w:ascii="宋体" w:hAnsi="宋体" w:cs="宋体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  <w:lang w:eastAsia="zh-CN"/>
        </w:rPr>
        <w:t>（</w:t>
      </w:r>
      <w:r>
        <w:rPr>
          <w:rFonts w:hint="eastAsia" w:ascii="宋体" w:hAnsi="宋体" w:cs="宋体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  <w:lang w:val="en-US" w:eastAsia="zh-CN"/>
        </w:rPr>
        <w:t>1</w:t>
      </w:r>
      <w:r>
        <w:rPr>
          <w:rFonts w:hint="eastAsia" w:ascii="宋体" w:hAnsi="宋体" w:cs="宋体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  <w:lang w:eastAsia="zh-CN"/>
        </w:rPr>
        <w:t>）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宁晋县城市管理综合行政执法局2025年度“双随机、一公开”随机抽查工作计划</w:t>
      </w:r>
      <w:r>
        <w:rPr>
          <w:rFonts w:hint="eastAsia" w:ascii="宋体" w:hAnsi="宋体" w:cs="宋体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  <w:lang w:eastAsia="zh-CN"/>
        </w:rPr>
        <w:t>；（</w:t>
      </w:r>
      <w:r>
        <w:rPr>
          <w:rFonts w:hint="eastAsia" w:ascii="宋体" w:hAnsi="宋体" w:cs="宋体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  <w:lang w:val="en-US" w:eastAsia="zh-CN"/>
        </w:rPr>
        <w:t>2</w:t>
      </w:r>
      <w:r>
        <w:rPr>
          <w:rFonts w:hint="eastAsia" w:ascii="宋体" w:hAnsi="宋体" w:cs="宋体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  <w:lang w:eastAsia="zh-CN"/>
        </w:rPr>
        <w:t>）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宁晋县城市管理综合行政执法局关于《宁晋县建筑垃圾污染环境防治工作规划(2025-2035年)》公示</w:t>
      </w:r>
      <w:r>
        <w:rPr>
          <w:rFonts w:hint="eastAsia" w:ascii="宋体" w:hAnsi="宋体" w:cs="宋体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  <w:lang w:eastAsia="zh-CN"/>
        </w:rPr>
        <w:t>；（</w:t>
      </w:r>
      <w:r>
        <w:rPr>
          <w:rFonts w:hint="eastAsia" w:ascii="宋体" w:hAnsi="宋体" w:cs="宋体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  <w:lang w:val="en-US" w:eastAsia="zh-CN"/>
        </w:rPr>
        <w:t>3</w:t>
      </w:r>
      <w:r>
        <w:rPr>
          <w:rFonts w:hint="eastAsia" w:ascii="宋体" w:hAnsi="宋体" w:cs="宋体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  <w:lang w:eastAsia="zh-CN"/>
        </w:rPr>
        <w:t>）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  <w:lang w:eastAsia="zh-CN"/>
        </w:rPr>
        <w:t>宁晋县城市管理综合行政执法局关于《宁晋县建筑垃圾处理设施专项规划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  <w:lang w:val="en-US" w:eastAsia="zh-CN"/>
        </w:rPr>
        <w:t>(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  <w:lang w:eastAsia="zh-CN"/>
        </w:rPr>
        <w:t>2025—2035年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  <w:lang w:val="en-US" w:eastAsia="zh-CN"/>
        </w:rPr>
        <w:t>)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  <w:lang w:eastAsia="zh-CN"/>
        </w:rPr>
        <w:t>》公示</w:t>
      </w:r>
      <w:r>
        <w:rPr>
          <w:rFonts w:hint="eastAsia" w:ascii="宋体" w:hAnsi="宋体" w:cs="宋体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  <w:lang w:eastAsia="zh-CN"/>
        </w:rPr>
        <w:t>；（</w:t>
      </w:r>
      <w:r>
        <w:rPr>
          <w:rFonts w:hint="eastAsia" w:ascii="宋体" w:hAnsi="宋体" w:cs="宋体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  <w:lang w:val="en-US" w:eastAsia="zh-CN"/>
        </w:rPr>
        <w:t>4</w:t>
      </w:r>
      <w:r>
        <w:rPr>
          <w:rFonts w:hint="eastAsia" w:ascii="宋体" w:hAnsi="宋体" w:cs="宋体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  <w:lang w:eastAsia="zh-CN"/>
        </w:rPr>
        <w:t>）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  <w:lang w:eastAsia="zh-CN"/>
        </w:rPr>
        <w:t>在涉企行政检查专栏公示：《宁晋县城市管理综合行政执法局涉企行政检查计划》、《宁晋县城市管理综合行政执法局涉企行政检查事项和依据》、《宁晋县城市管理综合行政执法局涉企行政检查标准》、《宁晋县城市管理综合行政执法局涉企行政检查频次上限》及宁晋县城市管理综合行政执法局执法人员信息</w:t>
      </w:r>
      <w:r>
        <w:rPr>
          <w:rFonts w:hint="eastAsia" w:ascii="宋体" w:hAnsi="宋体" w:cs="宋体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  <w:lang w:eastAsia="zh-CN"/>
        </w:rPr>
        <w:t>；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  <w:lang w:eastAsia="zh-CN"/>
        </w:rPr>
        <w:t>（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  <w:lang w:val="en-US" w:eastAsia="zh-CN"/>
        </w:rPr>
        <w:t>5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  <w:lang w:eastAsia="zh-CN"/>
        </w:rPr>
        <w:t>）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宁晋县城市生活垃圾处理费收费告知书。2.事后公开：在河北省行政执法公示平台、宁晋县人民政府网站、信用邢台网站上对行政处罚案件情况进行公示。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  <w:lang w:val="en-US" w:eastAsia="zh-CN"/>
        </w:rPr>
        <w:t>2025年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截至目前，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  <w:lang w:eastAsia="zh-CN"/>
        </w:rPr>
        <w:t>公示普通程序处罚案件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  <w:lang w:val="en-US" w:eastAsia="zh-CN"/>
        </w:rPr>
        <w:t>2件，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罚款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  <w:lang w:eastAsia="zh-CN"/>
        </w:rPr>
        <w:t>金额共计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  <w:lang w:val="en-US" w:eastAsia="zh-CN"/>
        </w:rPr>
        <w:t>13400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元。二是财政信息公开。在宁晋县人民政府信息公开平台按规定时限将《宁晋县城市管理综合行政执法局2024年决算公开文本》、《宁晋县城市管理综合行政执法局2025年单位预算信息》进行信息公开。三是积极推进“工程建设项目招投标领域”信息公开。在中国河北政府采购网和河北省招标投标公共服务平台及时公开4项招标采购情况。严格执行政府招标采购制度，并将采购项目预算、采购过程、采购结果全面公开。四是行政审批事项公开。年初以来，共办理城市建筑垃圾处置核准许可（产生、处置、运输、堆埋场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  <w:lang w:eastAsia="zh-CN"/>
        </w:rPr>
        <w:t>等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）共33件，设置户外广告和招牌设置备案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  <w:lang w:eastAsia="zh-CN"/>
        </w:rPr>
        <w:t>共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485件。</w:t>
      </w:r>
    </w:p>
    <w:p w14:paraId="537B2DBC">
      <w:pPr>
        <w:pStyle w:val="9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482" w:firstLineChars="200"/>
        <w:jc w:val="both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  <w:lang w:val="en-US"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（</w:t>
      </w:r>
      <w:r>
        <w:rPr>
          <w:rFonts w:hint="eastAsia" w:ascii="宋体" w:hAnsi="宋体" w:cs="宋体"/>
          <w:b/>
          <w:bCs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  <w:lang w:val="en-US" w:eastAsia="zh-CN"/>
        </w:rPr>
        <w:t>二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）</w:t>
      </w:r>
      <w:r>
        <w:rPr>
          <w:rFonts w:hint="eastAsia" w:ascii="宋体" w:hAnsi="宋体" w:cs="宋体"/>
          <w:b/>
          <w:bCs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  <w:lang w:val="en-US" w:eastAsia="zh-CN"/>
        </w:rPr>
        <w:t>依申请公开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。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202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  <w:lang w:val="en-US" w:eastAsia="zh-CN"/>
        </w:rPr>
        <w:t>5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年度我局未收到依申请公开的申请件，全年未发生因政府信息公开引起的复议和行政诉讼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  <w:lang w:eastAsia="zh-CN"/>
        </w:rPr>
        <w:t>。</w:t>
      </w:r>
    </w:p>
    <w:p w14:paraId="104D1821">
      <w:pPr>
        <w:pStyle w:val="9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482" w:firstLineChars="200"/>
        <w:jc w:val="both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  <w:lang w:val="en-US"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（三）</w:t>
      </w:r>
      <w:r>
        <w:rPr>
          <w:rFonts w:hint="eastAsia" w:ascii="宋体" w:hAnsi="宋体" w:cs="宋体"/>
          <w:b/>
          <w:bCs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  <w:lang w:val="en-US" w:eastAsia="zh-CN"/>
        </w:rPr>
        <w:t>政府信息管理。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  <w:lang w:val="en-US" w:eastAsia="zh-CN"/>
        </w:rPr>
        <w:t>我局进一步规范政府信息管理工作加强对主动公开信息的审核把关，定期对发布内容进行回看检查，严格落实信息发布保密审查制度，坚持“应公开、尽公开”、“先审核、后公开”和“谁制定、谁审查、谁公开、谁负责”的原则，做到栏目内容有保障、发布有审核、公开有追溯。</w:t>
      </w:r>
    </w:p>
    <w:p w14:paraId="5EF00041">
      <w:pPr>
        <w:pStyle w:val="9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482" w:firstLineChars="200"/>
        <w:jc w:val="both"/>
        <w:rPr>
          <w:rFonts w:hint="eastAsia" w:ascii="宋体" w:hAnsi="宋体" w:cs="宋体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  <w:lang w:eastAsia="zh-CN"/>
        </w:rPr>
      </w:pPr>
      <w:r>
        <w:rPr>
          <w:rFonts w:hint="eastAsia" w:ascii="宋体" w:hAnsi="宋体" w:cs="宋体"/>
          <w:b/>
          <w:bCs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  <w:lang w:val="en-US" w:eastAsia="zh-CN"/>
        </w:rPr>
        <w:t>（四）政府信息公开平台建设。</w:t>
      </w:r>
      <w:r>
        <w:rPr>
          <w:rFonts w:hint="eastAsia" w:ascii="宋体" w:hAnsi="宋体" w:cs="宋体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  <w:lang w:eastAsia="zh-CN"/>
        </w:rPr>
        <w:t>按照县委县政府统一部署，我局及时在网站、单位政务公开栏等公开各项工作，经常性更新城市管理党务、政策解读、政务、财务工作实时动态，并会在七日内公开行政许可、行政处罚等信用信息，丰富信息资源。</w:t>
      </w:r>
    </w:p>
    <w:p w14:paraId="60FA40AA">
      <w:pPr>
        <w:pStyle w:val="9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482" w:firstLineChars="200"/>
        <w:jc w:val="both"/>
        <w:rPr>
          <w:rFonts w:hint="eastAsia" w:ascii="宋体" w:hAnsi="宋体" w:eastAsia="宋体" w:cs="宋体"/>
          <w:b/>
          <w:bCs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（</w:t>
      </w:r>
      <w:r>
        <w:rPr>
          <w:rFonts w:hint="eastAsia" w:ascii="宋体" w:hAnsi="宋体" w:cs="宋体"/>
          <w:b/>
          <w:bCs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  <w:lang w:val="en-US" w:eastAsia="zh-CN"/>
        </w:rPr>
        <w:t>五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）</w:t>
      </w:r>
      <w:r>
        <w:rPr>
          <w:rFonts w:hint="eastAsia" w:ascii="宋体" w:hAnsi="宋体" w:cs="宋体"/>
          <w:b/>
          <w:bCs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  <w:lang w:val="en-US" w:eastAsia="zh-CN"/>
        </w:rPr>
        <w:t>监督保障等内容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。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按照相关要求做好政务公开各项工作，强化政务公开工作的各项保障措施，对需要向社会进行意见征集的，及时通过政务公开网站进行公示，主动公开管理，细化办理流程，完善办理机制，不断加强和改进依申请公开办理工作，完善流程、提高时效，答复申请时做到依法有据、严谨规范。</w:t>
      </w:r>
    </w:p>
    <w:p w14:paraId="41D8011D">
      <w:pPr>
        <w:pStyle w:val="9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right="0"/>
        <w:jc w:val="both"/>
        <w:rPr>
          <w:rFonts w:hint="eastAsia" w:ascii="宋体" w:hAnsi="宋体" w:eastAsia="宋体" w:cs="宋体"/>
          <w:b/>
          <w:bCs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</w:pPr>
    </w:p>
    <w:p w14:paraId="1ED538DC">
      <w:pPr>
        <w:pStyle w:val="9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small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二、主动公开政府信息情况</w:t>
      </w:r>
    </w:p>
    <w:p w14:paraId="456BC41D">
      <w:pPr>
        <w:pStyle w:val="9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smallCaps w:val="0"/>
          <w:color w:val="333333"/>
          <w:spacing w:val="0"/>
          <w:sz w:val="24"/>
          <w:szCs w:val="24"/>
        </w:rPr>
      </w:pPr>
    </w:p>
    <w:tbl>
      <w:tblPr>
        <w:tblStyle w:val="10"/>
        <w:tblW w:w="97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 w14:paraId="2865B4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3F00F6B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第二十条第（一）项</w:t>
            </w:r>
          </w:p>
        </w:tc>
      </w:tr>
      <w:tr w14:paraId="17F527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DAC32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DF5C0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7C80C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08E1A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数</w:t>
            </w:r>
          </w:p>
        </w:tc>
      </w:tr>
      <w:tr w14:paraId="3D1C57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7294B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15058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D9EEA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BF1B5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</w:tr>
      <w:tr w14:paraId="7CFBFA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D400B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8D2736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F02B1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 　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9DB233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1</w:t>
            </w:r>
          </w:p>
        </w:tc>
      </w:tr>
      <w:tr w14:paraId="282CA5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1FA6C21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第二十条第（五）项</w:t>
            </w:r>
          </w:p>
        </w:tc>
      </w:tr>
      <w:tr w14:paraId="017A31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69649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0"/>
                <w:szCs w:val="20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F9665B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本年处理决定数量</w:t>
            </w:r>
          </w:p>
        </w:tc>
      </w:tr>
      <w:tr w14:paraId="491BA0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7727BF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0"/>
                <w:szCs w:val="20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A32DA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eastAsia="宋体"/>
                <w:color w:val="FF0000"/>
                <w:lang w:val="en-US" w:eastAsia="zh-CN"/>
              </w:rPr>
            </w:pPr>
            <w:r>
              <w:rPr>
                <w:rFonts w:hint="eastAsia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4F6421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1C9D958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第二十条第（六）项</w:t>
            </w:r>
          </w:p>
        </w:tc>
      </w:tr>
      <w:tr w14:paraId="4F521A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185CF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161DC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本年处理决定数量</w:t>
            </w:r>
          </w:p>
        </w:tc>
      </w:tr>
      <w:tr w14:paraId="273C6A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0EDF2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327EC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58</w:t>
            </w:r>
            <w:bookmarkStart w:id="0" w:name="_GoBack"/>
            <w:bookmarkEnd w:id="0"/>
          </w:p>
        </w:tc>
      </w:tr>
      <w:tr w14:paraId="7B19EB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7952D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90BF21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5B27AF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68C18EA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第二十条第（八）项</w:t>
            </w:r>
          </w:p>
        </w:tc>
      </w:tr>
      <w:tr w14:paraId="3C2187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BC808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4251D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本年收费金额（单位：万元）</w:t>
            </w:r>
          </w:p>
        </w:tc>
      </w:tr>
      <w:tr w14:paraId="1D1D1F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89902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1410977">
            <w:pPr>
              <w:jc w:val="center"/>
              <w:rPr>
                <w:rFonts w:hint="eastAsia" w:asci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 w14:paraId="29C25292">
      <w:pPr>
        <w:keepNext w:val="0"/>
        <w:keepLines w:val="0"/>
        <w:widowControl/>
        <w:suppressLineNumbers w:val="0"/>
        <w:jc w:val="left"/>
      </w:pPr>
    </w:p>
    <w:p w14:paraId="6FD8D9AF">
      <w:pPr>
        <w:pStyle w:val="9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small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三、收到和处理政府信息公开申请情况</w:t>
      </w:r>
    </w:p>
    <w:p w14:paraId="1D41E301">
      <w:pPr>
        <w:pStyle w:val="9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smallCaps w:val="0"/>
          <w:color w:val="333333"/>
          <w:spacing w:val="0"/>
          <w:sz w:val="24"/>
          <w:szCs w:val="24"/>
        </w:rPr>
      </w:pPr>
    </w:p>
    <w:tbl>
      <w:tblPr>
        <w:tblStyle w:val="10"/>
        <w:tblW w:w="9748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767"/>
        <w:gridCol w:w="943"/>
        <w:gridCol w:w="3218"/>
        <w:gridCol w:w="688"/>
        <w:gridCol w:w="691"/>
        <w:gridCol w:w="688"/>
        <w:gridCol w:w="688"/>
        <w:gridCol w:w="688"/>
        <w:gridCol w:w="688"/>
        <w:gridCol w:w="689"/>
      </w:tblGrid>
      <w:tr w14:paraId="7D7C9D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28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3539C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/>
              </w:rPr>
              <w:t>（本列数据的勾稽关系为：第一项加第二项之和，等于第三项加第四项之和）</w:t>
            </w:r>
          </w:p>
        </w:tc>
        <w:tc>
          <w:tcPr>
            <w:tcW w:w="4820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11F74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申请人情况</w:t>
            </w:r>
          </w:p>
        </w:tc>
      </w:tr>
      <w:tr w14:paraId="350769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28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A1EC50"/>
        </w:tc>
        <w:tc>
          <w:tcPr>
            <w:tcW w:w="688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5E113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自然人</w:t>
            </w:r>
          </w:p>
        </w:tc>
        <w:tc>
          <w:tcPr>
            <w:tcW w:w="3443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BE3924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法人或其他组织</w:t>
            </w:r>
          </w:p>
        </w:tc>
        <w:tc>
          <w:tcPr>
            <w:tcW w:w="689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F9FC1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总计</w:t>
            </w:r>
          </w:p>
        </w:tc>
      </w:tr>
      <w:tr w14:paraId="65F29C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28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F4E25F"/>
        </w:tc>
        <w:tc>
          <w:tcPr>
            <w:tcW w:w="688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5D9FE2"/>
        </w:tc>
        <w:tc>
          <w:tcPr>
            <w:tcW w:w="69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E7A2A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商业</w:t>
            </w:r>
          </w:p>
          <w:p w14:paraId="1287D89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企业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B2D45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科研</w:t>
            </w:r>
          </w:p>
          <w:p w14:paraId="0A6FC84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DC4234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社会公益组织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7175C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法律服务机构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A7BC6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其他</w:t>
            </w:r>
          </w:p>
        </w:tc>
        <w:tc>
          <w:tcPr>
            <w:tcW w:w="689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8EEED83"/>
        </w:tc>
      </w:tr>
      <w:tr w14:paraId="4C55E7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28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1DF75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一、本年新收政府信息公开申请数量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9C3F40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7A6B54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8C078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B529F4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997AA4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29048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9978B2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521D3B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28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3E37F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二、上年结转政府信息公开申请数量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96D6C3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B0F82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00D14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2FFFB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D464CA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66AE1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6335EEF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08F35D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7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38841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三、本年度办理结果</w:t>
            </w:r>
          </w:p>
        </w:tc>
        <w:tc>
          <w:tcPr>
            <w:tcW w:w="416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BF3DD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（一）予以公开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2F270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D52C4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002B37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3FC5D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BAF1C2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8599E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ED0671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419411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7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B2752B"/>
        </w:tc>
        <w:tc>
          <w:tcPr>
            <w:tcW w:w="416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6711F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/>
              </w:rPr>
              <w:t>（区分处理的，只计这一情形，不计其他情形）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71DAA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96518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6811B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002AA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493A3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AC6DE4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7759802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530388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7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FB0316"/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9C605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（三）不予公开</w:t>
            </w:r>
          </w:p>
        </w:tc>
        <w:tc>
          <w:tcPr>
            <w:tcW w:w="321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30DC2F0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1.属于国家秘密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6A531C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6B44C8B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00A9DD6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6FC446C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11B1288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3138B8E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5474519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206F15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7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54360A0"/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412A42"/>
        </w:tc>
        <w:tc>
          <w:tcPr>
            <w:tcW w:w="321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312D3E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2.其他法律行政法规禁止公开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AFA606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6F0FE90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58F1AE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00ABAB1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373E0C9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1D9CEAE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1478554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1DF58D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7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A750A6E"/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DD7243"/>
        </w:tc>
        <w:tc>
          <w:tcPr>
            <w:tcW w:w="321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3D7C2A2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3.危及“三安全一稳定”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6F4C73F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19B0DAA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01D053E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74BAC84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2E38C47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7A9D4D3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655175B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234448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7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BC6EBE"/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6ECAC4"/>
        </w:tc>
        <w:tc>
          <w:tcPr>
            <w:tcW w:w="321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4A7D42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4.保护第三方合法权益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629202C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57CE980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321474A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1AA5CFC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31A208F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1296A5A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32A7AE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632973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7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25ADF9A"/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4EAA1B"/>
        </w:tc>
        <w:tc>
          <w:tcPr>
            <w:tcW w:w="321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0F8BE18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5.属于三类内部事务信息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0B1EBFF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6D38FC6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238D93B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20336C9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16C35C9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3E543D3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5FB4F71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01CECD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7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A8FEC0"/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142ED9"/>
        </w:tc>
        <w:tc>
          <w:tcPr>
            <w:tcW w:w="321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75FAE6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6.属于四类过程性信息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32F46F5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1FDA91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1597AF9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209BF28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7E1ACC0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7FE6593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2C49010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5FEE2A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7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C76607"/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8CC003"/>
        </w:tc>
        <w:tc>
          <w:tcPr>
            <w:tcW w:w="321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29EAF4F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7.属于行政执法案卷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77CE94F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7AC60A9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637ADD6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2FE3D4B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5E32653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2E9E2BB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7977049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76F18B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7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E7C95B"/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4DE7B9"/>
        </w:tc>
        <w:tc>
          <w:tcPr>
            <w:tcW w:w="321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6D6AF2F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8.属于行政查询事项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759D34D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6E44144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42C57A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5356701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358E296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113E68F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3867A53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07E2C3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7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527B53"/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9C939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（四）无法提供</w:t>
            </w:r>
          </w:p>
        </w:tc>
        <w:tc>
          <w:tcPr>
            <w:tcW w:w="321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75DD65B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1.本机关不掌握相关政府信息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3530658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300C0DF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6DD332A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0C2BA7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75EF6B3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FD41F1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9C466C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52103A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7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EA5DE4"/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3C2B7F"/>
        </w:tc>
        <w:tc>
          <w:tcPr>
            <w:tcW w:w="321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5292877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2.没有现成信息需要另行制作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61A24E4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565B0E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5F00770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0281D7D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7B22660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639C132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696EA86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7CA008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7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D72B5B9"/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19F393"/>
        </w:tc>
        <w:tc>
          <w:tcPr>
            <w:tcW w:w="321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57A7D68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3.补正后申请内容仍不明确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295F694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146C8F5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0FE8FDC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259D782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21F9C09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72ABDE3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A0D369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0CA89F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7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55A5AB"/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FD3A3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（五）不予处理</w:t>
            </w:r>
          </w:p>
        </w:tc>
        <w:tc>
          <w:tcPr>
            <w:tcW w:w="321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3FD5C05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1.信访举报投诉类申请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0D44F39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3D809D3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541DD61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1B7CDFB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076B9E9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1189824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58D942D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2BDE84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7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3EEE1B"/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FD2D17C"/>
        </w:tc>
        <w:tc>
          <w:tcPr>
            <w:tcW w:w="321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3C37765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2.重复申请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69A5291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33608CB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39589DC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78B0B1E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6AD6E6B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507D170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61B9053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4C6111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7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AF1AC8A"/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19829B"/>
        </w:tc>
        <w:tc>
          <w:tcPr>
            <w:tcW w:w="321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1890317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3.要求提供公开出版物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5B77054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62243AE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643A00E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08B4963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70856A4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102B996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7F8B2BE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26FE35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7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690DB1"/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D87991"/>
        </w:tc>
        <w:tc>
          <w:tcPr>
            <w:tcW w:w="321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55408B2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4.无正当理由大量反复申请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ACB041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4C9E43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1AE4A6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0E77C87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5DCEEEC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74CABE8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2736FA8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6C4EC3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67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53DD2A"/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6C7EE0"/>
        </w:tc>
        <w:tc>
          <w:tcPr>
            <w:tcW w:w="321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08709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5.要求行政机关确认或重新出具已获取信息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73FCCAD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1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15AC26E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245C5F3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113E0BF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05174AF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06C4299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2C4C616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1EB27C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7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C63821"/>
        </w:tc>
        <w:tc>
          <w:tcPr>
            <w:tcW w:w="943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7A624B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（六）其他处理</w:t>
            </w:r>
          </w:p>
        </w:tc>
        <w:tc>
          <w:tcPr>
            <w:tcW w:w="321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1D68E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1.申请人无正当理由逾期不补正、行政机关不再处理其政府信息公开申请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095D16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6D69A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A65039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BA9819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9B86B1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A2C022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2FBB980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79778F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7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C4EDEB"/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4D272F9"/>
        </w:tc>
        <w:tc>
          <w:tcPr>
            <w:tcW w:w="321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68F92A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2.申请人逾期未按收费通知要求缴纳费用、行政机关不再处理其政府信息公开申请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A38A2D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1473C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7D430D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63AE2B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BF3F94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6A334C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CF672A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061BD3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7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A1876F"/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06ECEA6"/>
        </w:tc>
        <w:tc>
          <w:tcPr>
            <w:tcW w:w="321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1963B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3.其他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5BBEC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23D33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6D21E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ACA65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A8B57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BFBFC2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0BAD8F8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782F0E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7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49E5C2"/>
        </w:tc>
        <w:tc>
          <w:tcPr>
            <w:tcW w:w="416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1945B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（七）总计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AC3E9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C0492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F843E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DD2A07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59130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D56530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38926D4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3D99DA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28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20043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四、结转下年度继续办理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1CA36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F3246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9F3C8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368B1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F602B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E3A5E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38E7E94">
            <w:pPr>
              <w:jc w:val="center"/>
              <w:rPr>
                <w:rFonts w:hint="eastAsia" w:asci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 w14:paraId="037F5807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smallCaps w:val="0"/>
          <w:color w:val="333333"/>
          <w:spacing w:val="0"/>
          <w:sz w:val="24"/>
          <w:szCs w:val="24"/>
          <w:lang w:val="en-US" w:eastAsia="zh-CN"/>
        </w:rPr>
      </w:pPr>
    </w:p>
    <w:p w14:paraId="4E3BC98A">
      <w:pPr>
        <w:pStyle w:val="9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small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四、政府信息公开行政复议、行政诉讼情况</w:t>
      </w:r>
    </w:p>
    <w:p w14:paraId="4CB3E878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smallCaps w:val="0"/>
          <w:color w:val="333333"/>
          <w:spacing w:val="0"/>
          <w:sz w:val="24"/>
          <w:szCs w:val="24"/>
        </w:rPr>
      </w:pPr>
    </w:p>
    <w:tbl>
      <w:tblPr>
        <w:tblStyle w:val="10"/>
        <w:tblW w:w="9748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1"/>
        <w:gridCol w:w="651"/>
        <w:gridCol w:w="651"/>
        <w:gridCol w:w="651"/>
        <w:gridCol w:w="651"/>
      </w:tblGrid>
      <w:tr w14:paraId="1EDE75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1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8C1AF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行政复议</w:t>
            </w:r>
          </w:p>
        </w:tc>
        <w:tc>
          <w:tcPr>
            <w:tcW w:w="6428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3F070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行政诉讼</w:t>
            </w:r>
          </w:p>
        </w:tc>
      </w:tr>
      <w:tr w14:paraId="3B33EA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2FBA5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结果维持</w:t>
            </w:r>
          </w:p>
        </w:tc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774B4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纠正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8297D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结果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C984F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审结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A34C5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总计</w:t>
            </w:r>
          </w:p>
        </w:tc>
        <w:tc>
          <w:tcPr>
            <w:tcW w:w="3213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96463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未经复议直接起诉</w:t>
            </w:r>
          </w:p>
        </w:tc>
        <w:tc>
          <w:tcPr>
            <w:tcW w:w="321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55594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复议后起诉</w:t>
            </w:r>
          </w:p>
        </w:tc>
      </w:tr>
      <w:tr w14:paraId="3CC6BA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F1CEBC"/>
        </w:tc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F0D0DE"/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3AA18B"/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8149E6"/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72995C"/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3E3D7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维持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6DF77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0D6BB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0449F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D96C1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总计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4E541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维持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A281B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209C8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其他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096A8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3EB75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总计</w:t>
            </w:r>
          </w:p>
        </w:tc>
      </w:tr>
      <w:tr w14:paraId="5A7ED4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D9E61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C105A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A87A5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516742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0D8AB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6DD8A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E876E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8AE2A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6394F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3E155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47355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406F4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344E8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3850E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290A21">
            <w:pPr>
              <w:jc w:val="center"/>
              <w:rPr>
                <w:rFonts w:hint="eastAsia" w:ascii="宋体"/>
                <w:sz w:val="24"/>
                <w:szCs w:val="24"/>
              </w:rPr>
            </w:pPr>
            <w:r>
              <w:rPr>
                <w:rFonts w:ascii="宋体"/>
                <w:sz w:val="24"/>
                <w:szCs w:val="24"/>
              </w:rPr>
              <w:t>0</w:t>
            </w:r>
          </w:p>
        </w:tc>
      </w:tr>
    </w:tbl>
    <w:p w14:paraId="585B1047">
      <w:pPr>
        <w:keepNext w:val="0"/>
        <w:keepLines w:val="0"/>
        <w:widowControl/>
        <w:suppressLineNumbers w:val="0"/>
        <w:jc w:val="left"/>
      </w:pPr>
    </w:p>
    <w:p w14:paraId="1173D43B">
      <w:pPr>
        <w:pStyle w:val="9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small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五、存在的主要问题及改进情况</w:t>
      </w:r>
    </w:p>
    <w:p w14:paraId="7C5CE673">
      <w:pPr>
        <w:pStyle w:val="9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480" w:firstLineChars="200"/>
        <w:jc w:val="left"/>
        <w:rPr>
          <w:rFonts w:hint="eastAsia" w:ascii="宋体" w:hAnsi="宋体" w:cs="宋体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  <w:lang w:val="en-US" w:eastAsia="zh-CN"/>
        </w:rPr>
      </w:pPr>
      <w:r>
        <w:rPr>
          <w:rFonts w:hint="eastAsia" w:ascii="宋体" w:hAnsi="宋体" w:cs="宋体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  <w:lang w:val="en-US" w:eastAsia="zh-CN"/>
        </w:rPr>
        <w:t>2025年，我局政务公开工作虽取得一定进展，但仍存在一些问题：政务公开与业务科室的协同联动不够紧密，部分信息的发布存在流程衔接不畅的情况，影响了公开效率，存在信息更新不同步的情况；另外，</w:t>
      </w:r>
      <w:r>
        <w:rPr>
          <w:rFonts w:hint="eastAsia" w:ascii="宋体" w:hAnsi="宋体" w:eastAsia="宋体" w:cs="宋体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政府信息公开培训和宣传力度</w:t>
      </w:r>
      <w:r>
        <w:rPr>
          <w:rFonts w:hint="eastAsia" w:ascii="宋体" w:hAnsi="宋体" w:cs="宋体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  <w:lang w:eastAsia="zh-CN"/>
        </w:rPr>
        <w:t>仍</w:t>
      </w:r>
      <w:r>
        <w:rPr>
          <w:rFonts w:hint="eastAsia" w:ascii="宋体" w:hAnsi="宋体" w:eastAsia="宋体" w:cs="宋体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有待提升</w:t>
      </w:r>
      <w:r>
        <w:rPr>
          <w:rFonts w:hint="eastAsia" w:ascii="宋体" w:hAnsi="宋体" w:cs="宋体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  <w:lang w:eastAsia="zh-CN"/>
        </w:rPr>
        <w:t>。</w:t>
      </w:r>
      <w:r>
        <w:rPr>
          <w:rFonts w:hint="eastAsia" w:ascii="宋体" w:hAnsi="宋体" w:cs="宋体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  <w:lang w:val="en-US" w:eastAsia="zh-CN"/>
        </w:rPr>
        <w:t>下一步，我局将基于以上问题进行优化提升：</w:t>
      </w:r>
      <w:r>
        <w:rPr>
          <w:rFonts w:hint="eastAsia" w:ascii="宋体" w:hAnsi="宋体" w:eastAsia="宋体" w:cs="宋体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加强政府信息公开工作人员的业务培训</w:t>
      </w:r>
      <w:r>
        <w:rPr>
          <w:rFonts w:hint="eastAsia" w:ascii="宋体" w:hAnsi="宋体" w:cs="宋体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  <w:lang w:eastAsia="zh-CN"/>
        </w:rPr>
        <w:t>，</w:t>
      </w:r>
      <w:r>
        <w:rPr>
          <w:rFonts w:hint="eastAsia" w:ascii="宋体" w:hAnsi="宋体" w:cs="宋体"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  <w:lang w:val="en-US" w:eastAsia="zh-CN"/>
        </w:rPr>
        <w:t>进一步加强业务流程梳理，强化部门间的协同联动，提升信息公开的及时性；同时，细化监督考核的具体标准，将政务公开工作纳入日常业务督查范围，确保各项公开要求落地见效，持续提升政府工作透明度，更好地满足公众的信息获取需求。</w:t>
      </w:r>
    </w:p>
    <w:p w14:paraId="6924B220">
      <w:pPr>
        <w:pStyle w:val="9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482" w:firstLineChars="200"/>
        <w:jc w:val="left"/>
        <w:rPr>
          <w:rFonts w:hint="eastAsia" w:ascii="宋体" w:hAnsi="宋体" w:eastAsia="宋体" w:cs="宋体"/>
          <w:b/>
          <w:bCs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</w:pPr>
      <w:r>
        <w:rPr>
          <w:rFonts w:hint="eastAsia" w:ascii="宋体" w:hAnsi="宋体" w:cs="宋体"/>
          <w:b/>
          <w:bCs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  <w:lang w:val="en-US" w:eastAsia="zh-CN"/>
        </w:rPr>
        <w:t>六、其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他需要报告的事项</w:t>
      </w:r>
    </w:p>
    <w:p w14:paraId="3477B18D">
      <w:pPr>
        <w:ind w:firstLine="480" w:firstLineChars="200"/>
        <w:rPr>
          <w:rFonts w:ascii="宋体" w:hAnsi="宋体" w:eastAsia="宋体" w:cs="宋体"/>
          <w:i w:val="0"/>
          <w:iCs w:val="0"/>
          <w:caps w:val="0"/>
          <w:smallCaps w:val="0"/>
          <w:color w:val="333333"/>
          <w:spacing w:val="0"/>
          <w:kern w:val="0"/>
          <w:sz w:val="24"/>
          <w:szCs w:val="24"/>
          <w:shd w:val="clear" w:color="auto" w:fill="FFFFFF"/>
          <w:lang w:val="en-US" w:eastAsia="zh-CN" w:bidi="ar-SA"/>
        </w:rPr>
      </w:pPr>
      <w:r>
        <w:rPr>
          <w:rFonts w:ascii="宋体" w:hAnsi="宋体" w:eastAsia="宋体" w:cs="宋体"/>
          <w:i w:val="0"/>
          <w:iCs w:val="0"/>
          <w:caps w:val="0"/>
          <w:smallCaps w:val="0"/>
          <w:color w:val="333333"/>
          <w:spacing w:val="0"/>
          <w:kern w:val="0"/>
          <w:sz w:val="24"/>
          <w:szCs w:val="24"/>
          <w:shd w:val="clear" w:color="auto" w:fill="FFFFFF"/>
          <w:lang w:val="en-US" w:eastAsia="zh-CN" w:bidi="ar-SA"/>
        </w:rPr>
        <w:t>202</w:t>
      </w:r>
      <w:r>
        <w:rPr>
          <w:rFonts w:hint="eastAsia" w:ascii="宋体" w:hAnsi="宋体" w:cs="宋体"/>
          <w:i w:val="0"/>
          <w:iCs w:val="0"/>
          <w:caps w:val="0"/>
          <w:smallCaps w:val="0"/>
          <w:color w:val="333333"/>
          <w:spacing w:val="0"/>
          <w:kern w:val="0"/>
          <w:sz w:val="24"/>
          <w:szCs w:val="24"/>
          <w:shd w:val="clear" w:color="auto" w:fill="FFFFFF"/>
          <w:lang w:val="en-US" w:eastAsia="zh-CN" w:bidi="ar-SA"/>
        </w:rPr>
        <w:t>5</w:t>
      </w:r>
      <w:r>
        <w:rPr>
          <w:rFonts w:ascii="宋体" w:hAnsi="宋体" w:eastAsia="宋体" w:cs="宋体"/>
          <w:i w:val="0"/>
          <w:iCs w:val="0"/>
          <w:caps w:val="0"/>
          <w:smallCaps w:val="0"/>
          <w:color w:val="333333"/>
          <w:spacing w:val="0"/>
          <w:kern w:val="0"/>
          <w:sz w:val="24"/>
          <w:szCs w:val="24"/>
          <w:shd w:val="clear" w:color="auto" w:fill="FFFFFF"/>
          <w:lang w:val="en-US" w:eastAsia="zh-CN" w:bidi="ar-SA"/>
        </w:rPr>
        <w:t>年，城管局没有收取信息处理费</w:t>
      </w:r>
      <w:r>
        <w:rPr>
          <w:rFonts w:hint="eastAsia" w:ascii="宋体" w:hAnsi="宋体" w:cs="宋体"/>
          <w:i w:val="0"/>
          <w:iCs w:val="0"/>
          <w:caps w:val="0"/>
          <w:smallCaps w:val="0"/>
          <w:color w:val="333333"/>
          <w:spacing w:val="0"/>
          <w:kern w:val="0"/>
          <w:sz w:val="24"/>
          <w:szCs w:val="24"/>
          <w:shd w:val="clear" w:color="auto" w:fill="FFFFFF"/>
          <w:lang w:val="en-US" w:eastAsia="zh-CN" w:bidi="ar-SA"/>
        </w:rPr>
        <w:t>，</w:t>
      </w:r>
      <w:r>
        <w:rPr>
          <w:rFonts w:ascii="宋体" w:hAnsi="宋体" w:eastAsia="宋体" w:cs="宋体"/>
          <w:i w:val="0"/>
          <w:iCs w:val="0"/>
          <w:caps w:val="0"/>
          <w:smallCaps w:val="0"/>
          <w:color w:val="333333"/>
          <w:spacing w:val="0"/>
          <w:kern w:val="0"/>
          <w:sz w:val="24"/>
          <w:szCs w:val="24"/>
          <w:shd w:val="clear" w:color="auto" w:fill="FFFFFF"/>
          <w:lang w:val="en-US" w:eastAsia="zh-CN" w:bidi="ar-SA"/>
        </w:rPr>
        <w:t>无其他需要报告事项。</w:t>
      </w:r>
    </w:p>
    <w:p w14:paraId="50B902B8">
      <w:pPr>
        <w:pStyle w:val="2"/>
        <w:jc w:val="right"/>
        <w:rPr>
          <w:rFonts w:hint="eastAsia" w:ascii="宋体" w:hAnsi="宋体" w:cs="宋体"/>
          <w:i w:val="0"/>
          <w:iCs w:val="0"/>
          <w:caps w:val="0"/>
          <w:smallCaps w:val="0"/>
          <w:color w:val="333333"/>
          <w:spacing w:val="0"/>
          <w:kern w:val="0"/>
          <w:sz w:val="24"/>
          <w:szCs w:val="24"/>
          <w:shd w:val="clear" w:color="auto" w:fill="FFFFFF"/>
          <w:lang w:val="en-US" w:eastAsia="zh-CN" w:bidi="ar-SA"/>
        </w:rPr>
      </w:pPr>
      <w:r>
        <w:rPr>
          <w:rFonts w:hint="eastAsia" w:ascii="宋体" w:hAnsi="宋体" w:cs="宋体"/>
          <w:i w:val="0"/>
          <w:iCs w:val="0"/>
          <w:caps w:val="0"/>
          <w:smallCaps w:val="0"/>
          <w:color w:val="333333"/>
          <w:spacing w:val="0"/>
          <w:kern w:val="0"/>
          <w:sz w:val="24"/>
          <w:szCs w:val="24"/>
          <w:shd w:val="clear" w:color="auto" w:fill="FFFFFF"/>
          <w:lang w:val="en-US" w:eastAsia="zh-CN" w:bidi="ar-SA"/>
        </w:rPr>
        <w:t xml:space="preserve">                 </w:t>
      </w:r>
    </w:p>
    <w:p w14:paraId="671A2E52">
      <w:pPr>
        <w:pStyle w:val="2"/>
        <w:jc w:val="right"/>
        <w:rPr>
          <w:rFonts w:hint="default"/>
          <w:lang w:val="en-US" w:eastAsia="zh-CN"/>
        </w:rPr>
      </w:pPr>
      <w:r>
        <w:rPr>
          <w:rFonts w:hint="eastAsia" w:ascii="宋体" w:hAnsi="宋体" w:cs="宋体"/>
          <w:i w:val="0"/>
          <w:iCs w:val="0"/>
          <w:caps w:val="0"/>
          <w:smallCaps w:val="0"/>
          <w:color w:val="333333"/>
          <w:spacing w:val="0"/>
          <w:kern w:val="0"/>
          <w:sz w:val="24"/>
          <w:szCs w:val="24"/>
          <w:shd w:val="clear" w:color="auto" w:fill="FFFFFF"/>
          <w:lang w:val="en-US" w:eastAsia="zh-CN" w:bidi="ar-SA"/>
        </w:rPr>
        <w:t xml:space="preserve">   2026年1月6日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DejaVu Sans"/>
    <w:panose1 w:val="02020603050405020304"/>
    <w:charset w:val="50"/>
    <w:family w:val="auto"/>
    <w:pitch w:val="default"/>
    <w:sig w:usb0="00000000" w:usb1="00000000" w:usb2="00000009" w:usb3="00000000" w:csb0="400001FF" w:csb1="FFFF0000"/>
  </w:font>
  <w:font w:name="宋体">
    <w:altName w:val="方正书宋_GBK"/>
    <w:panose1 w:val="02010600030101010101"/>
    <w:charset w:val="50"/>
    <w:family w:val="auto"/>
    <w:pitch w:val="default"/>
    <w:sig w:usb0="00000000" w:usb1="00000000" w:usb2="00000006" w:usb3="00000000" w:csb0="00040001" w:csb1="00000000"/>
  </w:font>
  <w:font w:name="Wingdings">
    <w:altName w:val="MathJax_Vector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MathJax_Vector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楷体">
    <w:altName w:val="方正楷体_GBK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方正楷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4F4C360"/>
    <w:multiLevelType w:val="singleLevel"/>
    <w:tmpl w:val="14F4C360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</w:compat>
  <w:docVars>
    <w:docVar w:name="commondata" w:val="eyJoZGlkIjoiOTQyODQ4M2E5MTJjMmI5MWNmMzZkOTBjNmY4NWJjMzMifQ=="/>
  </w:docVars>
  <w:rsids>
    <w:rsidRoot w:val="00000000"/>
    <w:rsid w:val="6AF73E08"/>
    <w:rsid w:val="6D9B152F"/>
    <w:rsid w:val="6F3B7200"/>
    <w:rsid w:val="735CE72B"/>
    <w:rsid w:val="779FB5FE"/>
    <w:rsid w:val="79EF7B61"/>
    <w:rsid w:val="7EF9F347"/>
    <w:rsid w:val="7F75D561"/>
    <w:rsid w:val="7FBF2538"/>
    <w:rsid w:val="A9FFDE09"/>
    <w:rsid w:val="D7EFD88B"/>
    <w:rsid w:val="ECD78829"/>
    <w:rsid w:val="F6D3186E"/>
    <w:rsid w:val="FDFD00B0"/>
    <w:rsid w:val="FFBF75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nhideWhenUsed="0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qFormat="1"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Arial"/>
      <w:kern w:val="2"/>
      <w:sz w:val="21"/>
      <w:szCs w:val="24"/>
      <w:lang w:val="en-US" w:eastAsia="zh-CN" w:bidi="ar-SA"/>
    </w:rPr>
  </w:style>
  <w:style w:type="paragraph" w:styleId="5">
    <w:name w:val="heading 1"/>
    <w:basedOn w:val="1"/>
    <w:next w:val="1"/>
    <w:link w:val="12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6">
    <w:name w:val="heading 2"/>
    <w:basedOn w:val="1"/>
    <w:next w:val="1"/>
    <w:link w:val="13"/>
    <w:qFormat/>
    <w:uiPriority w:val="0"/>
    <w:pPr>
      <w:keepNext/>
      <w:keepLines/>
      <w:spacing w:before="260" w:after="260" w:line="415" w:lineRule="auto"/>
      <w:outlineLvl w:val="1"/>
    </w:pPr>
    <w:rPr>
      <w:rFonts w:ascii="Times New Roman" w:hAnsi="Times New Roman" w:eastAsia="黑体"/>
      <w:b/>
      <w:bCs/>
      <w:sz w:val="32"/>
      <w:szCs w:val="32"/>
    </w:rPr>
  </w:style>
  <w:style w:type="paragraph" w:styleId="7">
    <w:name w:val="heading 3"/>
    <w:basedOn w:val="1"/>
    <w:next w:val="1"/>
    <w:link w:val="14"/>
    <w:qFormat/>
    <w:uiPriority w:val="0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paragraph" w:styleId="8">
    <w:name w:val="heading 4"/>
    <w:basedOn w:val="1"/>
    <w:next w:val="1"/>
    <w:link w:val="15"/>
    <w:qFormat/>
    <w:uiPriority w:val="0"/>
    <w:pPr>
      <w:spacing w:before="100" w:beforeAutospacing="1" w:after="100" w:afterAutospacing="1"/>
      <w:jc w:val="left"/>
      <w:outlineLvl w:val="3"/>
    </w:pPr>
    <w:rPr>
      <w:rFonts w:ascii="宋体" w:hAnsi="宋体" w:eastAsia="宋体" w:cs="宋体"/>
      <w:b/>
      <w:bCs/>
      <w:kern w:val="0"/>
      <w:sz w:val="24"/>
      <w:szCs w:val="24"/>
      <w:lang w:val="en-US" w:eastAsia="zh-CN"/>
    </w:rPr>
  </w:style>
  <w:style w:type="character" w:default="1" w:styleId="11">
    <w:name w:val="Default Paragraph Font"/>
    <w:qFormat/>
    <w:uiPriority w:val="0"/>
  </w:style>
  <w:style w:type="table" w:default="1" w:styleId="10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next w:val="4"/>
    <w:qFormat/>
    <w:uiPriority w:val="0"/>
    <w:pPr>
      <w:ind w:firstLine="200" w:firstLineChars="200"/>
    </w:pPr>
  </w:style>
  <w:style w:type="paragraph" w:styleId="3">
    <w:name w:val="Body Text Indent"/>
    <w:basedOn w:val="1"/>
    <w:next w:val="1"/>
    <w:qFormat/>
    <w:uiPriority w:val="0"/>
    <w:pPr>
      <w:ind w:left="200" w:leftChars="200"/>
    </w:pPr>
    <w:rPr>
      <w:rFonts w:ascii="Times New Roman" w:hAnsi="Times New Roman" w:eastAsia="宋体" w:cs="Times New Roman"/>
    </w:rPr>
  </w:style>
  <w:style w:type="paragraph" w:styleId="4">
    <w:name w:val="Block Text"/>
    <w:basedOn w:val="1"/>
    <w:next w:val="1"/>
    <w:qFormat/>
    <w:uiPriority w:val="0"/>
    <w:pPr>
      <w:spacing w:after="120"/>
      <w:ind w:left="700" w:leftChars="700" w:right="700" w:rightChars="700"/>
    </w:pPr>
  </w:style>
  <w:style w:type="paragraph" w:styleId="9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/>
    </w:rPr>
  </w:style>
  <w:style w:type="character" w:customStyle="1" w:styleId="12">
    <w:name w:val="heading 1 Char"/>
    <w:basedOn w:val="11"/>
    <w:link w:val="5"/>
    <w:qFormat/>
    <w:uiPriority w:val="0"/>
    <w:rPr>
      <w:rFonts w:ascii="Calibri" w:hAnsi="Calibri" w:eastAsia="宋体" w:cs="Arial"/>
      <w:b/>
      <w:bCs/>
      <w:kern w:val="44"/>
      <w:sz w:val="44"/>
      <w:szCs w:val="44"/>
      <w:lang w:val="en-US" w:eastAsia="zh-CN" w:bidi="ar-SA"/>
    </w:rPr>
  </w:style>
  <w:style w:type="character" w:customStyle="1" w:styleId="13">
    <w:name w:val="heading 2 Char"/>
    <w:basedOn w:val="11"/>
    <w:link w:val="6"/>
    <w:qFormat/>
    <w:uiPriority w:val="0"/>
    <w:rPr>
      <w:rFonts w:ascii="Times New Roman" w:hAnsi="Times New Roman" w:eastAsia="黑体" w:cs="Arial"/>
      <w:b/>
      <w:bCs/>
      <w:kern w:val="2"/>
      <w:sz w:val="32"/>
      <w:szCs w:val="32"/>
      <w:lang w:val="en-US" w:eastAsia="zh-CN" w:bidi="ar-SA"/>
    </w:rPr>
  </w:style>
  <w:style w:type="character" w:customStyle="1" w:styleId="14">
    <w:name w:val="heading 3 Char"/>
    <w:basedOn w:val="11"/>
    <w:link w:val="7"/>
    <w:qFormat/>
    <w:uiPriority w:val="0"/>
    <w:rPr>
      <w:rFonts w:ascii="Calibri" w:hAnsi="Calibri" w:eastAsia="宋体" w:cs="Arial"/>
      <w:b/>
      <w:bCs/>
      <w:kern w:val="2"/>
      <w:sz w:val="32"/>
      <w:szCs w:val="32"/>
      <w:lang w:val="en-US" w:eastAsia="zh-CN" w:bidi="ar-SA"/>
    </w:rPr>
  </w:style>
  <w:style w:type="character" w:customStyle="1" w:styleId="15">
    <w:name w:val="heading 4 Char"/>
    <w:basedOn w:val="11"/>
    <w:link w:val="8"/>
    <w:qFormat/>
    <w:uiPriority w:val="0"/>
    <w:rPr>
      <w:rFonts w:ascii="宋体" w:hAnsi="宋体" w:eastAsia="宋体" w:cs="宋体"/>
      <w:b/>
      <w:bCs/>
      <w:kern w:val="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 主题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主题">
      <a:majorFont>
        <a:latin typeface=""/>
        <a:ea typeface=""/>
        <a:cs typeface=""/>
      </a:majorFont>
      <a:minorFont>
        <a:latin typeface=""/>
        <a:ea typeface=""/>
        <a:cs typeface=""/>
      </a:minorFont>
    </a:fontScheme>
    <a:fmtScheme name="Office 主题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1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1"/>
        </a:gradFill>
      </a:fillStyleLst>
      <a:lnStyleLst>
        <a:ln w="6350" cap="flat" cmpd="sng">
          <a:solidFill>
            <a:schemeClr val="phClr"/>
          </a:solidFill>
          <a:prstDash val="solid"/>
          <a:miter/>
        </a:ln>
        <a:ln w="12700" cap="flat" cmpd="sng">
          <a:solidFill>
            <a:schemeClr val="phClr"/>
          </a:solidFill>
          <a:prstDash val="solid"/>
          <a:miter/>
        </a:ln>
        <a:ln w="19050" cap="flat" cmpd="sng">
          <a:solidFill>
            <a:schemeClr val="phClr"/>
          </a:solidFill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2745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1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ustomData xmlns="http://www.yozosoft.com.cn/officeDocument/2016/customData">
  <customProps xmlns="http://www.yozosoft.com.cn/officeDocument/2016/customData">
    <docPr xmlns="http://www.yozosoft.com.cn/officeDocument/2016/customData" revisions="3 0 5 0 0 0 1 0 0 0 3678 0 1 1 1 1"/>
    <sectPr xmlns="http://www.yozosoft.com.cn/officeDocument/2016/customData"/>
  </customProps>
</customData>
</file>

<file path=customXml/itemProps1.xml><?xml version="1.0" encoding="utf-8"?>
<ds:datastoreItem xmlns:ds="http://schemas.openxmlformats.org/officeDocument/2006/customXml" ds:itemID="{D8303D4B-A1A5-4650-9634-7A9099762500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Pages>5</Pages>
  <Words>2191</Words>
  <Characters>2289</Characters>
  <Lines>0</Lines>
  <Paragraphs>28</Paragraphs>
  <TotalTime>1</TotalTime>
  <ScaleCrop>false</ScaleCrop>
  <LinksUpToDate>false</LinksUpToDate>
  <CharactersWithSpaces>2297</CharactersWithSpaces>
  <Application>WPS Office_12.1.2.22550_F1E327BC-269C-435d-A152-05C5408002CA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2022-01-09T07:29:00Z</dcterms:created>
  <dc:creator>Administrator</dc:creator>
  <cp:lastModifiedBy>huawei</cp:lastModifiedBy>
  <cp:lastPrinted>2026-01-06T18:06:00Z</cp:lastPrinted>
  <dcterms:modified xsi:type="dcterms:W3CDTF">2026-01-20T15:08:12Z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2052-12.1.2.22550</vt:lpwstr>
  </property>
  <property fmtid="{D5CDD505-2E9C-101B-9397-08002B2CF9AE}" pid="3" name="ICV">
    <vt:lpwstr>40A585F9DB8116E5BE1D5B692CBCEB37_43</vt:lpwstr>
  </property>
  <property fmtid="{D5CDD505-2E9C-101B-9397-08002B2CF9AE}" pid="4" name="KSOTemplateDocerSaveRecord">
    <vt:lpwstr>eyJoZGlkIjoiZmQyMGQzOTI1NDM1YzViMTExMTcyOTkyNDIwZTRmNTgiLCJ1c2VySWQiOiI2NDA2NjgwMjYifQ==</vt:lpwstr>
  </property>
</Properties>
</file>