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223E" w:rsidRDefault="003E1494">
      <w:pPr>
        <w:spacing w:before="118" w:line="640" w:lineRule="atLeast"/>
        <w:jc w:val="center"/>
        <w:rPr>
          <w:rFonts w:ascii="Times New Roman" w:eastAsia="方正小标宋简体" w:hAnsi="Times New Roman" w:cs="Times New Roman"/>
          <w:spacing w:val="7"/>
          <w:position w:val="3"/>
          <w:sz w:val="40"/>
          <w:szCs w:val="28"/>
        </w:rPr>
      </w:pPr>
      <w:bookmarkStart w:id="0" w:name="_Hlk221193338"/>
      <w:bookmarkEnd w:id="0"/>
      <w:r>
        <w:rPr>
          <w:rFonts w:ascii="Times New Roman" w:eastAsia="方正小标宋简体" w:hAnsi="Times New Roman" w:cs="Times New Roman" w:hint="eastAsia"/>
          <w:spacing w:val="7"/>
          <w:position w:val="3"/>
          <w:sz w:val="40"/>
          <w:szCs w:val="28"/>
        </w:rPr>
        <w:t>河渠</w:t>
      </w:r>
      <w:r>
        <w:rPr>
          <w:rFonts w:ascii="Times New Roman" w:eastAsia="方正小标宋简体" w:hAnsi="Times New Roman" w:cs="Times New Roman"/>
          <w:spacing w:val="7"/>
          <w:position w:val="3"/>
          <w:sz w:val="40"/>
          <w:szCs w:val="28"/>
        </w:rPr>
        <w:t>镇国土空间总体规划（</w:t>
      </w:r>
      <w:r>
        <w:rPr>
          <w:rFonts w:ascii="Times New Roman" w:eastAsia="方正小标宋简体" w:hAnsi="Times New Roman" w:cs="Times New Roman"/>
          <w:spacing w:val="7"/>
          <w:position w:val="3"/>
          <w:sz w:val="40"/>
          <w:szCs w:val="28"/>
        </w:rPr>
        <w:t>2021—2035</w:t>
      </w:r>
      <w:r>
        <w:rPr>
          <w:rFonts w:ascii="Times New Roman" w:eastAsia="方正小标宋简体" w:hAnsi="Times New Roman" w:cs="Times New Roman"/>
          <w:spacing w:val="7"/>
          <w:position w:val="3"/>
          <w:sz w:val="40"/>
          <w:szCs w:val="28"/>
        </w:rPr>
        <w:t>年）</w:t>
      </w:r>
    </w:p>
    <w:p w:rsidR="00E3223E" w:rsidRDefault="003E1494">
      <w:pPr>
        <w:spacing w:before="118" w:line="640" w:lineRule="atLeast"/>
        <w:jc w:val="center"/>
        <w:rPr>
          <w:rFonts w:ascii="Times New Roman" w:eastAsia="方正小标宋简体" w:hAnsi="Times New Roman" w:cs="Times New Roman"/>
          <w:spacing w:val="14"/>
          <w:position w:val="4"/>
          <w:sz w:val="40"/>
          <w:szCs w:val="28"/>
        </w:rPr>
      </w:pPr>
      <w:r>
        <w:rPr>
          <w:rFonts w:ascii="Times New Roman" w:eastAsia="方正小标宋简体" w:hAnsi="Times New Roman" w:cs="Times New Roman"/>
          <w:spacing w:val="14"/>
          <w:position w:val="4"/>
          <w:sz w:val="40"/>
          <w:szCs w:val="28"/>
        </w:rPr>
        <w:t>（批后公</w:t>
      </w:r>
      <w:r w:rsidR="00BD75CA">
        <w:rPr>
          <w:rFonts w:ascii="Times New Roman" w:eastAsia="方正小标宋简体" w:hAnsi="Times New Roman" w:cs="Times New Roman" w:hint="eastAsia"/>
          <w:spacing w:val="14"/>
          <w:position w:val="4"/>
          <w:sz w:val="40"/>
          <w:szCs w:val="28"/>
        </w:rPr>
        <w:t>布</w:t>
      </w:r>
      <w:r>
        <w:rPr>
          <w:rFonts w:ascii="Times New Roman" w:eastAsia="方正小标宋简体" w:hAnsi="Times New Roman" w:cs="Times New Roman"/>
          <w:spacing w:val="14"/>
          <w:position w:val="4"/>
          <w:sz w:val="40"/>
          <w:szCs w:val="28"/>
        </w:rPr>
        <w:t>）</w:t>
      </w:r>
    </w:p>
    <w:p w:rsidR="00E3223E" w:rsidRDefault="00E3223E">
      <w:pPr>
        <w:pStyle w:val="2"/>
        <w:rPr>
          <w:rFonts w:ascii="Times New Roman" w:hAnsi="Times New Roman" w:cs="Times New Roman"/>
        </w:rPr>
      </w:pPr>
    </w:p>
    <w:p w:rsidR="00E3223E" w:rsidRDefault="003E1494" w:rsidP="00F920D9">
      <w:pPr>
        <w:spacing w:line="640" w:lineRule="exact"/>
        <w:outlineLvl w:val="1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一、规划范围与层次</w:t>
      </w:r>
    </w:p>
    <w:p w:rsidR="00E3223E" w:rsidRDefault="003E1494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规划包括镇域和镇政府驻地两个层次。镇域为</w:t>
      </w:r>
      <w:r>
        <w:rPr>
          <w:rFonts w:ascii="Times New Roman" w:hAnsi="Times New Roman" w:cs="Times New Roman" w:hint="eastAsia"/>
        </w:rPr>
        <w:t>河渠</w:t>
      </w:r>
      <w:r>
        <w:rPr>
          <w:rFonts w:ascii="Times New Roman" w:hAnsi="Times New Roman" w:cs="Times New Roman"/>
        </w:rPr>
        <w:t>镇行政辖区。镇政府驻地范围为河渠村</w:t>
      </w:r>
      <w:r>
        <w:rPr>
          <w:rFonts w:ascii="Times New Roman" w:hAnsi="Times New Roman" w:cs="Times New Roman" w:hint="eastAsia"/>
        </w:rPr>
        <w:t>村域</w:t>
      </w:r>
      <w:r>
        <w:rPr>
          <w:rFonts w:ascii="Times New Roman" w:hAnsi="Times New Roman" w:cs="Times New Roman"/>
        </w:rPr>
        <w:t>范围</w:t>
      </w:r>
      <w:r w:rsidR="0009562A">
        <w:rPr>
          <w:rFonts w:cs="Times New Roman" w:hint="eastAsia"/>
          <w:szCs w:val="36"/>
        </w:rPr>
        <w:t>以及</w:t>
      </w:r>
      <w:r w:rsidR="0009562A" w:rsidRPr="00AE49FB">
        <w:rPr>
          <w:rFonts w:cs="Times New Roman"/>
          <w:szCs w:val="36"/>
        </w:rPr>
        <w:t>集中连片划定城镇开发边界的范围。</w:t>
      </w:r>
    </w:p>
    <w:p w:rsidR="00E3223E" w:rsidRDefault="003E1494" w:rsidP="00F920D9">
      <w:pPr>
        <w:spacing w:line="640" w:lineRule="exact"/>
        <w:outlineLvl w:val="1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二、规划期限</w:t>
      </w:r>
    </w:p>
    <w:p w:rsidR="00E3223E" w:rsidRDefault="003E1494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规划期限为</w:t>
      </w:r>
      <w:r>
        <w:rPr>
          <w:rFonts w:ascii="Times New Roman" w:hAnsi="Times New Roman" w:cs="Times New Roman"/>
        </w:rPr>
        <w:t>2021—2035</w:t>
      </w:r>
      <w:r>
        <w:rPr>
          <w:rFonts w:ascii="Times New Roman" w:hAnsi="Times New Roman" w:cs="Times New Roman"/>
        </w:rPr>
        <w:t>年，近期至</w:t>
      </w:r>
      <w:r>
        <w:rPr>
          <w:rFonts w:ascii="Times New Roman" w:hAnsi="Times New Roman" w:cs="Times New Roman"/>
        </w:rPr>
        <w:t>2025</w:t>
      </w:r>
      <w:r>
        <w:rPr>
          <w:rFonts w:ascii="Times New Roman" w:hAnsi="Times New Roman" w:cs="Times New Roman"/>
        </w:rPr>
        <w:t>年，远景展望至</w:t>
      </w:r>
      <w:r>
        <w:rPr>
          <w:rFonts w:ascii="Times New Roman" w:hAnsi="Times New Roman" w:cs="Times New Roman"/>
        </w:rPr>
        <w:t>2050</w:t>
      </w:r>
      <w:r>
        <w:rPr>
          <w:rFonts w:ascii="Times New Roman" w:hAnsi="Times New Roman" w:cs="Times New Roman"/>
        </w:rPr>
        <w:t>年。</w:t>
      </w:r>
    </w:p>
    <w:p w:rsidR="00E3223E" w:rsidRDefault="003E1494" w:rsidP="00F920D9">
      <w:pPr>
        <w:spacing w:line="640" w:lineRule="exact"/>
        <w:outlineLvl w:val="1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三、城镇性质与目标</w:t>
      </w:r>
    </w:p>
    <w:p w:rsidR="00E3223E" w:rsidRDefault="003E1494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“邢台市食品加工产业隆起带”上重要节点城镇；以休闲食品加工、电子商务及文化艺术产业为主的工贸型城镇。</w:t>
      </w:r>
    </w:p>
    <w:p w:rsidR="00E3223E" w:rsidRDefault="003E1494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 w:rsidRPr="00040646">
        <w:rPr>
          <w:rFonts w:ascii="Times New Roman" w:hAnsi="Times New Roman" w:cs="Times New Roman" w:hint="eastAsia"/>
        </w:rPr>
        <w:t>到</w:t>
      </w:r>
      <w:r w:rsidRPr="00040646">
        <w:rPr>
          <w:rFonts w:ascii="Times New Roman" w:hAnsi="Times New Roman" w:cs="Times New Roman"/>
        </w:rPr>
        <w:t>2035</w:t>
      </w:r>
      <w:r w:rsidRPr="00040646">
        <w:rPr>
          <w:rFonts w:ascii="Times New Roman" w:hAnsi="Times New Roman" w:cs="Times New Roman" w:hint="eastAsia"/>
        </w:rPr>
        <w:t>年，</w:t>
      </w:r>
      <w:r w:rsidR="003A5907" w:rsidRPr="00040646">
        <w:rPr>
          <w:rFonts w:ascii="Times New Roman" w:hAnsi="Times New Roman" w:cs="Times New Roman" w:hint="eastAsia"/>
        </w:rPr>
        <w:t>镇村</w:t>
      </w:r>
      <w:r w:rsidR="0021247E" w:rsidRPr="00040646">
        <w:rPr>
          <w:rFonts w:ascii="Times New Roman" w:hAnsi="Times New Roman" w:cs="Times New Roman" w:hint="eastAsia"/>
        </w:rPr>
        <w:t>全面融合发展</w:t>
      </w:r>
      <w:r w:rsidR="003A5907" w:rsidRPr="00040646">
        <w:rPr>
          <w:rFonts w:ascii="Times New Roman" w:hAnsi="Times New Roman" w:cs="Times New Roman" w:hint="eastAsia"/>
        </w:rPr>
        <w:t>，公共服务设施全面改善</w:t>
      </w:r>
      <w:r w:rsidRPr="00040646">
        <w:rPr>
          <w:rFonts w:ascii="Times New Roman" w:hAnsi="Times New Roman" w:cs="Times New Roman" w:hint="eastAsia"/>
        </w:rPr>
        <w:t>，</w:t>
      </w:r>
      <w:r w:rsidR="0021247E" w:rsidRPr="00040646">
        <w:rPr>
          <w:rFonts w:ascii="Times New Roman" w:hAnsi="Times New Roman" w:cs="Times New Roman" w:hint="eastAsia"/>
        </w:rPr>
        <w:t>以休闲食品加工、电子商务及文化艺术产业为主的</w:t>
      </w:r>
      <w:r w:rsidRPr="00040646">
        <w:rPr>
          <w:rFonts w:ascii="Times New Roman" w:hAnsi="Times New Roman" w:cs="Times New Roman" w:hint="eastAsia"/>
        </w:rPr>
        <w:t>现代产业体系</w:t>
      </w:r>
      <w:r w:rsidR="0021247E" w:rsidRPr="00040646">
        <w:rPr>
          <w:rFonts w:ascii="Times New Roman" w:hAnsi="Times New Roman" w:cs="Times New Roman" w:hint="eastAsia"/>
        </w:rPr>
        <w:t>全面形成；</w:t>
      </w:r>
      <w:r w:rsidR="003A5907" w:rsidRPr="00040646">
        <w:rPr>
          <w:rFonts w:ascii="Times New Roman" w:hAnsi="Times New Roman" w:cs="Times New Roman" w:hint="eastAsia"/>
        </w:rPr>
        <w:t>“邢台市食品加工产业隆起带”上重要节点城镇</w:t>
      </w:r>
      <w:r w:rsidR="0021247E" w:rsidRPr="00040646">
        <w:rPr>
          <w:rFonts w:ascii="Times New Roman" w:hAnsi="Times New Roman" w:cs="Times New Roman" w:hint="eastAsia"/>
        </w:rPr>
        <w:t>全面建成，成为</w:t>
      </w:r>
      <w:r w:rsidR="00040646" w:rsidRPr="00040646">
        <w:rPr>
          <w:rFonts w:ascii="Times New Roman" w:hAnsi="Times New Roman" w:cs="Times New Roman" w:hint="eastAsia"/>
        </w:rPr>
        <w:t>宁晋县</w:t>
      </w:r>
      <w:r w:rsidR="0021247E" w:rsidRPr="00040646">
        <w:rPr>
          <w:rFonts w:ascii="Times New Roman" w:hAnsi="Times New Roman" w:cs="Times New Roman" w:hint="eastAsia"/>
        </w:rPr>
        <w:t>宜居宜业的工贸强镇</w:t>
      </w:r>
      <w:r w:rsidR="003A5907" w:rsidRPr="00040646">
        <w:rPr>
          <w:rFonts w:ascii="Times New Roman" w:hAnsi="Times New Roman" w:cs="Times New Roman" w:hint="eastAsia"/>
        </w:rPr>
        <w:t>。</w:t>
      </w:r>
    </w:p>
    <w:p w:rsidR="00E3223E" w:rsidRDefault="003E1494" w:rsidP="00F920D9">
      <w:pPr>
        <w:spacing w:line="640" w:lineRule="exact"/>
        <w:outlineLvl w:val="1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四、落实三条控制线</w:t>
      </w:r>
    </w:p>
    <w:p w:rsidR="00E3223E" w:rsidRDefault="003E1494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  <w:sz w:val="10"/>
          <w:szCs w:val="10"/>
        </w:rPr>
      </w:pPr>
      <w:r>
        <w:rPr>
          <w:rFonts w:ascii="Times New Roman" w:hAnsi="Times New Roman" w:cs="Times New Roman"/>
        </w:rPr>
        <w:t>落实上级下达耕地保护目标和永久基本农田保护任务，规划至</w:t>
      </w:r>
      <w:r>
        <w:rPr>
          <w:rFonts w:ascii="Times New Roman" w:hAnsi="Times New Roman" w:cs="Times New Roman"/>
        </w:rPr>
        <w:t>2035</w:t>
      </w:r>
      <w:r>
        <w:rPr>
          <w:rFonts w:ascii="Times New Roman" w:hAnsi="Times New Roman" w:cs="Times New Roman"/>
        </w:rPr>
        <w:t>年，全镇耕地保有量不低于</w:t>
      </w:r>
      <w:r w:rsidR="002C0D5E">
        <w:rPr>
          <w:rFonts w:ascii="Times New Roman" w:hAnsi="Times New Roman" w:cs="Times New Roman" w:hint="eastAsia"/>
        </w:rPr>
        <w:t>61.14</w:t>
      </w:r>
      <w:r w:rsidR="002C0D5E">
        <w:rPr>
          <w:rFonts w:ascii="Times New Roman" w:hAnsi="Times New Roman" w:cs="Times New Roman" w:hint="eastAsia"/>
        </w:rPr>
        <w:t>平方千米</w:t>
      </w:r>
      <w:r>
        <w:rPr>
          <w:rFonts w:ascii="Times New Roman" w:hAnsi="Times New Roman" w:cs="Times New Roman" w:hint="eastAsia"/>
        </w:rPr>
        <w:t>（</w:t>
      </w:r>
      <w:r w:rsidR="002C0D5E">
        <w:rPr>
          <w:rFonts w:ascii="Times New Roman" w:hAnsi="Times New Roman" w:cs="Times New Roman" w:hint="eastAsia"/>
        </w:rPr>
        <w:t>9.17</w:t>
      </w:r>
      <w:r w:rsidR="002C0D5E">
        <w:rPr>
          <w:rFonts w:ascii="Times New Roman" w:hAnsi="Times New Roman" w:cs="Times New Roman" w:hint="eastAsia"/>
        </w:rPr>
        <w:t>万</w:t>
      </w:r>
      <w:r>
        <w:rPr>
          <w:rFonts w:ascii="Times New Roman" w:hAnsi="Times New Roman" w:cs="Times New Roman" w:hint="eastAsia"/>
        </w:rPr>
        <w:t>亩）</w:t>
      </w:r>
      <w:r>
        <w:rPr>
          <w:rFonts w:ascii="Times New Roman" w:hAnsi="Times New Roman" w:cs="Times New Roman"/>
        </w:rPr>
        <w:t>，永久基本农田面积不低于</w:t>
      </w:r>
      <w:r w:rsidR="002C0D5E">
        <w:rPr>
          <w:rFonts w:ascii="Times New Roman" w:hAnsi="Times New Roman" w:cs="Times New Roman" w:hint="eastAsia"/>
        </w:rPr>
        <w:t>56.53</w:t>
      </w:r>
      <w:r w:rsidR="002C0D5E">
        <w:rPr>
          <w:rFonts w:ascii="Times New Roman" w:hAnsi="Times New Roman" w:cs="Times New Roman" w:hint="eastAsia"/>
        </w:rPr>
        <w:t>平方千米</w:t>
      </w:r>
      <w:r>
        <w:rPr>
          <w:rFonts w:ascii="Times New Roman" w:hAnsi="Times New Roman" w:cs="Times New Roman" w:hint="eastAsia"/>
        </w:rPr>
        <w:t>（</w:t>
      </w:r>
      <w:r w:rsidR="002C0D5E">
        <w:rPr>
          <w:rFonts w:ascii="Times New Roman" w:hAnsi="Times New Roman" w:cs="Times New Roman" w:hint="eastAsia"/>
        </w:rPr>
        <w:t>8.48</w:t>
      </w:r>
      <w:r w:rsidR="002C0D5E">
        <w:rPr>
          <w:rFonts w:ascii="Times New Roman" w:hAnsi="Times New Roman" w:cs="Times New Roman" w:hint="eastAsia"/>
        </w:rPr>
        <w:t>万</w:t>
      </w:r>
      <w:r>
        <w:rPr>
          <w:rFonts w:ascii="Times New Roman" w:hAnsi="Times New Roman" w:cs="Times New Roman" w:hint="eastAsia"/>
        </w:rPr>
        <w:t>亩）</w:t>
      </w:r>
      <w:r>
        <w:rPr>
          <w:rFonts w:ascii="Times New Roman" w:hAnsi="Times New Roman" w:cs="Times New Roman"/>
        </w:rPr>
        <w:t>。</w:t>
      </w:r>
      <w:r>
        <w:rPr>
          <w:rFonts w:ascii="Times New Roman" w:hAnsi="Times New Roman" w:cs="Times New Roman" w:hint="eastAsia"/>
        </w:rPr>
        <w:t>河渠</w:t>
      </w:r>
      <w:r>
        <w:rPr>
          <w:rFonts w:ascii="Times New Roman" w:hAnsi="Times New Roman" w:cs="Times New Roman"/>
        </w:rPr>
        <w:t>镇不涉及生态保护红线。落实城镇开发边界</w:t>
      </w:r>
      <w:r w:rsidR="002C0D5E">
        <w:rPr>
          <w:rFonts w:ascii="Times New Roman" w:hAnsi="Times New Roman" w:cs="Times New Roman" w:hint="eastAsia"/>
        </w:rPr>
        <w:t>规模</w:t>
      </w:r>
      <w:r>
        <w:rPr>
          <w:rFonts w:ascii="Times New Roman" w:hAnsi="Times New Roman" w:cs="Times New Roman"/>
        </w:rPr>
        <w:t>1.43</w:t>
      </w:r>
      <w:r>
        <w:rPr>
          <w:rFonts w:ascii="Times New Roman" w:hAnsi="Times New Roman" w:cs="Times New Roman"/>
        </w:rPr>
        <w:t>平方千米，城镇开发边界扩展倍数控制在基于</w:t>
      </w:r>
      <w:r>
        <w:rPr>
          <w:rFonts w:ascii="Times New Roman" w:hAnsi="Times New Roman" w:cs="Times New Roman"/>
        </w:rPr>
        <w:t>2020</w:t>
      </w:r>
      <w:r>
        <w:rPr>
          <w:rFonts w:ascii="Times New Roman" w:hAnsi="Times New Roman" w:cs="Times New Roman"/>
        </w:rPr>
        <w:t>年城镇建设用地规模的</w:t>
      </w:r>
      <w:r>
        <w:rPr>
          <w:rFonts w:ascii="Times New Roman" w:hAnsi="Times New Roman" w:cs="Times New Roman"/>
        </w:rPr>
        <w:t>1.1</w:t>
      </w:r>
      <w:r w:rsidR="002C0D5E">
        <w:rPr>
          <w:rFonts w:ascii="Times New Roman" w:hAnsi="Times New Roman" w:cs="Times New Roman" w:hint="eastAsia"/>
        </w:rPr>
        <w:t>8</w:t>
      </w:r>
      <w:r>
        <w:rPr>
          <w:rFonts w:ascii="Times New Roman" w:hAnsi="Times New Roman" w:cs="Times New Roman"/>
        </w:rPr>
        <w:t>倍以内。</w:t>
      </w:r>
    </w:p>
    <w:p w:rsidR="00E3223E" w:rsidRDefault="002C0D5E" w:rsidP="00BD75CA">
      <w:pPr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hint="eastAsia"/>
          <w:noProof/>
        </w:rPr>
        <w:lastRenderedPageBreak/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697127</wp:posOffset>
            </wp:positionH>
            <wp:positionV relativeFrom="paragraph">
              <wp:posOffset>67694</wp:posOffset>
            </wp:positionV>
            <wp:extent cx="3768090" cy="5334901"/>
            <wp:effectExtent l="0" t="0" r="3810" b="0"/>
            <wp:wrapTopAndBottom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68090" cy="53349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E1494">
        <w:rPr>
          <w:rFonts w:ascii="Times New Roman" w:eastAsia="黑体" w:hAnsi="Times New Roman" w:cs="Times New Roman"/>
          <w:spacing w:val="-3"/>
          <w:sz w:val="36"/>
          <w:szCs w:val="36"/>
        </w:rPr>
        <w:t>五、构建国土空间开发保护总体格局</w:t>
      </w:r>
    </w:p>
    <w:p w:rsidR="00E3223E" w:rsidRDefault="003E1494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以三条控制线为基础，优化农业、生态、城镇空间，构建</w:t>
      </w:r>
      <w:r>
        <w:rPr>
          <w:rFonts w:ascii="Times New Roman" w:hAnsi="Times New Roman" w:cs="Times New Roman" w:hint="eastAsia"/>
        </w:rPr>
        <w:t>“一心一带两轴四区”</w:t>
      </w:r>
      <w:r>
        <w:rPr>
          <w:rFonts w:ascii="Times New Roman" w:hAnsi="Times New Roman" w:cs="Times New Roman"/>
        </w:rPr>
        <w:t>的国土空间开发保护格局。</w:t>
      </w:r>
    </w:p>
    <w:p w:rsidR="00E3223E" w:rsidRDefault="003E1494" w:rsidP="002C0D5E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“一心”：河渠镇政府驻地河渠村，加强镇政府驻地基础设施和公共服务设施配置，不断提升镇政府驻地综合实力和辐射带动能力。</w:t>
      </w:r>
    </w:p>
    <w:p w:rsidR="00E3223E" w:rsidRDefault="003E1494" w:rsidP="002C0D5E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“一带”：依托北沙河打造滨水休闲生态带。</w:t>
      </w:r>
    </w:p>
    <w:p w:rsidR="00E3223E" w:rsidRDefault="003E1494" w:rsidP="002C0D5E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“两轴”：依托国道</w:t>
      </w:r>
      <w:r>
        <w:rPr>
          <w:rFonts w:ascii="Times New Roman" w:hAnsi="Times New Roman" w:cs="Times New Roman"/>
        </w:rPr>
        <w:t>G339</w:t>
      </w:r>
      <w:r>
        <w:rPr>
          <w:rFonts w:ascii="Times New Roman" w:hAnsi="Times New Roman" w:cs="Times New Roman"/>
        </w:rPr>
        <w:t>、</w:t>
      </w:r>
      <w:r>
        <w:rPr>
          <w:rFonts w:ascii="Times New Roman" w:hAnsi="Times New Roman" w:cs="Times New Roman"/>
        </w:rPr>
        <w:t>G515</w:t>
      </w:r>
      <w:r>
        <w:rPr>
          <w:rFonts w:ascii="Times New Roman" w:hAnsi="Times New Roman" w:cs="Times New Roman" w:hint="eastAsia"/>
        </w:rPr>
        <w:t>打造串联镇域的经济发展主轴。</w:t>
      </w:r>
    </w:p>
    <w:p w:rsidR="00E3223E" w:rsidRDefault="00BD75CA" w:rsidP="002C0D5E">
      <w:pPr>
        <w:pStyle w:val="a3"/>
        <w:spacing w:line="560" w:lineRule="exact"/>
        <w:ind w:firstLineChars="200" w:firstLine="720"/>
        <w:rPr>
          <w:rFonts w:ascii="Times New Roman" w:hAnsi="Times New Roman" w:cs="Times New Roman"/>
        </w:rPr>
      </w:pPr>
      <w:r w:rsidRPr="00F920D9">
        <w:rPr>
          <w:rFonts w:ascii="Times New Roman" w:eastAsia="黑体" w:hAnsi="Times New Roman" w:cs="Times New Roman"/>
          <w:noProof/>
          <w:spacing w:val="-3"/>
          <w:sz w:val="36"/>
          <w:szCs w:val="36"/>
        </w:rPr>
        <w:lastRenderedPageBreak/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1068705</wp:posOffset>
            </wp:positionH>
            <wp:positionV relativeFrom="paragraph">
              <wp:posOffset>789940</wp:posOffset>
            </wp:positionV>
            <wp:extent cx="3634105" cy="5144770"/>
            <wp:effectExtent l="0" t="0" r="4445" b="0"/>
            <wp:wrapTopAndBottom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34105" cy="5144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E1494">
        <w:rPr>
          <w:rFonts w:ascii="Times New Roman" w:hAnsi="Times New Roman" w:cs="Times New Roman" w:hint="eastAsia"/>
        </w:rPr>
        <w:t>“四区”：镇域内打造四处特色发展片区，分别为特色农业发展区、生态农业种植区、乡村旅游生态区以及休闲食品发展区。</w:t>
      </w:r>
    </w:p>
    <w:p w:rsidR="00E3223E" w:rsidRDefault="003E1494" w:rsidP="00F920D9">
      <w:pPr>
        <w:spacing w:line="640" w:lineRule="exact"/>
        <w:outlineLvl w:val="1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六、</w:t>
      </w:r>
      <w:r w:rsidR="002C0D5E">
        <w:rPr>
          <w:rFonts w:ascii="Times New Roman" w:eastAsia="黑体" w:hAnsi="Times New Roman" w:cs="Times New Roman" w:hint="eastAsia"/>
          <w:spacing w:val="-3"/>
          <w:sz w:val="36"/>
          <w:szCs w:val="36"/>
        </w:rPr>
        <w:t>夯实</w:t>
      </w:r>
      <w:r w:rsidR="00520992">
        <w:rPr>
          <w:rFonts w:ascii="Times New Roman" w:eastAsia="黑体" w:hAnsi="Times New Roman" w:cs="Times New Roman" w:hint="eastAsia"/>
          <w:spacing w:val="-3"/>
          <w:sz w:val="36"/>
          <w:szCs w:val="36"/>
        </w:rPr>
        <w:t>优质</w:t>
      </w:r>
      <w:r w:rsidR="002C0D5E">
        <w:rPr>
          <w:rFonts w:ascii="Times New Roman" w:eastAsia="黑体" w:hAnsi="Times New Roman" w:cs="Times New Roman" w:hint="eastAsia"/>
          <w:spacing w:val="-3"/>
          <w:sz w:val="36"/>
          <w:szCs w:val="36"/>
        </w:rPr>
        <w:t>特色</w:t>
      </w:r>
      <w:r>
        <w:rPr>
          <w:rFonts w:ascii="Times New Roman" w:eastAsia="黑体" w:hAnsi="Times New Roman" w:cs="Times New Roman"/>
          <w:spacing w:val="-3"/>
          <w:sz w:val="36"/>
          <w:szCs w:val="36"/>
        </w:rPr>
        <w:t>农业空间</w:t>
      </w:r>
    </w:p>
    <w:p w:rsidR="00E3223E" w:rsidRDefault="003E1494" w:rsidP="002C0D5E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坚持最严格的耕地保护制度，实施耕地数量、质量、生态</w:t>
      </w:r>
      <w:r>
        <w:rPr>
          <w:rFonts w:ascii="Times New Roman" w:hAnsi="Times New Roman" w:cs="Times New Roman" w:hint="eastAsia"/>
        </w:rPr>
        <w:t>“</w:t>
      </w:r>
      <w:r>
        <w:rPr>
          <w:rFonts w:ascii="Times New Roman" w:hAnsi="Times New Roman" w:cs="Times New Roman"/>
        </w:rPr>
        <w:t>三位一体</w:t>
      </w:r>
      <w:r>
        <w:rPr>
          <w:rFonts w:ascii="Times New Roman" w:hAnsi="Times New Roman" w:cs="Times New Roman" w:hint="eastAsia"/>
        </w:rPr>
        <w:t>”</w:t>
      </w:r>
      <w:r>
        <w:rPr>
          <w:rFonts w:ascii="Times New Roman" w:hAnsi="Times New Roman" w:cs="Times New Roman"/>
        </w:rPr>
        <w:t>保护，加强耕地和永久基本农田保护。</w:t>
      </w:r>
      <w:r w:rsidR="00136D4B" w:rsidRPr="00136D4B">
        <w:rPr>
          <w:rFonts w:ascii="Times New Roman" w:hAnsi="Times New Roman" w:cs="Times New Roman" w:hint="eastAsia"/>
        </w:rPr>
        <w:t>在大召村、北陈村、大南里村等水土资源条件较好、具有粮食种植传统的区域划定为粮食生产功能区，</w:t>
      </w:r>
      <w:r>
        <w:rPr>
          <w:rFonts w:ascii="Times New Roman" w:hAnsi="Times New Roman" w:cs="Times New Roman" w:hint="eastAsia"/>
        </w:rPr>
        <w:t>依托东里村、南近村、张召村等现状</w:t>
      </w:r>
      <w:r w:rsidR="00136D4B">
        <w:rPr>
          <w:rFonts w:ascii="Times New Roman" w:hAnsi="Times New Roman" w:cs="Times New Roman" w:hint="eastAsia"/>
        </w:rPr>
        <w:t>农业产业优势</w:t>
      </w:r>
      <w:r>
        <w:rPr>
          <w:rFonts w:ascii="Times New Roman" w:hAnsi="Times New Roman" w:cs="Times New Roman" w:hint="eastAsia"/>
        </w:rPr>
        <w:t>，重点围绕绿色果蔬、中药材、设施农业培育特色产业集群，打造一批特色产业优势明显、主导产业</w:t>
      </w:r>
      <w:r>
        <w:rPr>
          <w:rFonts w:ascii="Times New Roman" w:hAnsi="Times New Roman" w:cs="Times New Roman" w:hint="eastAsia"/>
        </w:rPr>
        <w:lastRenderedPageBreak/>
        <w:t>突出、经济效益明显、市场竞争力强的特色农业产业。</w:t>
      </w:r>
      <w:r w:rsidR="00136D4B">
        <w:rPr>
          <w:rFonts w:ascii="Times New Roman" w:hAnsi="Times New Roman" w:cs="Times New Roman" w:hint="eastAsia"/>
        </w:rPr>
        <w:t>科学划分村庄类型，引导村庄分类发展。科学确定新增建设空间，新增建设用地重点保障村庄一二三产融合发展。在全域范围内持续推进农用地整理及高标准农田建设，全面改善农村人居环境。</w:t>
      </w:r>
    </w:p>
    <w:p w:rsidR="00E3223E" w:rsidRDefault="003E1494" w:rsidP="00F920D9">
      <w:pPr>
        <w:spacing w:line="640" w:lineRule="exact"/>
        <w:outlineLvl w:val="1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七、保护</w:t>
      </w:r>
      <w:r w:rsidR="007523F0">
        <w:rPr>
          <w:rFonts w:ascii="Times New Roman" w:eastAsia="黑体" w:hAnsi="Times New Roman" w:cs="Times New Roman"/>
          <w:spacing w:val="-3"/>
          <w:sz w:val="36"/>
          <w:szCs w:val="36"/>
        </w:rPr>
        <w:t>水</w:t>
      </w:r>
      <w:r w:rsidR="00520992">
        <w:rPr>
          <w:rFonts w:ascii="Times New Roman" w:eastAsia="黑体" w:hAnsi="Times New Roman" w:cs="Times New Roman" w:hint="eastAsia"/>
          <w:spacing w:val="-3"/>
          <w:sz w:val="36"/>
          <w:szCs w:val="36"/>
        </w:rPr>
        <w:t>清</w:t>
      </w:r>
      <w:r>
        <w:rPr>
          <w:rFonts w:ascii="Times New Roman" w:eastAsia="黑体" w:hAnsi="Times New Roman" w:cs="Times New Roman"/>
          <w:spacing w:val="-3"/>
          <w:sz w:val="36"/>
          <w:szCs w:val="36"/>
        </w:rPr>
        <w:t>林</w:t>
      </w:r>
      <w:r w:rsidR="00520992">
        <w:rPr>
          <w:rFonts w:ascii="Times New Roman" w:eastAsia="黑体" w:hAnsi="Times New Roman" w:cs="Times New Roman" w:hint="eastAsia"/>
          <w:spacing w:val="-3"/>
          <w:sz w:val="36"/>
          <w:szCs w:val="36"/>
        </w:rPr>
        <w:t>茂</w:t>
      </w:r>
      <w:r>
        <w:rPr>
          <w:rFonts w:ascii="Times New Roman" w:eastAsia="黑体" w:hAnsi="Times New Roman" w:cs="Times New Roman"/>
          <w:spacing w:val="-3"/>
          <w:sz w:val="36"/>
          <w:szCs w:val="36"/>
        </w:rPr>
        <w:t>生态空间</w:t>
      </w:r>
    </w:p>
    <w:p w:rsidR="00E3223E" w:rsidRDefault="003E1494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>以农田生态景观为基底，以镇域内</w:t>
      </w:r>
      <w:r w:rsidR="00F30C19">
        <w:rPr>
          <w:rFonts w:ascii="Times New Roman" w:hAnsi="Times New Roman" w:cs="Times New Roman" w:hint="eastAsia"/>
        </w:rPr>
        <w:t>水系</w:t>
      </w:r>
      <w:r>
        <w:rPr>
          <w:rFonts w:ascii="Times New Roman" w:hAnsi="Times New Roman" w:cs="Times New Roman" w:hint="eastAsia"/>
        </w:rPr>
        <w:t>为脉络，重点突出生态保护格局。同时依托镇域内北沙河构建宁晋县西部生态景观带，以国道</w:t>
      </w:r>
      <w:r>
        <w:rPr>
          <w:rFonts w:ascii="Times New Roman" w:hAnsi="Times New Roman" w:cs="Times New Roman"/>
        </w:rPr>
        <w:t>G515</w:t>
      </w:r>
      <w:r>
        <w:rPr>
          <w:rFonts w:ascii="Times New Roman" w:hAnsi="Times New Roman" w:cs="Times New Roman" w:hint="eastAsia"/>
        </w:rPr>
        <w:t>、国道</w:t>
      </w:r>
      <w:r>
        <w:rPr>
          <w:rFonts w:ascii="Times New Roman" w:hAnsi="Times New Roman" w:cs="Times New Roman"/>
        </w:rPr>
        <w:t>G339</w:t>
      </w:r>
      <w:r>
        <w:rPr>
          <w:rFonts w:ascii="Times New Roman" w:hAnsi="Times New Roman" w:cs="Times New Roman" w:hint="eastAsia"/>
        </w:rPr>
        <w:t>两侧林地为补充，扩充生态空间。</w:t>
      </w:r>
      <w:r w:rsidR="00F30C19" w:rsidRPr="00F30C19">
        <w:rPr>
          <w:rFonts w:ascii="Times New Roman" w:hAnsi="Times New Roman" w:cs="Times New Roman" w:hint="eastAsia"/>
        </w:rPr>
        <w:t>重点针对农业空间内北沙河、国道</w:t>
      </w:r>
      <w:r w:rsidR="00F30C19" w:rsidRPr="00F30C19">
        <w:rPr>
          <w:rFonts w:ascii="Times New Roman" w:hAnsi="Times New Roman" w:cs="Times New Roman" w:hint="eastAsia"/>
        </w:rPr>
        <w:t>G</w:t>
      </w:r>
      <w:r w:rsidR="00F30C19">
        <w:rPr>
          <w:rFonts w:ascii="Times New Roman" w:hAnsi="Times New Roman" w:cs="Times New Roman" w:hint="eastAsia"/>
        </w:rPr>
        <w:t>515</w:t>
      </w:r>
      <w:r w:rsidR="00F30C19" w:rsidRPr="00F30C19">
        <w:rPr>
          <w:rFonts w:ascii="Times New Roman" w:hAnsi="Times New Roman" w:cs="Times New Roman" w:hint="eastAsia"/>
        </w:rPr>
        <w:t>等水渠路网、带状绿地开展生态修复，</w:t>
      </w:r>
      <w:r w:rsidR="00F30C19">
        <w:rPr>
          <w:rFonts w:ascii="Times New Roman" w:hAnsi="Times New Roman" w:cs="Times New Roman" w:hint="eastAsia"/>
        </w:rPr>
        <w:t>适度扩充绿量。强化镇域内水资源供需平衡，提升水资源利用效率，</w:t>
      </w:r>
      <w:r w:rsidR="00F30C19" w:rsidRPr="00F30C19">
        <w:rPr>
          <w:rFonts w:ascii="Times New Roman" w:hAnsi="Times New Roman" w:cs="Times New Roman" w:hint="eastAsia"/>
        </w:rPr>
        <w:t>增强农业生态系统稳定性。</w:t>
      </w:r>
    </w:p>
    <w:p w:rsidR="00E3223E" w:rsidRDefault="003E1494" w:rsidP="00F920D9">
      <w:pPr>
        <w:spacing w:line="640" w:lineRule="exact"/>
        <w:outlineLvl w:val="1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八、建设</w:t>
      </w:r>
      <w:r w:rsidR="007523F0">
        <w:rPr>
          <w:rFonts w:ascii="Times New Roman" w:eastAsia="黑体" w:hAnsi="Times New Roman" w:cs="Times New Roman" w:hint="eastAsia"/>
          <w:spacing w:val="-3"/>
          <w:sz w:val="36"/>
          <w:szCs w:val="36"/>
        </w:rPr>
        <w:t>协同</w:t>
      </w:r>
      <w:r w:rsidR="00520992">
        <w:rPr>
          <w:rFonts w:ascii="Times New Roman" w:eastAsia="黑体" w:hAnsi="Times New Roman" w:cs="Times New Roman" w:hint="eastAsia"/>
          <w:spacing w:val="-3"/>
          <w:sz w:val="36"/>
          <w:szCs w:val="36"/>
        </w:rPr>
        <w:t>高效</w:t>
      </w:r>
      <w:r>
        <w:rPr>
          <w:rFonts w:ascii="Times New Roman" w:eastAsia="黑体" w:hAnsi="Times New Roman" w:cs="Times New Roman"/>
          <w:spacing w:val="-3"/>
          <w:sz w:val="36"/>
          <w:szCs w:val="36"/>
        </w:rPr>
        <w:t>镇村空间</w:t>
      </w:r>
    </w:p>
    <w:p w:rsidR="00E3223E" w:rsidRDefault="000A15FD" w:rsidP="003B3682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 w:rsidRPr="003B3682">
        <w:rPr>
          <w:rFonts w:ascii="Times New Roman" w:hAnsi="Times New Roman" w:cs="Times New Roman" w:hint="eastAsia"/>
        </w:rPr>
        <w:t>形成以镇区为核心，中心村为重点，基层村为支撑的城镇协同发展新格局，</w:t>
      </w:r>
      <w:r w:rsidR="003E1494">
        <w:rPr>
          <w:rFonts w:ascii="Times New Roman" w:hAnsi="Times New Roman" w:cs="Times New Roman"/>
        </w:rPr>
        <w:t>打造</w:t>
      </w:r>
      <w:r w:rsidR="003E1494">
        <w:rPr>
          <w:rFonts w:ascii="Times New Roman" w:hAnsi="Times New Roman" w:cs="Times New Roman" w:hint="eastAsia"/>
        </w:rPr>
        <w:t>“</w:t>
      </w:r>
      <w:r w:rsidR="003E1494">
        <w:rPr>
          <w:rFonts w:ascii="Times New Roman" w:hAnsi="Times New Roman" w:cs="Times New Roman"/>
        </w:rPr>
        <w:t>镇</w:t>
      </w:r>
      <w:r w:rsidR="003E1494">
        <w:rPr>
          <w:rFonts w:ascii="Times New Roman" w:hAnsi="Times New Roman" w:cs="Times New Roman" w:hint="eastAsia"/>
        </w:rPr>
        <w:t>政府驻地—</w:t>
      </w:r>
      <w:r w:rsidR="003E1494">
        <w:rPr>
          <w:rFonts w:ascii="Times New Roman" w:hAnsi="Times New Roman" w:cs="Times New Roman"/>
        </w:rPr>
        <w:t>中心村</w:t>
      </w:r>
      <w:r w:rsidR="003E1494">
        <w:rPr>
          <w:rFonts w:ascii="Times New Roman" w:hAnsi="Times New Roman" w:cs="Times New Roman" w:hint="eastAsia"/>
        </w:rPr>
        <w:t>—</w:t>
      </w:r>
      <w:r w:rsidR="003E1494">
        <w:rPr>
          <w:rFonts w:ascii="Times New Roman" w:hAnsi="Times New Roman" w:cs="Times New Roman"/>
        </w:rPr>
        <w:t>基层村</w:t>
      </w:r>
      <w:r w:rsidR="003E1494">
        <w:rPr>
          <w:rFonts w:ascii="Times New Roman" w:hAnsi="Times New Roman" w:cs="Times New Roman" w:hint="eastAsia"/>
        </w:rPr>
        <w:t>”</w:t>
      </w:r>
      <w:r w:rsidR="003E1494">
        <w:rPr>
          <w:rFonts w:ascii="Times New Roman" w:hAnsi="Times New Roman" w:cs="Times New Roman"/>
        </w:rPr>
        <w:t>三级镇村体系</w:t>
      </w:r>
      <w:r w:rsidR="003B3682">
        <w:rPr>
          <w:rFonts w:ascii="Times New Roman" w:hAnsi="Times New Roman" w:cs="Times New Roman" w:hint="eastAsia"/>
        </w:rPr>
        <w:t>。</w:t>
      </w:r>
      <w:r w:rsidR="003B3682" w:rsidRPr="003B3682">
        <w:rPr>
          <w:rFonts w:ascii="Times New Roman" w:hAnsi="Times New Roman" w:cs="Times New Roman" w:hint="eastAsia"/>
        </w:rPr>
        <w:t>发挥自身资源禀赋，以工贸带动型乡镇为目标，强化镇区生活、生产服务功能，巩固全镇经济发展基础。建设具有特色功能的村庄，形成“一村一品”的村庄职能结构，实现镇域乡村全面振兴。</w:t>
      </w:r>
      <w:r w:rsidR="003E1494">
        <w:rPr>
          <w:rFonts w:ascii="Times New Roman" w:hAnsi="Times New Roman" w:cs="Times New Roman"/>
        </w:rPr>
        <w:t>合理确定各类建设用地规模</w:t>
      </w:r>
      <w:r w:rsidR="003B3682">
        <w:rPr>
          <w:rFonts w:ascii="Times New Roman" w:hAnsi="Times New Roman" w:cs="Times New Roman" w:hint="eastAsia"/>
        </w:rPr>
        <w:t>，</w:t>
      </w:r>
      <w:r w:rsidR="003E1494">
        <w:rPr>
          <w:rFonts w:ascii="Times New Roman" w:hAnsi="Times New Roman" w:cs="Times New Roman"/>
        </w:rPr>
        <w:t>统筹划定村庄建设边界。镇域内积极发展</w:t>
      </w:r>
      <w:r w:rsidR="003E1494">
        <w:rPr>
          <w:rFonts w:ascii="Times New Roman" w:hAnsi="Times New Roman" w:cs="Times New Roman" w:hint="eastAsia"/>
        </w:rPr>
        <w:t>食品加工、电子商务、塑料包装</w:t>
      </w:r>
      <w:r w:rsidR="003E1494">
        <w:rPr>
          <w:rFonts w:ascii="Times New Roman" w:hAnsi="Times New Roman" w:cs="Times New Roman"/>
        </w:rPr>
        <w:t>等优势产业，加大</w:t>
      </w:r>
      <w:r w:rsidR="003E1494">
        <w:rPr>
          <w:rFonts w:ascii="Times New Roman" w:hAnsi="Times New Roman" w:cs="Times New Roman" w:hint="eastAsia"/>
        </w:rPr>
        <w:t>镇政府驻地、马房村</w:t>
      </w:r>
      <w:r w:rsidR="003B3682">
        <w:rPr>
          <w:rFonts w:ascii="Times New Roman" w:hAnsi="Times New Roman" w:cs="Times New Roman"/>
        </w:rPr>
        <w:t>等产业布局相对集中区域周边基础设施的建设，</w:t>
      </w:r>
      <w:r w:rsidR="003E1494">
        <w:rPr>
          <w:rFonts w:ascii="Times New Roman" w:hAnsi="Times New Roman" w:cs="Times New Roman"/>
        </w:rPr>
        <w:t>带动周边村庄共同发展</w:t>
      </w:r>
      <w:r w:rsidR="003E1494">
        <w:rPr>
          <w:rFonts w:ascii="Times New Roman" w:hAnsi="Times New Roman" w:cs="Times New Roman" w:hint="eastAsia"/>
        </w:rPr>
        <w:t>。构</w:t>
      </w:r>
      <w:r w:rsidR="003E1494">
        <w:rPr>
          <w:rFonts w:ascii="Times New Roman" w:hAnsi="Times New Roman" w:cs="Times New Roman"/>
        </w:rPr>
        <w:t>建</w:t>
      </w:r>
      <w:r w:rsidR="003E1494">
        <w:rPr>
          <w:rFonts w:ascii="Times New Roman" w:hAnsi="Times New Roman" w:cs="Times New Roman" w:hint="eastAsia"/>
        </w:rPr>
        <w:t>“</w:t>
      </w:r>
      <w:r w:rsidR="003E1494">
        <w:rPr>
          <w:rFonts w:ascii="Times New Roman" w:hAnsi="Times New Roman" w:cs="Times New Roman"/>
        </w:rPr>
        <w:t>镇</w:t>
      </w:r>
      <w:r w:rsidR="003E1494">
        <w:rPr>
          <w:rFonts w:ascii="Times New Roman" w:hAnsi="Times New Roman" w:cs="Times New Roman" w:hint="eastAsia"/>
        </w:rPr>
        <w:t>—</w:t>
      </w:r>
      <w:r w:rsidR="003E1494">
        <w:rPr>
          <w:rFonts w:ascii="Times New Roman" w:hAnsi="Times New Roman" w:cs="Times New Roman"/>
        </w:rPr>
        <w:t>村</w:t>
      </w:r>
      <w:r w:rsidR="003E1494">
        <w:rPr>
          <w:rFonts w:ascii="Times New Roman" w:hAnsi="Times New Roman" w:cs="Times New Roman" w:hint="eastAsia"/>
        </w:rPr>
        <w:t>”</w:t>
      </w:r>
      <w:r w:rsidR="003E1494">
        <w:rPr>
          <w:rFonts w:ascii="Times New Roman" w:hAnsi="Times New Roman" w:cs="Times New Roman"/>
        </w:rPr>
        <w:t>两级生活圈层级，完善城乡公共服务设施配置。</w:t>
      </w:r>
    </w:p>
    <w:p w:rsidR="00E3223E" w:rsidRDefault="003E1494" w:rsidP="00F920D9">
      <w:pPr>
        <w:spacing w:line="640" w:lineRule="exact"/>
        <w:outlineLvl w:val="1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九、完善基础设施体系</w:t>
      </w:r>
    </w:p>
    <w:p w:rsidR="00E3223E" w:rsidRDefault="003E1494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bookmarkStart w:id="1" w:name="_Toc220656522"/>
      <w:bookmarkStart w:id="2" w:name="_Toc220656571"/>
      <w:bookmarkStart w:id="3" w:name="_Toc19181"/>
      <w:bookmarkStart w:id="4" w:name="_Toc220656459"/>
      <w:r>
        <w:rPr>
          <w:rFonts w:ascii="Times New Roman" w:hAnsi="Times New Roman" w:cs="Times New Roman" w:hint="eastAsia"/>
        </w:rPr>
        <w:t>镇域内构建“一横一纵”全域</w:t>
      </w:r>
      <w:r w:rsidR="003B3682">
        <w:rPr>
          <w:rFonts w:ascii="Times New Roman" w:hAnsi="Times New Roman" w:cs="Times New Roman" w:hint="eastAsia"/>
        </w:rPr>
        <w:t>对外</w:t>
      </w:r>
      <w:r>
        <w:rPr>
          <w:rFonts w:ascii="Times New Roman" w:hAnsi="Times New Roman" w:cs="Times New Roman" w:hint="eastAsia"/>
        </w:rPr>
        <w:t>综合交通体系。“一横”为国道</w:t>
      </w:r>
      <w:r>
        <w:rPr>
          <w:rFonts w:ascii="Times New Roman" w:hAnsi="Times New Roman" w:cs="Times New Roman"/>
        </w:rPr>
        <w:t>G339</w:t>
      </w:r>
      <w:r>
        <w:rPr>
          <w:rFonts w:ascii="Times New Roman" w:hAnsi="Times New Roman" w:cs="Times New Roman" w:hint="eastAsia"/>
        </w:rPr>
        <w:t>，</w:t>
      </w:r>
      <w:r>
        <w:rPr>
          <w:rFonts w:ascii="Times New Roman" w:hAnsi="Times New Roman" w:cs="Times New Roman" w:hint="eastAsia"/>
        </w:rPr>
        <w:lastRenderedPageBreak/>
        <w:t>加强与宁晋县中心城区及西侧柏乡等区县的联系；“一纵”为国道</w:t>
      </w:r>
      <w:r>
        <w:rPr>
          <w:rFonts w:ascii="Times New Roman" w:hAnsi="Times New Roman" w:cs="Times New Roman"/>
        </w:rPr>
        <w:t>G515</w:t>
      </w:r>
      <w:r>
        <w:rPr>
          <w:rFonts w:ascii="Times New Roman" w:hAnsi="Times New Roman" w:cs="Times New Roman" w:hint="eastAsia"/>
        </w:rPr>
        <w:t>，构建与柏乡、石家庄等外部市县的交通联系。</w:t>
      </w:r>
      <w:r>
        <w:rPr>
          <w:rFonts w:ascii="Times New Roman" w:hAnsi="Times New Roman" w:cs="Times New Roman"/>
        </w:rPr>
        <w:t>加强给水、排水、电力、通信、供热、燃气、环卫等市政基础设施建设</w:t>
      </w:r>
      <w:bookmarkEnd w:id="1"/>
      <w:bookmarkEnd w:id="2"/>
      <w:bookmarkEnd w:id="3"/>
      <w:bookmarkEnd w:id="4"/>
      <w:r>
        <w:rPr>
          <w:rFonts w:ascii="Times New Roman" w:hAnsi="Times New Roman" w:cs="Times New Roman"/>
        </w:rPr>
        <w:t>。构建镇域综合防灾体系，加强地震等地质灾害防御，</w:t>
      </w:r>
      <w:r w:rsidR="006B2877">
        <w:rPr>
          <w:rFonts w:ascii="Times New Roman" w:hAnsi="Times New Roman" w:cs="Times New Roman" w:hint="eastAsia"/>
        </w:rPr>
        <w:t>划定洪涝风险控制线，强化蓄滞洪区防灾减灾及安全管控。</w:t>
      </w:r>
      <w:r>
        <w:rPr>
          <w:rFonts w:ascii="Times New Roman" w:hAnsi="Times New Roman" w:cs="Times New Roman"/>
        </w:rPr>
        <w:t>保障消防建设空间，</w:t>
      </w:r>
      <w:r w:rsidR="006B2877">
        <w:rPr>
          <w:rFonts w:ascii="Times New Roman" w:hAnsi="Times New Roman" w:cs="Times New Roman" w:hint="eastAsia"/>
        </w:rPr>
        <w:t>加强气象探测环境保护与气象灾害预防，</w:t>
      </w:r>
      <w:r>
        <w:rPr>
          <w:rFonts w:ascii="Times New Roman" w:hAnsi="Times New Roman" w:cs="Times New Roman"/>
        </w:rPr>
        <w:t>完善人防工程体系</w:t>
      </w:r>
      <w:r w:rsidR="006B2877">
        <w:rPr>
          <w:rFonts w:ascii="Times New Roman" w:hAnsi="Times New Roman" w:cs="Times New Roman" w:hint="eastAsia"/>
        </w:rPr>
        <w:t>，</w:t>
      </w:r>
      <w:r>
        <w:rPr>
          <w:rFonts w:ascii="Times New Roman" w:hAnsi="Times New Roman" w:cs="Times New Roman"/>
        </w:rPr>
        <w:t>加强对各类危险源的规划管控。</w:t>
      </w:r>
    </w:p>
    <w:p w:rsidR="00E3223E" w:rsidRDefault="003E1494" w:rsidP="00F920D9">
      <w:pPr>
        <w:spacing w:line="640" w:lineRule="exact"/>
        <w:outlineLvl w:val="1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t>十、全面提升镇</w:t>
      </w:r>
      <w:r>
        <w:rPr>
          <w:rFonts w:ascii="Times New Roman" w:eastAsia="黑体" w:hAnsi="Times New Roman" w:cs="Times New Roman" w:hint="eastAsia"/>
          <w:spacing w:val="-3"/>
          <w:sz w:val="36"/>
          <w:szCs w:val="36"/>
        </w:rPr>
        <w:t>政府驻地</w:t>
      </w:r>
      <w:r>
        <w:rPr>
          <w:rFonts w:ascii="Times New Roman" w:eastAsia="黑体" w:hAnsi="Times New Roman" w:cs="Times New Roman"/>
          <w:spacing w:val="-3"/>
          <w:sz w:val="36"/>
          <w:szCs w:val="36"/>
        </w:rPr>
        <w:t>建设品质</w:t>
      </w:r>
    </w:p>
    <w:p w:rsidR="00E3223E" w:rsidRDefault="00855F62">
      <w:pPr>
        <w:spacing w:line="560" w:lineRule="exact"/>
        <w:ind w:firstLine="640"/>
        <w:rPr>
          <w:rFonts w:ascii="仿宋_GB2312" w:eastAsia="仿宋_GB2312"/>
          <w:sz w:val="32"/>
          <w:szCs w:val="32"/>
        </w:rPr>
      </w:pPr>
      <w:r>
        <w:rPr>
          <w:noProof/>
          <w:color w:val="0000FF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102235</wp:posOffset>
            </wp:positionH>
            <wp:positionV relativeFrom="page">
              <wp:posOffset>5645785</wp:posOffset>
            </wp:positionV>
            <wp:extent cx="5238115" cy="3699510"/>
            <wp:effectExtent l="0" t="0" r="635" b="0"/>
            <wp:wrapTopAndBottom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38115" cy="3699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D21D3" w:rsidRPr="00786624">
        <w:rPr>
          <w:rFonts w:ascii="仿宋_GB2312" w:eastAsia="仿宋_GB2312" w:hint="eastAsia"/>
          <w:sz w:val="32"/>
          <w:szCs w:val="32"/>
        </w:rPr>
        <w:t>优化镇区空间结构和功能布局，</w:t>
      </w:r>
      <w:r w:rsidR="003E1494">
        <w:rPr>
          <w:rFonts w:ascii="Times New Roman" w:eastAsia="仿宋" w:hAnsi="Times New Roman" w:cs="Times New Roman" w:hint="eastAsia"/>
          <w:sz w:val="28"/>
          <w:szCs w:val="28"/>
        </w:rPr>
        <w:t>规划形成“一心一轴、两片区多节点”的空间结构。“</w:t>
      </w:r>
      <w:r w:rsidR="003E1494">
        <w:rPr>
          <w:rFonts w:ascii="Times New Roman" w:eastAsia="仿宋" w:hAnsi="Times New Roman" w:cs="Times New Roman"/>
          <w:sz w:val="28"/>
          <w:szCs w:val="28"/>
        </w:rPr>
        <w:t>一心</w:t>
      </w:r>
      <w:r w:rsidR="003E1494">
        <w:rPr>
          <w:rFonts w:ascii="Times New Roman" w:eastAsia="仿宋" w:hAnsi="Times New Roman" w:cs="Times New Roman" w:hint="eastAsia"/>
          <w:sz w:val="28"/>
          <w:szCs w:val="28"/>
        </w:rPr>
        <w:t>”指围绕镇政府形成的综合服务中心。“一</w:t>
      </w:r>
      <w:r w:rsidR="003E1494">
        <w:rPr>
          <w:rFonts w:ascii="Times New Roman" w:eastAsia="仿宋" w:hAnsi="Times New Roman" w:cs="Times New Roman"/>
          <w:sz w:val="28"/>
          <w:szCs w:val="28"/>
        </w:rPr>
        <w:t>轴</w:t>
      </w:r>
      <w:r w:rsidR="003E1494">
        <w:rPr>
          <w:rFonts w:ascii="Times New Roman" w:eastAsia="仿宋" w:hAnsi="Times New Roman" w:cs="Times New Roman" w:hint="eastAsia"/>
          <w:sz w:val="28"/>
          <w:szCs w:val="28"/>
        </w:rPr>
        <w:t>”指依托东西向的主干路形成的综合发展轴。“两</w:t>
      </w:r>
      <w:r w:rsidR="003E1494">
        <w:rPr>
          <w:rFonts w:ascii="Times New Roman" w:eastAsia="仿宋" w:hAnsi="Times New Roman" w:cs="Times New Roman"/>
          <w:sz w:val="28"/>
          <w:szCs w:val="28"/>
        </w:rPr>
        <w:t>片区</w:t>
      </w:r>
      <w:r w:rsidR="003E1494">
        <w:rPr>
          <w:rFonts w:ascii="Times New Roman" w:eastAsia="仿宋" w:hAnsi="Times New Roman" w:cs="Times New Roman" w:hint="eastAsia"/>
          <w:sz w:val="28"/>
          <w:szCs w:val="28"/>
        </w:rPr>
        <w:t>”指居住</w:t>
      </w:r>
      <w:r w:rsidR="003E1494">
        <w:rPr>
          <w:rFonts w:ascii="Times New Roman" w:eastAsia="仿宋" w:hAnsi="Times New Roman" w:cs="Times New Roman"/>
          <w:sz w:val="28"/>
          <w:szCs w:val="28"/>
        </w:rPr>
        <w:t>片区</w:t>
      </w:r>
      <w:r w:rsidR="003E1494">
        <w:rPr>
          <w:rFonts w:ascii="Times New Roman" w:eastAsia="仿宋" w:hAnsi="Times New Roman" w:cs="Times New Roman" w:hint="eastAsia"/>
          <w:sz w:val="28"/>
          <w:szCs w:val="28"/>
        </w:rPr>
        <w:t>以及东部的工业发展片区。“</w:t>
      </w:r>
      <w:r w:rsidR="003E1494">
        <w:rPr>
          <w:rFonts w:ascii="Times New Roman" w:eastAsia="仿宋" w:hAnsi="Times New Roman" w:cs="Times New Roman"/>
          <w:sz w:val="28"/>
          <w:szCs w:val="28"/>
        </w:rPr>
        <w:t>多节点</w:t>
      </w:r>
      <w:r w:rsidR="003E1494">
        <w:rPr>
          <w:rFonts w:ascii="Times New Roman" w:eastAsia="仿宋" w:hAnsi="Times New Roman" w:cs="Times New Roman" w:hint="eastAsia"/>
          <w:sz w:val="28"/>
          <w:szCs w:val="28"/>
        </w:rPr>
        <w:t>”</w:t>
      </w:r>
      <w:r w:rsidR="003E1494">
        <w:rPr>
          <w:rFonts w:ascii="Times New Roman" w:eastAsia="仿宋" w:hAnsi="Times New Roman" w:cs="Times New Roman"/>
          <w:sz w:val="28"/>
          <w:szCs w:val="28"/>
        </w:rPr>
        <w:t>指</w:t>
      </w:r>
      <w:r w:rsidR="003E1494">
        <w:rPr>
          <w:rFonts w:ascii="Times New Roman" w:eastAsia="仿宋" w:hAnsi="Times New Roman" w:cs="Times New Roman" w:hint="eastAsia"/>
          <w:sz w:val="28"/>
          <w:szCs w:val="28"/>
        </w:rPr>
        <w:t>公共服务为主要功能的节点、绿地景观节点。</w:t>
      </w:r>
      <w:bookmarkStart w:id="5" w:name="_GoBack"/>
      <w:bookmarkEnd w:id="5"/>
    </w:p>
    <w:p w:rsidR="00E3223E" w:rsidRDefault="003E1494" w:rsidP="00F920D9">
      <w:pPr>
        <w:spacing w:line="640" w:lineRule="exact"/>
        <w:outlineLvl w:val="1"/>
        <w:rPr>
          <w:rFonts w:ascii="Times New Roman" w:eastAsia="黑体" w:hAnsi="Times New Roman" w:cs="Times New Roman"/>
          <w:spacing w:val="-3"/>
          <w:sz w:val="36"/>
          <w:szCs w:val="36"/>
        </w:rPr>
      </w:pPr>
      <w:r>
        <w:rPr>
          <w:rFonts w:ascii="Times New Roman" w:eastAsia="黑体" w:hAnsi="Times New Roman" w:cs="Times New Roman"/>
          <w:spacing w:val="-3"/>
          <w:sz w:val="36"/>
          <w:szCs w:val="36"/>
        </w:rPr>
        <w:lastRenderedPageBreak/>
        <w:t>十一、规划实施保障</w:t>
      </w:r>
    </w:p>
    <w:p w:rsidR="00E3223E" w:rsidRDefault="003E1494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加强组织领导。充分发挥党总揽全局、协调各方的领导核心作用，把党的领导贯彻到</w:t>
      </w:r>
      <w:r>
        <w:rPr>
          <w:rFonts w:ascii="Times New Roman" w:hAnsi="Times New Roman" w:cs="Times New Roman" w:hint="eastAsia"/>
        </w:rPr>
        <w:t>河渠</w:t>
      </w:r>
      <w:r>
        <w:rPr>
          <w:rFonts w:ascii="Times New Roman" w:hAnsi="Times New Roman" w:cs="Times New Roman"/>
        </w:rPr>
        <w:t>镇国土空间规划编制实施全过程各领域各环节。加强镇级国土空间总体规划和详细规划联动</w:t>
      </w:r>
      <w:r>
        <w:rPr>
          <w:rFonts w:ascii="Times New Roman" w:hAnsi="Times New Roman" w:cs="Times New Roman" w:hint="eastAsia"/>
        </w:rPr>
        <w:t>。</w:t>
      </w:r>
    </w:p>
    <w:p w:rsidR="00E3223E" w:rsidRDefault="003E1494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强化规划传导。落实上级总体规划确定的传导内容，保持耕地和永久基本农田、城镇开发边界</w:t>
      </w:r>
      <w:r w:rsidR="000D21D3">
        <w:rPr>
          <w:rFonts w:ascii="Times New Roman" w:hAnsi="Times New Roman" w:cs="Times New Roman" w:hint="eastAsia"/>
        </w:rPr>
        <w:t>等</w:t>
      </w:r>
      <w:r>
        <w:rPr>
          <w:rFonts w:ascii="Times New Roman" w:hAnsi="Times New Roman" w:cs="Times New Roman"/>
        </w:rPr>
        <w:t>控制线上下图、数、线一致。强化详细规划传导，确保总体规划确定的约束性指标、结构布局、空间底线和重大设施等传导并落实。</w:t>
      </w:r>
      <w:bookmarkStart w:id="6" w:name="_Toc220656585"/>
      <w:bookmarkStart w:id="7" w:name="_Toc128148276"/>
      <w:bookmarkStart w:id="8" w:name="_Toc220656536"/>
      <w:bookmarkStart w:id="9" w:name="_Toc15701"/>
      <w:bookmarkStart w:id="10" w:name="_Toc220656473"/>
      <w:bookmarkStart w:id="11" w:name="_Toc128148220"/>
    </w:p>
    <w:p w:rsidR="00E3223E" w:rsidRDefault="003E1494">
      <w:pPr>
        <w:pStyle w:val="a3"/>
        <w:spacing w:line="560" w:lineRule="exact"/>
        <w:ind w:firstLineChars="200" w:firstLine="5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加强全生命周期管理</w:t>
      </w:r>
      <w:bookmarkEnd w:id="6"/>
      <w:bookmarkEnd w:id="7"/>
      <w:bookmarkEnd w:id="8"/>
      <w:bookmarkEnd w:id="9"/>
      <w:bookmarkEnd w:id="10"/>
      <w:bookmarkEnd w:id="11"/>
      <w:r>
        <w:rPr>
          <w:rFonts w:ascii="Times New Roman" w:hAnsi="Times New Roman" w:cs="Times New Roman"/>
        </w:rPr>
        <w:t>。健全公众</w:t>
      </w:r>
      <w:r w:rsidR="00E65358">
        <w:rPr>
          <w:rFonts w:ascii="Times New Roman" w:hAnsi="Times New Roman" w:cs="Times New Roman" w:hint="eastAsia"/>
        </w:rPr>
        <w:t>参与</w:t>
      </w:r>
      <w:r>
        <w:rPr>
          <w:rFonts w:ascii="Times New Roman" w:hAnsi="Times New Roman" w:cs="Times New Roman"/>
        </w:rPr>
        <w:t>和社会协调机制，强化监督管理。</w:t>
      </w:r>
    </w:p>
    <w:sectPr w:rsidR="00E3223E" w:rsidSect="00BD75CA">
      <w:pgSz w:w="11906" w:h="16838"/>
      <w:pgMar w:top="1871" w:right="1531" w:bottom="1871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2261E" w:rsidRDefault="0092261E" w:rsidP="00F920D9">
      <w:r>
        <w:separator/>
      </w:r>
    </w:p>
  </w:endnote>
  <w:endnote w:type="continuationSeparator" w:id="1">
    <w:p w:rsidR="0092261E" w:rsidRDefault="0092261E" w:rsidP="00F920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1" w:subsetted="1" w:fontKey="{BBD1C338-39DA-4BFA-93DC-DA14A093E96C}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2" w:subsetted="1" w:fontKey="{6205EB72-F8F3-4E4A-B298-25F108B5E3D1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51F19A9A-F49E-4406-9544-841CA52196E3}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  <w:embedRegular r:id="rId4" w:subsetted="1" w:fontKey="{23A07294-EAA1-469C-A21F-BF713CAB4E19}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2261E" w:rsidRDefault="0092261E" w:rsidP="00F920D9">
      <w:r>
        <w:separator/>
      </w:r>
    </w:p>
  </w:footnote>
  <w:footnote w:type="continuationSeparator" w:id="1">
    <w:p w:rsidR="0092261E" w:rsidRDefault="0092261E" w:rsidP="00F920D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TrueTypeFonts/>
  <w:saveSubset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77FC6414"/>
    <w:rsid w:val="0000350D"/>
    <w:rsid w:val="000230D0"/>
    <w:rsid w:val="00040646"/>
    <w:rsid w:val="00074C68"/>
    <w:rsid w:val="00074EB8"/>
    <w:rsid w:val="00076898"/>
    <w:rsid w:val="0009562A"/>
    <w:rsid w:val="000A15FD"/>
    <w:rsid w:val="000A44BA"/>
    <w:rsid w:val="000B0790"/>
    <w:rsid w:val="000D21D3"/>
    <w:rsid w:val="000E68FB"/>
    <w:rsid w:val="001172CA"/>
    <w:rsid w:val="00120B77"/>
    <w:rsid w:val="00136D4B"/>
    <w:rsid w:val="0014658B"/>
    <w:rsid w:val="001475D6"/>
    <w:rsid w:val="00151487"/>
    <w:rsid w:val="0018067E"/>
    <w:rsid w:val="00184277"/>
    <w:rsid w:val="00186D2A"/>
    <w:rsid w:val="001B06A0"/>
    <w:rsid w:val="0021247E"/>
    <w:rsid w:val="00214A5C"/>
    <w:rsid w:val="002370F5"/>
    <w:rsid w:val="002740AC"/>
    <w:rsid w:val="00276AB6"/>
    <w:rsid w:val="00283518"/>
    <w:rsid w:val="002B2DB5"/>
    <w:rsid w:val="002B4072"/>
    <w:rsid w:val="002B6FCD"/>
    <w:rsid w:val="002C0D5E"/>
    <w:rsid w:val="002F6556"/>
    <w:rsid w:val="003032BB"/>
    <w:rsid w:val="00303892"/>
    <w:rsid w:val="00303D7B"/>
    <w:rsid w:val="00312695"/>
    <w:rsid w:val="00342310"/>
    <w:rsid w:val="003661D8"/>
    <w:rsid w:val="00383261"/>
    <w:rsid w:val="00390685"/>
    <w:rsid w:val="00393A98"/>
    <w:rsid w:val="00396728"/>
    <w:rsid w:val="003A5907"/>
    <w:rsid w:val="003A5BF4"/>
    <w:rsid w:val="003B3682"/>
    <w:rsid w:val="003C6343"/>
    <w:rsid w:val="003D1B9D"/>
    <w:rsid w:val="003D2117"/>
    <w:rsid w:val="003E1494"/>
    <w:rsid w:val="003E1D53"/>
    <w:rsid w:val="003F26D7"/>
    <w:rsid w:val="003F57DD"/>
    <w:rsid w:val="00430C82"/>
    <w:rsid w:val="00443094"/>
    <w:rsid w:val="00452819"/>
    <w:rsid w:val="004738B6"/>
    <w:rsid w:val="00474F6A"/>
    <w:rsid w:val="0048217E"/>
    <w:rsid w:val="004A4FCE"/>
    <w:rsid w:val="004C3357"/>
    <w:rsid w:val="004C4137"/>
    <w:rsid w:val="004D4B6F"/>
    <w:rsid w:val="005018FE"/>
    <w:rsid w:val="00501D5C"/>
    <w:rsid w:val="00520992"/>
    <w:rsid w:val="00526834"/>
    <w:rsid w:val="00563EF8"/>
    <w:rsid w:val="00582605"/>
    <w:rsid w:val="005B231B"/>
    <w:rsid w:val="005C4101"/>
    <w:rsid w:val="005D476F"/>
    <w:rsid w:val="005D4938"/>
    <w:rsid w:val="005E2AD7"/>
    <w:rsid w:val="005E3A70"/>
    <w:rsid w:val="00607DC6"/>
    <w:rsid w:val="00613798"/>
    <w:rsid w:val="00614AF9"/>
    <w:rsid w:val="00616434"/>
    <w:rsid w:val="00622541"/>
    <w:rsid w:val="006254DC"/>
    <w:rsid w:val="006A4E70"/>
    <w:rsid w:val="006A73C3"/>
    <w:rsid w:val="006B2877"/>
    <w:rsid w:val="006B3EC9"/>
    <w:rsid w:val="006C26B8"/>
    <w:rsid w:val="006D7E2D"/>
    <w:rsid w:val="007518F3"/>
    <w:rsid w:val="007523F0"/>
    <w:rsid w:val="00760A01"/>
    <w:rsid w:val="00782358"/>
    <w:rsid w:val="00787C46"/>
    <w:rsid w:val="008042E0"/>
    <w:rsid w:val="0082525F"/>
    <w:rsid w:val="00834385"/>
    <w:rsid w:val="00847C2D"/>
    <w:rsid w:val="00855F62"/>
    <w:rsid w:val="00881254"/>
    <w:rsid w:val="008A296C"/>
    <w:rsid w:val="008A6599"/>
    <w:rsid w:val="008B5CE4"/>
    <w:rsid w:val="008C2B0F"/>
    <w:rsid w:val="008C35BC"/>
    <w:rsid w:val="008D6DF2"/>
    <w:rsid w:val="008E5DA8"/>
    <w:rsid w:val="0092261E"/>
    <w:rsid w:val="0093775A"/>
    <w:rsid w:val="00944BB8"/>
    <w:rsid w:val="009660DA"/>
    <w:rsid w:val="00970402"/>
    <w:rsid w:val="009865C9"/>
    <w:rsid w:val="009A4D29"/>
    <w:rsid w:val="009B6495"/>
    <w:rsid w:val="00A04E21"/>
    <w:rsid w:val="00A60BD7"/>
    <w:rsid w:val="00A7598F"/>
    <w:rsid w:val="00AC257F"/>
    <w:rsid w:val="00AE2178"/>
    <w:rsid w:val="00AF0345"/>
    <w:rsid w:val="00AF38F7"/>
    <w:rsid w:val="00B05848"/>
    <w:rsid w:val="00B1337D"/>
    <w:rsid w:val="00B5746A"/>
    <w:rsid w:val="00BC32B2"/>
    <w:rsid w:val="00BD75CA"/>
    <w:rsid w:val="00BE11E5"/>
    <w:rsid w:val="00BF02AD"/>
    <w:rsid w:val="00BF398F"/>
    <w:rsid w:val="00C006DA"/>
    <w:rsid w:val="00C20E83"/>
    <w:rsid w:val="00C91AAC"/>
    <w:rsid w:val="00C954A6"/>
    <w:rsid w:val="00CA7371"/>
    <w:rsid w:val="00CE48AC"/>
    <w:rsid w:val="00CE6C23"/>
    <w:rsid w:val="00CF35FE"/>
    <w:rsid w:val="00CF5EE7"/>
    <w:rsid w:val="00D150F0"/>
    <w:rsid w:val="00D42DBC"/>
    <w:rsid w:val="00DA09D0"/>
    <w:rsid w:val="00DA3AD5"/>
    <w:rsid w:val="00E05806"/>
    <w:rsid w:val="00E102F8"/>
    <w:rsid w:val="00E3223E"/>
    <w:rsid w:val="00E51BF8"/>
    <w:rsid w:val="00E637F1"/>
    <w:rsid w:val="00E65358"/>
    <w:rsid w:val="00E72F56"/>
    <w:rsid w:val="00E73DD2"/>
    <w:rsid w:val="00E828BE"/>
    <w:rsid w:val="00E85FC7"/>
    <w:rsid w:val="00EB7655"/>
    <w:rsid w:val="00F00DCC"/>
    <w:rsid w:val="00F016F9"/>
    <w:rsid w:val="00F30C19"/>
    <w:rsid w:val="00F37132"/>
    <w:rsid w:val="00F47420"/>
    <w:rsid w:val="00F54179"/>
    <w:rsid w:val="00F920D9"/>
    <w:rsid w:val="00FE331A"/>
    <w:rsid w:val="00FE5DEE"/>
    <w:rsid w:val="01730582"/>
    <w:rsid w:val="0DA815B3"/>
    <w:rsid w:val="0FD032B1"/>
    <w:rsid w:val="3894311F"/>
    <w:rsid w:val="53321DD3"/>
    <w:rsid w:val="55C961B1"/>
    <w:rsid w:val="6F993F06"/>
    <w:rsid w:val="77FC641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 w:qFormat="1"/>
    <w:lsdException w:name="Body Text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Body Text Indent 2" w:uiPriority="99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9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99" w:unhideWhenUsed="0"/>
    <w:lsdException w:name="Quote" w:semiHidden="0" w:uiPriority="99" w:unhideWhenUsed="0"/>
    <w:lsdException w:name="Intense Quote" w:semiHidden="0" w:uiPriority="99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2"/>
    <w:qFormat/>
    <w:rsid w:val="007518F3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uiPriority w:val="99"/>
    <w:unhideWhenUsed/>
    <w:qFormat/>
    <w:rsid w:val="007518F3"/>
    <w:pPr>
      <w:tabs>
        <w:tab w:val="left" w:pos="2160"/>
      </w:tabs>
      <w:spacing w:after="120" w:line="480" w:lineRule="auto"/>
      <w:ind w:leftChars="200" w:left="420"/>
    </w:pPr>
    <w:rPr>
      <w:rFonts w:ascii="仿宋" w:hAnsi="仿宋" w:cs="宋体"/>
      <w:sz w:val="28"/>
    </w:rPr>
  </w:style>
  <w:style w:type="paragraph" w:styleId="a3">
    <w:name w:val="Body Text"/>
    <w:basedOn w:val="a"/>
    <w:semiHidden/>
    <w:qFormat/>
    <w:rsid w:val="007518F3"/>
    <w:rPr>
      <w:rFonts w:ascii="仿宋" w:eastAsia="仿宋" w:hAnsi="仿宋" w:cs="仿宋"/>
      <w:sz w:val="28"/>
      <w:szCs w:val="28"/>
    </w:rPr>
  </w:style>
  <w:style w:type="paragraph" w:styleId="a4">
    <w:name w:val="Balloon Text"/>
    <w:basedOn w:val="a"/>
    <w:link w:val="Char"/>
    <w:rsid w:val="00F920D9"/>
    <w:rPr>
      <w:sz w:val="18"/>
      <w:szCs w:val="18"/>
    </w:rPr>
  </w:style>
  <w:style w:type="character" w:customStyle="1" w:styleId="Char">
    <w:name w:val="批注框文本 Char"/>
    <w:basedOn w:val="a0"/>
    <w:link w:val="a4"/>
    <w:rsid w:val="00F920D9"/>
    <w:rPr>
      <w:kern w:val="2"/>
      <w:sz w:val="18"/>
      <w:szCs w:val="18"/>
    </w:rPr>
  </w:style>
  <w:style w:type="paragraph" w:styleId="a5">
    <w:name w:val="header"/>
    <w:basedOn w:val="a"/>
    <w:link w:val="Char0"/>
    <w:rsid w:val="00F920D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F920D9"/>
    <w:rPr>
      <w:kern w:val="2"/>
      <w:sz w:val="18"/>
      <w:szCs w:val="18"/>
    </w:rPr>
  </w:style>
  <w:style w:type="paragraph" w:styleId="a6">
    <w:name w:val="footer"/>
    <w:basedOn w:val="a"/>
    <w:link w:val="Char1"/>
    <w:rsid w:val="00F920D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rsid w:val="00F920D9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343</TotalTime>
  <Pages>6</Pages>
  <Words>306</Words>
  <Characters>1748</Characters>
  <Application>Microsoft Office Word</Application>
  <DocSecurity>0</DocSecurity>
  <Lines>14</Lines>
  <Paragraphs>4</Paragraphs>
  <ScaleCrop>false</ScaleCrop>
  <Company/>
  <LinksUpToDate>false</LinksUpToDate>
  <CharactersWithSpaces>2050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顽皮猫</dc:creator>
  <cp:lastModifiedBy>USER-</cp:lastModifiedBy>
  <cp:revision>157</cp:revision>
  <dcterms:created xsi:type="dcterms:W3CDTF">2026-02-05T05:59:00Z</dcterms:created>
  <dcterms:modified xsi:type="dcterms:W3CDTF">2026-02-11T06:35:00Z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C7FBA9F5D631471C80071B10485CC0C4_13</vt:lpwstr>
  </property>
  <property fmtid="{D5CDD505-2E9C-101B-9397-08002B2CF9AE}" pid="4" name="KSOTemplateDocerSaveRecord">
    <vt:lpwstr>eyJoZGlkIjoiOTNlYzZkZDBkYTE2MDgzODkxMTczZWIyMjlkYjY3NGYiLCJ1c2VySWQiOiI1OTM1MTY5NDUifQ==</vt:lpwstr>
  </property>
</Properties>
</file>