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82C" w:rsidRDefault="00E96273">
      <w:pPr>
        <w:spacing w:before="118" w:line="640" w:lineRule="atLeast"/>
        <w:jc w:val="center"/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</w:pPr>
      <w:r>
        <w:rPr>
          <w:rFonts w:ascii="Times New Roman" w:eastAsia="方正小标宋简体" w:hAnsi="Times New Roman" w:cs="Times New Roman" w:hint="eastAsia"/>
          <w:spacing w:val="7"/>
          <w:position w:val="3"/>
          <w:sz w:val="40"/>
          <w:szCs w:val="28"/>
        </w:rPr>
        <w:t>换马店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镇国土空间总体规划（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2021—2035</w:t>
      </w:r>
      <w:r>
        <w:rPr>
          <w:rFonts w:ascii="Times New Roman" w:eastAsia="方正小标宋简体" w:hAnsi="Times New Roman" w:cs="Times New Roman"/>
          <w:spacing w:val="7"/>
          <w:position w:val="3"/>
          <w:sz w:val="40"/>
          <w:szCs w:val="28"/>
        </w:rPr>
        <w:t>年）</w:t>
      </w:r>
    </w:p>
    <w:p w:rsidR="0045182C" w:rsidRDefault="00E96273">
      <w:pPr>
        <w:spacing w:before="118" w:line="640" w:lineRule="atLeast"/>
        <w:jc w:val="center"/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</w:pPr>
      <w:r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  <w:t>（批后公</w:t>
      </w:r>
      <w:r w:rsidR="007C1FA4">
        <w:rPr>
          <w:rFonts w:ascii="Times New Roman" w:eastAsia="方正小标宋简体" w:hAnsi="Times New Roman" w:cs="Times New Roman" w:hint="eastAsia"/>
          <w:spacing w:val="14"/>
          <w:position w:val="4"/>
          <w:sz w:val="40"/>
          <w:szCs w:val="28"/>
        </w:rPr>
        <w:t>布</w:t>
      </w:r>
      <w:r>
        <w:rPr>
          <w:rFonts w:ascii="Times New Roman" w:eastAsia="方正小标宋简体" w:hAnsi="Times New Roman" w:cs="Times New Roman"/>
          <w:spacing w:val="14"/>
          <w:position w:val="4"/>
          <w:sz w:val="40"/>
          <w:szCs w:val="28"/>
        </w:rPr>
        <w:t>）</w:t>
      </w:r>
    </w:p>
    <w:p w:rsidR="0045182C" w:rsidRDefault="0045182C">
      <w:pPr>
        <w:pStyle w:val="2"/>
        <w:rPr>
          <w:rFonts w:ascii="Times New Roman" w:hAnsi="Times New Roman" w:cs="Times New Roman"/>
        </w:rPr>
      </w:pP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一、规划范围与层次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规划包括镇域和镇政府驻地两个层次。镇域为</w:t>
      </w:r>
      <w:r>
        <w:rPr>
          <w:rFonts w:ascii="Times New Roman" w:hAnsi="Times New Roman" w:cs="Times New Roman" w:hint="eastAsia"/>
        </w:rPr>
        <w:t>换马店</w:t>
      </w:r>
      <w:r>
        <w:rPr>
          <w:rFonts w:ascii="Times New Roman" w:hAnsi="Times New Roman" w:cs="Times New Roman"/>
        </w:rPr>
        <w:t>镇行政辖区。镇政府驻地范围为</w:t>
      </w:r>
      <w:r>
        <w:rPr>
          <w:rFonts w:hint="eastAsia"/>
          <w:szCs w:val="30"/>
        </w:rPr>
        <w:t>换马店</w:t>
      </w:r>
      <w:r w:rsidR="00C66D2C">
        <w:rPr>
          <w:rFonts w:hint="eastAsia"/>
          <w:szCs w:val="30"/>
        </w:rPr>
        <w:t>村村域范围</w:t>
      </w:r>
      <w:r w:rsidR="00C66D2C">
        <w:rPr>
          <w:rFonts w:cs="Times New Roman" w:hint="eastAsia"/>
          <w:szCs w:val="36"/>
        </w:rPr>
        <w:t>及</w:t>
      </w:r>
      <w:r w:rsidR="00C66D2C" w:rsidRPr="00AE49FB">
        <w:rPr>
          <w:rFonts w:cs="Times New Roman"/>
          <w:szCs w:val="36"/>
        </w:rPr>
        <w:t>集中连片划定城镇开发边界的范围。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二、规划期限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规划期限为</w:t>
      </w:r>
      <w:r>
        <w:rPr>
          <w:rFonts w:ascii="Times New Roman" w:hAnsi="Times New Roman" w:cs="Times New Roman"/>
        </w:rPr>
        <w:t>2021—2035</w:t>
      </w:r>
      <w:r>
        <w:rPr>
          <w:rFonts w:ascii="Times New Roman" w:hAnsi="Times New Roman" w:cs="Times New Roman"/>
        </w:rPr>
        <w:t>年，近期至</w:t>
      </w:r>
      <w:r>
        <w:rPr>
          <w:rFonts w:ascii="Times New Roman" w:hAnsi="Times New Roman" w:cs="Times New Roman"/>
        </w:rPr>
        <w:t>2025</w:t>
      </w:r>
      <w:r>
        <w:rPr>
          <w:rFonts w:ascii="Times New Roman" w:hAnsi="Times New Roman" w:cs="Times New Roman"/>
        </w:rPr>
        <w:t>年，远景展望至</w:t>
      </w:r>
      <w:r>
        <w:rPr>
          <w:rFonts w:ascii="Times New Roman" w:hAnsi="Times New Roman" w:cs="Times New Roman"/>
        </w:rPr>
        <w:t>2050</w:t>
      </w:r>
      <w:r>
        <w:rPr>
          <w:rFonts w:ascii="Times New Roman" w:hAnsi="Times New Roman" w:cs="Times New Roman"/>
        </w:rPr>
        <w:t>年。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三、城镇性质与目标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  <w:color w:val="0000FF"/>
        </w:rPr>
      </w:pPr>
      <w:bookmarkStart w:id="0" w:name="_Hlk180999110"/>
      <w:r>
        <w:rPr>
          <w:rFonts w:hint="eastAsia"/>
        </w:rPr>
        <w:t>以高产优质高效农业、乡村旅游与仓储物流相融合的现代农业型城镇，邢台市乡村振兴示范区</w:t>
      </w:r>
      <w:bookmarkEnd w:id="0"/>
      <w:r>
        <w:rPr>
          <w:rFonts w:hint="eastAsia"/>
        </w:rPr>
        <w:t>。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  <w:color w:val="0000FF"/>
        </w:rPr>
      </w:pPr>
      <w:r>
        <w:rPr>
          <w:rFonts w:ascii="Times New Roman" w:hAnsi="Times New Roman" w:cs="Times New Roman"/>
        </w:rPr>
        <w:t>到</w:t>
      </w:r>
      <w:r>
        <w:rPr>
          <w:rFonts w:ascii="Times New Roman" w:hAnsi="Times New Roman" w:cs="Times New Roman"/>
        </w:rPr>
        <w:t>2035</w:t>
      </w:r>
      <w:r>
        <w:rPr>
          <w:rFonts w:ascii="Times New Roman" w:hAnsi="Times New Roman" w:cs="Times New Roman"/>
        </w:rPr>
        <w:t>年，</w:t>
      </w:r>
      <w:r>
        <w:rPr>
          <w:rFonts w:hint="eastAsia"/>
        </w:rPr>
        <w:t>主体功能明显、高质量的国土空间开发保护新格局全面形成。镇村功能更加健全，交通网络更加便捷，基础设施和公共服务设施更加完备。高效农业和特色农业种植科技化、智能化水平进一步提升，国家农业产业强镇、康养宜居之镇和市级乡村振兴示范区全面建成</w:t>
      </w:r>
      <w:r>
        <w:rPr>
          <w:rFonts w:ascii="Times New Roman" w:hAnsi="Times New Roman" w:cs="Times New Roman"/>
        </w:rPr>
        <w:t>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四、落实三条控制线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落实上级下达耕地保护目标和永久基本农田保护任务，规划至</w:t>
      </w:r>
      <w:r>
        <w:rPr>
          <w:rFonts w:ascii="Times New Roman" w:hAnsi="Times New Roman" w:cs="Times New Roman"/>
        </w:rPr>
        <w:t>2035</w:t>
      </w:r>
      <w:r>
        <w:rPr>
          <w:rFonts w:ascii="Times New Roman" w:hAnsi="Times New Roman" w:cs="Times New Roman"/>
        </w:rPr>
        <w:t>年，全镇耕地保有量不低于</w:t>
      </w:r>
      <w:r>
        <w:rPr>
          <w:rFonts w:ascii="Times New Roman" w:hAnsi="Times New Roman" w:cs="Times New Roman"/>
        </w:rPr>
        <w:t>41.36</w:t>
      </w:r>
      <w:r>
        <w:rPr>
          <w:rFonts w:ascii="Times New Roman" w:hAnsi="Times New Roman" w:cs="Times New Roman"/>
          <w:spacing w:val="-5"/>
        </w:rPr>
        <w:t>平方千米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6.21</w:t>
      </w:r>
      <w:r>
        <w:rPr>
          <w:rFonts w:ascii="Times New Roman" w:hAnsi="Times New Roman" w:cs="Times New Roman"/>
        </w:rPr>
        <w:t>万亩），永久基本农田面积不低于</w:t>
      </w:r>
      <w:r>
        <w:rPr>
          <w:rFonts w:ascii="Times New Roman" w:hAnsi="Times New Roman" w:cs="Times New Roman"/>
        </w:rPr>
        <w:t>38.31</w:t>
      </w:r>
      <w:r>
        <w:rPr>
          <w:rFonts w:ascii="Times New Roman" w:hAnsi="Times New Roman" w:cs="Times New Roman"/>
        </w:rPr>
        <w:t>平方千米（</w:t>
      </w:r>
      <w:r>
        <w:rPr>
          <w:rFonts w:ascii="Times New Roman" w:hAnsi="Times New Roman" w:cs="Times New Roman"/>
        </w:rPr>
        <w:t>5.75</w:t>
      </w:r>
      <w:r>
        <w:rPr>
          <w:rFonts w:ascii="Times New Roman" w:hAnsi="Times New Roman" w:cs="Times New Roman"/>
        </w:rPr>
        <w:t>万亩）。</w:t>
      </w:r>
      <w:r>
        <w:rPr>
          <w:rFonts w:ascii="Times New Roman" w:hAnsi="Times New Roman" w:cs="Times New Roman" w:hint="eastAsia"/>
        </w:rPr>
        <w:t>换马店</w:t>
      </w:r>
      <w:r>
        <w:rPr>
          <w:rFonts w:ascii="Times New Roman" w:hAnsi="Times New Roman" w:cs="Times New Roman"/>
        </w:rPr>
        <w:t>镇不涉及生态保护红线。落实城镇开发边界面积</w:t>
      </w:r>
      <w:r>
        <w:rPr>
          <w:rFonts w:ascii="Times New Roman" w:hAnsi="Times New Roman" w:cs="Times New Roman"/>
        </w:rPr>
        <w:t>2.16</w:t>
      </w:r>
      <w:r>
        <w:rPr>
          <w:rFonts w:ascii="Times New Roman" w:hAnsi="Times New Roman" w:cs="Times New Roman"/>
        </w:rPr>
        <w:t>平方千米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城镇开发边界扩展倍数控制在基于</w:t>
      </w:r>
      <w:r>
        <w:rPr>
          <w:rFonts w:ascii="Times New Roman" w:hAnsi="Times New Roman" w:cs="Times New Roman"/>
        </w:rPr>
        <w:t>2020</w:t>
      </w:r>
      <w:r>
        <w:rPr>
          <w:rFonts w:ascii="Times New Roman" w:hAnsi="Times New Roman" w:cs="Times New Roman"/>
        </w:rPr>
        <w:t>年城镇建设用地规模的</w:t>
      </w:r>
      <w:r>
        <w:rPr>
          <w:rFonts w:ascii="Times New Roman" w:hAnsi="Times New Roman" w:cs="Times New Roman"/>
        </w:rPr>
        <w:t>1.04</w:t>
      </w:r>
      <w:r>
        <w:rPr>
          <w:rFonts w:ascii="Times New Roman" w:hAnsi="Times New Roman" w:cs="Times New Roman"/>
        </w:rPr>
        <w:t>倍以内。</w:t>
      </w:r>
    </w:p>
    <w:p w:rsidR="0045182C" w:rsidRDefault="007943D6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983615</wp:posOffset>
            </wp:positionH>
            <wp:positionV relativeFrom="paragraph">
              <wp:posOffset>76835</wp:posOffset>
            </wp:positionV>
            <wp:extent cx="3646805" cy="500634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18" b="2418"/>
                    <a:stretch/>
                  </pic:blipFill>
                  <pic:spPr bwMode="auto">
                    <a:xfrm>
                      <a:off x="0" y="0"/>
                      <a:ext cx="3646805" cy="500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6273">
        <w:rPr>
          <w:rFonts w:ascii="Times New Roman" w:eastAsia="黑体" w:hAnsi="Times New Roman" w:cs="Times New Roman"/>
          <w:spacing w:val="-3"/>
          <w:sz w:val="36"/>
          <w:szCs w:val="36"/>
        </w:rPr>
        <w:t>五、构建国土空间开发保护总体格局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以三条控制线为基础，优化农业、生态、城镇空间，构建</w:t>
      </w:r>
      <w:r>
        <w:rPr>
          <w:rFonts w:ascii="Times New Roman" w:hAnsi="Times New Roman" w:hint="eastAsia"/>
        </w:rPr>
        <w:t>“一心、两轴、三区”</w:t>
      </w:r>
      <w:r>
        <w:rPr>
          <w:rFonts w:ascii="Times New Roman" w:hAnsi="Times New Roman" w:cs="Times New Roman"/>
        </w:rPr>
        <w:t>的国土空间开发保护格局。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“一心”：以镇区为核心，打造城镇生活服务、政治经济和文化娱乐中心，加快推进镇区综合实力和辐射带动能力。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“两轴”：以国道</w:t>
      </w:r>
      <w:r>
        <w:rPr>
          <w:rFonts w:ascii="Times New Roman" w:hAnsi="Times New Roman" w:cs="Times New Roman" w:hint="eastAsia"/>
        </w:rPr>
        <w:t>G308</w:t>
      </w:r>
      <w:r>
        <w:rPr>
          <w:rFonts w:ascii="Times New Roman" w:hAnsi="Times New Roman" w:cs="Times New Roman" w:hint="eastAsia"/>
        </w:rPr>
        <w:t>、国道</w:t>
      </w:r>
      <w:r>
        <w:rPr>
          <w:rFonts w:ascii="Times New Roman" w:hAnsi="Times New Roman" w:cs="Times New Roman" w:hint="eastAsia"/>
        </w:rPr>
        <w:t>G515</w:t>
      </w:r>
      <w:r>
        <w:rPr>
          <w:rFonts w:ascii="Times New Roman" w:hAnsi="Times New Roman" w:cs="Times New Roman" w:hint="eastAsia"/>
        </w:rPr>
        <w:t>作为城镇发展轴，以线带面，引领全域经济发展。</w:t>
      </w:r>
    </w:p>
    <w:p w:rsidR="0088513C" w:rsidRDefault="00E96273" w:rsidP="0088513C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“三区”：立足粮食主产区功能，将镇域划分为三个区域，分别为北</w:t>
      </w:r>
      <w:r w:rsidR="002158B6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395605</wp:posOffset>
            </wp:positionV>
            <wp:extent cx="3739515" cy="510603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804" b="2760"/>
                    <a:stretch/>
                  </pic:blipFill>
                  <pic:spPr bwMode="auto">
                    <a:xfrm>
                      <a:off x="0" y="0"/>
                      <a:ext cx="373951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hint="eastAsia"/>
        </w:rPr>
        <w:t>部的现代高效农业区、中部的都市休闲农业区、南部的特色种养殖农业区。</w:t>
      </w:r>
    </w:p>
    <w:p w:rsidR="0045182C" w:rsidRDefault="00E96273">
      <w:pPr>
        <w:pStyle w:val="a3"/>
        <w:spacing w:line="560" w:lineRule="exact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六、</w:t>
      </w:r>
      <w:r w:rsidR="00C66D2C">
        <w:rPr>
          <w:rFonts w:ascii="Times New Roman" w:eastAsia="黑体" w:hAnsi="Times New Roman" w:cs="Times New Roman" w:hint="eastAsia"/>
          <w:spacing w:val="-3"/>
          <w:sz w:val="36"/>
          <w:szCs w:val="36"/>
        </w:rPr>
        <w:t>打造优质高效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农业空间</w:t>
      </w:r>
    </w:p>
    <w:p w:rsidR="0045182C" w:rsidRPr="00C66D2C" w:rsidRDefault="00E96273" w:rsidP="00C66D2C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坚持最严格的耕地保护制度，实施耕地数量、质量、生态</w:t>
      </w:r>
      <w:r>
        <w:rPr>
          <w:rFonts w:ascii="Times New Roman" w:hAnsi="Times New Roman" w:cs="Times New Roman" w:hint="eastAsia"/>
        </w:rPr>
        <w:t>“</w:t>
      </w:r>
      <w:r>
        <w:rPr>
          <w:rFonts w:ascii="Times New Roman" w:hAnsi="Times New Roman" w:cs="Times New Roman"/>
        </w:rPr>
        <w:t>三位一体</w:t>
      </w:r>
      <w:r>
        <w:rPr>
          <w:rFonts w:ascii="Times New Roman" w:hAnsi="Times New Roman" w:cs="Times New Roman" w:hint="eastAsia"/>
        </w:rPr>
        <w:t>”</w:t>
      </w:r>
      <w:r>
        <w:rPr>
          <w:rFonts w:ascii="Times New Roman" w:hAnsi="Times New Roman" w:cs="Times New Roman"/>
        </w:rPr>
        <w:t>保护，加强耕地和永久基本农田保护。优化农业产业空间布局，</w:t>
      </w:r>
      <w:bookmarkStart w:id="1" w:name="_Hlk221179232"/>
      <w:r w:rsidRPr="00C66D2C">
        <w:rPr>
          <w:rFonts w:ascii="Times New Roman" w:hAnsi="Times New Roman" w:cs="Times New Roman" w:hint="eastAsia"/>
        </w:rPr>
        <w:t>依托米家庄粮食</w:t>
      </w:r>
      <w:r w:rsidR="00C66D2C" w:rsidRPr="00C66D2C">
        <w:rPr>
          <w:rFonts w:ascii="Times New Roman" w:hAnsi="Times New Roman" w:cs="Times New Roman" w:hint="eastAsia"/>
        </w:rPr>
        <w:t>高产</w:t>
      </w:r>
      <w:r w:rsidRPr="00C66D2C">
        <w:rPr>
          <w:rFonts w:ascii="Times New Roman" w:hAnsi="Times New Roman" w:cs="Times New Roman" w:hint="eastAsia"/>
        </w:rPr>
        <w:t>核心区，将智能化、科技化、数字化应用到农业生产中</w:t>
      </w:r>
      <w:r w:rsidR="00C66D2C">
        <w:rPr>
          <w:rFonts w:ascii="Times New Roman" w:hAnsi="Times New Roman" w:cs="Times New Roman" w:hint="eastAsia"/>
        </w:rPr>
        <w:t>。</w:t>
      </w:r>
      <w:r w:rsidR="00C66D2C" w:rsidRPr="00C66D2C">
        <w:rPr>
          <w:rFonts w:ascii="Times New Roman" w:hAnsi="Times New Roman" w:cs="Times New Roman" w:hint="eastAsia"/>
        </w:rPr>
        <w:t>在曹伍疃社区打造以樱桃、葡萄为主的高端水果种植基地，以及桥</w:t>
      </w:r>
      <w:r w:rsidR="00C66D2C">
        <w:rPr>
          <w:rFonts w:ascii="Times New Roman" w:hAnsi="Times New Roman" w:cs="Times New Roman" w:hint="eastAsia"/>
        </w:rPr>
        <w:t>片区</w:t>
      </w:r>
      <w:r w:rsidR="00C66D2C" w:rsidRPr="00C66D2C">
        <w:rPr>
          <w:rFonts w:ascii="Times New Roman" w:hAnsi="Times New Roman" w:cs="Times New Roman" w:hint="eastAsia"/>
        </w:rPr>
        <w:t>养殖作为核心，开启林下养殖模式，</w:t>
      </w:r>
      <w:r w:rsidR="00C66D2C" w:rsidRPr="008403C2">
        <w:rPr>
          <w:rFonts w:cs="___WRD_EMBED_SUB_46" w:hint="eastAsia"/>
        </w:rPr>
        <w:t>在秦邱、大康庄一带，布局葡萄、板蓝根、金银花等特色种植项目</w:t>
      </w:r>
      <w:r w:rsidR="00C66D2C">
        <w:rPr>
          <w:rFonts w:cs="___WRD_EMBED_SUB_46" w:hint="eastAsia"/>
        </w:rPr>
        <w:t>，</w:t>
      </w:r>
      <w:r w:rsidRPr="00C66D2C">
        <w:rPr>
          <w:rFonts w:ascii="Times New Roman" w:hAnsi="Times New Roman" w:cs="Times New Roman" w:hint="eastAsia"/>
        </w:rPr>
        <w:t>全面推进农业现代化发展步伐。</w:t>
      </w:r>
      <w:bookmarkEnd w:id="1"/>
      <w:r w:rsidR="00C66D2C" w:rsidRPr="00C66D2C">
        <w:rPr>
          <w:rFonts w:ascii="Times New Roman" w:hAnsi="Times New Roman" w:cs="Times New Roman" w:hint="eastAsia"/>
        </w:rPr>
        <w:t>进一步加快智能</w:t>
      </w:r>
      <w:r w:rsidR="00C66D2C" w:rsidRPr="00C66D2C">
        <w:rPr>
          <w:rFonts w:ascii="Times New Roman" w:hAnsi="Times New Roman" w:cs="Times New Roman" w:hint="eastAsia"/>
        </w:rPr>
        <w:lastRenderedPageBreak/>
        <w:t>化农田建设</w:t>
      </w:r>
      <w:r w:rsidR="00C66D2C">
        <w:rPr>
          <w:rFonts w:ascii="Times New Roman" w:hAnsi="Times New Roman" w:cs="Times New Roman" w:hint="eastAsia"/>
        </w:rPr>
        <w:t>，</w:t>
      </w:r>
      <w:r w:rsidR="00C66D2C" w:rsidRPr="00C66D2C">
        <w:rPr>
          <w:rFonts w:ascii="Times New Roman" w:hAnsi="Times New Roman" w:cs="Times New Roman" w:hint="eastAsia"/>
        </w:rPr>
        <w:t>依托农业合作社，实现耕、种、管、收全程机械化，同时加大自动喷灌系统、气象监测系统和病虫害防御系统建设，提高传统农业科技附加值和智能化水平。</w:t>
      </w:r>
      <w:r>
        <w:rPr>
          <w:rFonts w:ascii="Times New Roman" w:hAnsi="Times New Roman" w:cs="Times New Roman"/>
        </w:rPr>
        <w:t>引导村庄分类发展，</w:t>
      </w:r>
      <w:r w:rsidRPr="00C66D2C">
        <w:rPr>
          <w:rFonts w:ascii="Times New Roman" w:hAnsi="Times New Roman" w:cs="Times New Roman" w:hint="eastAsia"/>
        </w:rPr>
        <w:t>加强土地综合整治，加快推进乡村振兴。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七、</w:t>
      </w:r>
      <w:r w:rsidR="0009756A">
        <w:rPr>
          <w:rFonts w:ascii="Times New Roman" w:eastAsia="黑体" w:hAnsi="Times New Roman" w:cs="Times New Roman" w:hint="eastAsia"/>
          <w:spacing w:val="-3"/>
          <w:sz w:val="36"/>
          <w:szCs w:val="36"/>
        </w:rPr>
        <w:t>保育蓝绿交织</w:t>
      </w:r>
      <w:r>
        <w:rPr>
          <w:rFonts w:ascii="Times New Roman" w:eastAsia="黑体" w:hAnsi="Times New Roman" w:cs="Times New Roman"/>
          <w:spacing w:val="-3"/>
          <w:sz w:val="36"/>
          <w:szCs w:val="36"/>
        </w:rPr>
        <w:t>生态空间</w:t>
      </w:r>
    </w:p>
    <w:p w:rsidR="00B03B0B" w:rsidRPr="00B03B0B" w:rsidRDefault="00B03B0B" w:rsidP="00B03B0B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bookmarkStart w:id="2" w:name="OLE_LINK10"/>
      <w:r w:rsidRPr="00B03B0B">
        <w:rPr>
          <w:rFonts w:ascii="Times New Roman" w:hAnsi="Times New Roman" w:cs="Times New Roman" w:hint="eastAsia"/>
        </w:rPr>
        <w:t>以农田生态景观为基底，以区域水网为脉络，依托镇域内汪洋沟、洨河构建生态景观带，扩充生态空间。</w:t>
      </w:r>
      <w:bookmarkStart w:id="3" w:name="_Hlk208926355"/>
      <w:r w:rsidRPr="00B03B0B">
        <w:rPr>
          <w:rFonts w:ascii="Times New Roman" w:hAnsi="Times New Roman" w:cs="Times New Roman" w:hint="eastAsia"/>
        </w:rPr>
        <w:t>以</w:t>
      </w:r>
      <w:bookmarkStart w:id="4" w:name="_Hlk176440252"/>
      <w:r w:rsidRPr="00B03B0B">
        <w:rPr>
          <w:rFonts w:ascii="Times New Roman" w:hAnsi="Times New Roman" w:cs="Times New Roman" w:hint="eastAsia"/>
        </w:rPr>
        <w:t>青银高速、石邢邯城际铁路、邢衡城际铁路、</w:t>
      </w:r>
      <w:r>
        <w:rPr>
          <w:rFonts w:ascii="Times New Roman" w:hAnsi="Times New Roman" w:cs="Times New Roman" w:hint="eastAsia"/>
        </w:rPr>
        <w:t>国道</w:t>
      </w:r>
      <w:r w:rsidRPr="00B03B0B">
        <w:rPr>
          <w:rFonts w:ascii="Times New Roman" w:hAnsi="Times New Roman" w:cs="Times New Roman"/>
        </w:rPr>
        <w:t>G515</w:t>
      </w:r>
      <w:r w:rsidRPr="00B03B0B"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国道</w:t>
      </w:r>
      <w:r w:rsidRPr="00B03B0B">
        <w:rPr>
          <w:rFonts w:ascii="Times New Roman" w:hAnsi="Times New Roman" w:cs="Times New Roman"/>
        </w:rPr>
        <w:t>G308</w:t>
      </w:r>
      <w:bookmarkEnd w:id="4"/>
      <w:r w:rsidRPr="00B03B0B">
        <w:rPr>
          <w:rFonts w:ascii="Times New Roman" w:hAnsi="Times New Roman" w:cs="Times New Roman" w:hint="eastAsia"/>
        </w:rPr>
        <w:t>等</w:t>
      </w:r>
      <w:r>
        <w:rPr>
          <w:rFonts w:ascii="Times New Roman" w:hAnsi="Times New Roman" w:cs="Times New Roman" w:hint="eastAsia"/>
        </w:rPr>
        <w:t>交通干道两侧绿廊</w:t>
      </w:r>
      <w:r w:rsidRPr="00B03B0B">
        <w:rPr>
          <w:rFonts w:ascii="Times New Roman" w:hAnsi="Times New Roman" w:cs="Times New Roman" w:hint="eastAsia"/>
        </w:rPr>
        <w:t>为补充、重点突出生态保护格局。</w:t>
      </w:r>
      <w:bookmarkEnd w:id="3"/>
      <w:r w:rsidR="0009756A">
        <w:rPr>
          <w:rFonts w:ascii="Times New Roman" w:hAnsi="Times New Roman" w:cs="Times New Roman" w:hint="eastAsia"/>
        </w:rPr>
        <w:t>落实水资源供需平衡，推动节水农业，提高水资源利用效率，加强林地资源保护，提高林地质量，发挥生态效益。</w:t>
      </w:r>
    </w:p>
    <w:bookmarkEnd w:id="2"/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八、建设集约高效镇村空间</w:t>
      </w:r>
    </w:p>
    <w:p w:rsidR="0045182C" w:rsidRDefault="0009756A" w:rsidP="009D1E16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 w:rsidRPr="0009756A">
        <w:rPr>
          <w:rFonts w:ascii="Times New Roman" w:hAnsi="Times New Roman" w:cs="Times New Roman" w:hint="eastAsia"/>
        </w:rPr>
        <w:t>坚持以人为核心的新型城镇化，</w:t>
      </w:r>
      <w:r w:rsidR="00E96273">
        <w:rPr>
          <w:rFonts w:ascii="Times New Roman" w:hAnsi="Times New Roman" w:cs="Times New Roman"/>
        </w:rPr>
        <w:t>打造镇区</w:t>
      </w:r>
      <w:r w:rsidR="00E96273">
        <w:rPr>
          <w:rFonts w:ascii="Times New Roman" w:hAnsi="Times New Roman" w:cs="Times New Roman" w:hint="eastAsia"/>
        </w:rPr>
        <w:t>—</w:t>
      </w:r>
      <w:r w:rsidR="00E96273">
        <w:rPr>
          <w:rFonts w:ascii="Times New Roman" w:hAnsi="Times New Roman" w:cs="Times New Roman"/>
        </w:rPr>
        <w:t>中心村</w:t>
      </w:r>
      <w:r w:rsidR="00E96273">
        <w:rPr>
          <w:rFonts w:ascii="Times New Roman" w:hAnsi="Times New Roman" w:cs="Times New Roman" w:hint="eastAsia"/>
        </w:rPr>
        <w:t>—</w:t>
      </w:r>
      <w:r w:rsidR="00E96273">
        <w:rPr>
          <w:rFonts w:ascii="Times New Roman" w:hAnsi="Times New Roman" w:cs="Times New Roman"/>
        </w:rPr>
        <w:t>基层村三级镇村体系，</w:t>
      </w:r>
      <w:r w:rsidRPr="0009756A">
        <w:rPr>
          <w:rFonts w:ascii="Times New Roman" w:hAnsi="Times New Roman" w:cs="Times New Roman" w:hint="eastAsia"/>
        </w:rPr>
        <w:t>推动镇村发展方式向内涵式提升转变。发挥自身资源禀赋，以现代农业型乡镇为目标，</w:t>
      </w:r>
      <w:r>
        <w:rPr>
          <w:rFonts w:ascii="Times New Roman" w:hAnsi="Times New Roman" w:cs="Times New Roman" w:hint="eastAsia"/>
        </w:rPr>
        <w:t>加强与中心城区的空间联系</w:t>
      </w:r>
      <w:r w:rsidRPr="0009756A">
        <w:rPr>
          <w:rFonts w:ascii="Times New Roman" w:hAnsi="Times New Roman" w:cs="Times New Roman" w:hint="eastAsia"/>
        </w:rPr>
        <w:t>。</w:t>
      </w:r>
      <w:r w:rsidR="0088513C">
        <w:rPr>
          <w:rFonts w:ascii="Times New Roman" w:hAnsi="Times New Roman" w:cs="Times New Roman" w:hint="eastAsia"/>
        </w:rPr>
        <w:t>构建</w:t>
      </w:r>
      <w:r w:rsidRPr="0009756A">
        <w:rPr>
          <w:rFonts w:ascii="Times New Roman" w:hAnsi="Times New Roman" w:cs="Times New Roman" w:hint="eastAsia"/>
        </w:rPr>
        <w:t>“一村一</w:t>
      </w:r>
      <w:r w:rsidR="0088513C">
        <w:rPr>
          <w:rFonts w:ascii="Times New Roman" w:hAnsi="Times New Roman" w:cs="Times New Roman" w:hint="eastAsia"/>
        </w:rPr>
        <w:t>特色</w:t>
      </w:r>
      <w:r w:rsidRPr="0009756A">
        <w:rPr>
          <w:rFonts w:ascii="Times New Roman" w:hAnsi="Times New Roman" w:cs="Times New Roman" w:hint="eastAsia"/>
        </w:rPr>
        <w:t>”的村庄职能结构。严格控制建设用地总量，</w:t>
      </w:r>
      <w:r w:rsidR="00E96273">
        <w:rPr>
          <w:rFonts w:ascii="Times New Roman" w:hAnsi="Times New Roman" w:cs="Times New Roman"/>
        </w:rPr>
        <w:t>合理确定各类建设用地规模</w:t>
      </w:r>
      <w:r>
        <w:rPr>
          <w:rFonts w:ascii="Times New Roman" w:hAnsi="Times New Roman" w:cs="Times New Roman" w:hint="eastAsia"/>
        </w:rPr>
        <w:t>，</w:t>
      </w:r>
      <w:r w:rsidR="00E96273">
        <w:rPr>
          <w:rFonts w:ascii="Times New Roman" w:hAnsi="Times New Roman" w:cs="Times New Roman"/>
        </w:rPr>
        <w:t>统筹划定村庄建设边界。</w:t>
      </w:r>
      <w:r>
        <w:rPr>
          <w:rFonts w:ascii="Times New Roman" w:hAnsi="Times New Roman" w:cs="Times New Roman" w:hint="eastAsia"/>
        </w:rPr>
        <w:t>科学利用新增建设用地规模。</w:t>
      </w:r>
      <w:r w:rsidR="00E96273">
        <w:rPr>
          <w:rFonts w:ascii="Times New Roman" w:hAnsi="Times New Roman" w:cs="Times New Roman"/>
        </w:rPr>
        <w:t>构建</w:t>
      </w:r>
      <w:r w:rsidR="00E96273">
        <w:rPr>
          <w:rFonts w:ascii="Times New Roman" w:hAnsi="Times New Roman" w:cs="Times New Roman" w:hint="eastAsia"/>
        </w:rPr>
        <w:t>“</w:t>
      </w:r>
      <w:r w:rsidR="00E96273">
        <w:rPr>
          <w:rFonts w:ascii="Times New Roman" w:hAnsi="Times New Roman" w:cs="Times New Roman"/>
        </w:rPr>
        <w:t>镇</w:t>
      </w:r>
      <w:r w:rsidR="00E96273">
        <w:rPr>
          <w:rFonts w:ascii="Times New Roman" w:hAnsi="Times New Roman" w:cs="Times New Roman" w:hint="eastAsia"/>
        </w:rPr>
        <w:t>—</w:t>
      </w:r>
      <w:r w:rsidR="00E96273">
        <w:rPr>
          <w:rFonts w:ascii="Times New Roman" w:hAnsi="Times New Roman" w:cs="Times New Roman"/>
        </w:rPr>
        <w:t>村</w:t>
      </w:r>
      <w:r w:rsidR="00E96273">
        <w:rPr>
          <w:rFonts w:ascii="Times New Roman" w:hAnsi="Times New Roman" w:cs="Times New Roman" w:hint="eastAsia"/>
        </w:rPr>
        <w:t>”</w:t>
      </w:r>
      <w:r w:rsidR="00E96273">
        <w:rPr>
          <w:rFonts w:ascii="Times New Roman" w:hAnsi="Times New Roman" w:cs="Times New Roman"/>
        </w:rPr>
        <w:t>两级生活圈层级，完善</w:t>
      </w:r>
      <w:r w:rsidR="009D1E16">
        <w:rPr>
          <w:rFonts w:ascii="Times New Roman" w:hAnsi="Times New Roman" w:cs="Times New Roman" w:hint="eastAsia"/>
        </w:rPr>
        <w:t>城镇</w:t>
      </w:r>
      <w:r w:rsidR="00E96273">
        <w:rPr>
          <w:rFonts w:ascii="Times New Roman" w:hAnsi="Times New Roman" w:cs="Times New Roman"/>
        </w:rPr>
        <w:t>公共服务设施配置。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九、完善基础设施体系</w:t>
      </w:r>
    </w:p>
    <w:p w:rsidR="0045182C" w:rsidRDefault="007943D6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hint="eastAsia"/>
        </w:rPr>
        <w:t>积极推动</w:t>
      </w:r>
      <w:r w:rsidR="00E96273">
        <w:rPr>
          <w:rFonts w:hint="eastAsia"/>
        </w:rPr>
        <w:t>石邢邯城际</w:t>
      </w:r>
      <w:r w:rsidR="002E2F52">
        <w:rPr>
          <w:rFonts w:hint="eastAsia"/>
        </w:rPr>
        <w:t>铁路</w:t>
      </w:r>
      <w:r w:rsidR="00E96273">
        <w:rPr>
          <w:rFonts w:hint="eastAsia"/>
        </w:rPr>
        <w:t>和邢衡城际</w:t>
      </w:r>
      <w:r w:rsidR="00A60043">
        <w:rPr>
          <w:rFonts w:hint="eastAsia"/>
        </w:rPr>
        <w:t>铁路</w:t>
      </w:r>
      <w:r w:rsidR="003A1C5C">
        <w:rPr>
          <w:rFonts w:hint="eastAsia"/>
        </w:rPr>
        <w:t>建设</w:t>
      </w:r>
      <w:r w:rsidR="00E96273">
        <w:rPr>
          <w:rFonts w:hint="eastAsia"/>
        </w:rPr>
        <w:t>；新建国道G515纵向穿过换马店；改建国道G308，为镇域东西向的主要通道；保留青银高速和</w:t>
      </w:r>
      <w:r w:rsidR="00444FB6">
        <w:rPr>
          <w:rFonts w:hint="eastAsia"/>
        </w:rPr>
        <w:t>县乡级道路</w:t>
      </w:r>
      <w:r w:rsidR="00E96273">
        <w:rPr>
          <w:rFonts w:hint="eastAsia"/>
        </w:rPr>
        <w:t>，加强镇域对外交通联系</w:t>
      </w:r>
      <w:r w:rsidR="00E96273">
        <w:rPr>
          <w:rFonts w:ascii="Times New Roman" w:hAnsi="Times New Roman" w:cs="Times New Roman"/>
        </w:rPr>
        <w:t>，持续推进</w:t>
      </w:r>
      <w:r w:rsidR="00E96273">
        <w:rPr>
          <w:rFonts w:ascii="Times New Roman" w:hAnsi="Times New Roman" w:cs="Times New Roman" w:hint="eastAsia"/>
        </w:rPr>
        <w:t>“</w:t>
      </w:r>
      <w:r w:rsidR="00E96273">
        <w:rPr>
          <w:rFonts w:ascii="Times New Roman" w:hAnsi="Times New Roman" w:cs="Times New Roman"/>
        </w:rPr>
        <w:t>四好农村路</w:t>
      </w:r>
      <w:r w:rsidR="00E96273">
        <w:rPr>
          <w:rFonts w:ascii="Times New Roman" w:hAnsi="Times New Roman" w:cs="Times New Roman" w:hint="eastAsia"/>
        </w:rPr>
        <w:t>”，</w:t>
      </w:r>
      <w:r w:rsidR="00E96273">
        <w:rPr>
          <w:rFonts w:ascii="Times New Roman" w:hAnsi="Times New Roman" w:cs="Times New Roman"/>
        </w:rPr>
        <w:t>促进区域交通一体化发展</w:t>
      </w:r>
      <w:r w:rsidR="00E96273">
        <w:rPr>
          <w:rFonts w:ascii="Times New Roman" w:hAnsi="Times New Roman" w:cs="Times New Roman" w:hint="eastAsia"/>
        </w:rPr>
        <w:t>。</w:t>
      </w:r>
      <w:bookmarkStart w:id="5" w:name="_Toc19181"/>
      <w:bookmarkStart w:id="6" w:name="_Toc220656522"/>
      <w:bookmarkStart w:id="7" w:name="_Toc220656571"/>
      <w:bookmarkStart w:id="8" w:name="_Toc220656459"/>
      <w:r w:rsidR="00E96273">
        <w:rPr>
          <w:rFonts w:ascii="Times New Roman" w:hAnsi="Times New Roman" w:cs="Times New Roman"/>
        </w:rPr>
        <w:t>加强给水、排水、电力、通信、供热、燃气、环卫</w:t>
      </w:r>
      <w:r w:rsidR="00E96273">
        <w:rPr>
          <w:rFonts w:ascii="Times New Roman" w:hAnsi="Times New Roman" w:cs="Times New Roman"/>
        </w:rPr>
        <w:lastRenderedPageBreak/>
        <w:t>等市政基础设施建设</w:t>
      </w:r>
      <w:bookmarkEnd w:id="5"/>
      <w:bookmarkEnd w:id="6"/>
      <w:bookmarkEnd w:id="7"/>
      <w:bookmarkEnd w:id="8"/>
      <w:r w:rsidR="00E96273">
        <w:rPr>
          <w:rFonts w:ascii="Times New Roman" w:hAnsi="Times New Roman" w:cs="Times New Roman"/>
        </w:rPr>
        <w:t>。构建镇域综合防灾体系，加强地震等地质灾害防御，保障消防建设空间，完善人防工程体系。加强</w:t>
      </w:r>
      <w:r w:rsidRPr="00670CA6">
        <w:rPr>
          <w:rFonts w:ascii="Times New Roman" w:hAnsi="Times New Roman" w:cs="Times New Roman" w:hint="eastAsia"/>
        </w:rPr>
        <w:t>危险化学品生产储存空间管控</w:t>
      </w:r>
      <w:r w:rsidR="005501E4">
        <w:rPr>
          <w:rFonts w:ascii="Times New Roman" w:hAnsi="Times New Roman" w:cs="Times New Roman" w:hint="eastAsia"/>
        </w:rPr>
        <w:t>和</w:t>
      </w:r>
      <w:r w:rsidRPr="00670CA6">
        <w:rPr>
          <w:rFonts w:ascii="Times New Roman" w:hAnsi="Times New Roman" w:cs="Times New Roman"/>
        </w:rPr>
        <w:t>各类危险源的</w:t>
      </w:r>
      <w:r w:rsidR="005501E4">
        <w:rPr>
          <w:rFonts w:ascii="Times New Roman" w:hAnsi="Times New Roman" w:cs="Times New Roman" w:hint="eastAsia"/>
        </w:rPr>
        <w:t>空间</w:t>
      </w:r>
      <w:r w:rsidRPr="00670CA6">
        <w:rPr>
          <w:rFonts w:ascii="Times New Roman" w:hAnsi="Times New Roman" w:cs="Times New Roman"/>
        </w:rPr>
        <w:t>管控。</w:t>
      </w:r>
    </w:p>
    <w:p w:rsidR="0045182C" w:rsidRDefault="00E96273">
      <w:pPr>
        <w:spacing w:line="640" w:lineRule="exact"/>
        <w:outlineLvl w:val="1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t>十、全面提升镇区建设品质</w:t>
      </w:r>
    </w:p>
    <w:p w:rsidR="0045182C" w:rsidRDefault="0088513C">
      <w:pPr>
        <w:pStyle w:val="a3"/>
        <w:spacing w:line="560" w:lineRule="exact"/>
        <w:ind w:firstLineChars="200" w:firstLine="560"/>
        <w:rPr>
          <w:rFonts w:cs="微软雅黑"/>
          <w:bCs/>
          <w:szCs w:val="3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1602105</wp:posOffset>
            </wp:positionV>
            <wp:extent cx="3943350" cy="540575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1" b="2614"/>
                    <a:stretch/>
                  </pic:blipFill>
                  <pic:spPr bwMode="auto">
                    <a:xfrm>
                      <a:off x="0" y="0"/>
                      <a:ext cx="3943350" cy="540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941C6" w:rsidRPr="008403C2">
        <w:rPr>
          <w:rFonts w:hint="eastAsia"/>
          <w:bCs/>
          <w:szCs w:val="30"/>
        </w:rPr>
        <w:t>优化镇区空间结构和功能布局，</w:t>
      </w:r>
      <w:r w:rsidR="00E96273">
        <w:rPr>
          <w:rFonts w:ascii="Times New Roman" w:hAnsi="Times New Roman" w:cs="Times New Roman"/>
        </w:rPr>
        <w:t>规划形成</w:t>
      </w:r>
      <w:r w:rsidR="00E96273">
        <w:rPr>
          <w:rFonts w:ascii="Times New Roman" w:hAnsi="Times New Roman" w:cs="Times New Roman" w:hint="eastAsia"/>
        </w:rPr>
        <w:t>“</w:t>
      </w:r>
      <w:r w:rsidR="00E96273">
        <w:rPr>
          <w:rFonts w:ascii="Times New Roman" w:hAnsi="Times New Roman" w:cs="Times New Roman"/>
        </w:rPr>
        <w:t>两</w:t>
      </w:r>
      <w:r w:rsidR="00E96273">
        <w:rPr>
          <w:rFonts w:cs="微软雅黑" w:hint="eastAsia"/>
          <w:bCs/>
          <w:szCs w:val="30"/>
        </w:rPr>
        <w:t>心</w:t>
      </w:r>
      <w:r w:rsidR="00E96273">
        <w:rPr>
          <w:rFonts w:ascii="Times New Roman" w:hAnsi="Times New Roman" w:cs="Times New Roman"/>
        </w:rPr>
        <w:t>一带</w:t>
      </w:r>
      <w:r w:rsidR="00E96273">
        <w:rPr>
          <w:rFonts w:ascii="Times New Roman" w:hAnsi="Times New Roman" w:cs="Times New Roman" w:hint="eastAsia"/>
        </w:rPr>
        <w:t>”</w:t>
      </w:r>
      <w:r w:rsidR="00E96273">
        <w:rPr>
          <w:rFonts w:ascii="Times New Roman" w:hAnsi="Times New Roman" w:cs="Times New Roman"/>
        </w:rPr>
        <w:t>的空间结构。</w:t>
      </w:r>
      <w:r w:rsidR="00E96273">
        <w:rPr>
          <w:rFonts w:cs="微软雅黑" w:hint="eastAsia"/>
          <w:bCs/>
          <w:szCs w:val="30"/>
        </w:rPr>
        <w:t>“两心”指北部以医疗、文化和福利设施为主的综合服务中心，以及南部以工业、物流为发展主导的智能产业中</w:t>
      </w:r>
      <w:bookmarkStart w:id="9" w:name="_GoBack"/>
      <w:bookmarkEnd w:id="9"/>
      <w:r w:rsidR="00E96273">
        <w:rPr>
          <w:rFonts w:cs="微软雅黑" w:hint="eastAsia"/>
          <w:bCs/>
          <w:szCs w:val="30"/>
        </w:rPr>
        <w:t>心</w:t>
      </w:r>
      <w:r w:rsidR="00E96273">
        <w:rPr>
          <w:rFonts w:ascii="Times New Roman" w:hAnsi="Times New Roman" w:cs="Times New Roman"/>
        </w:rPr>
        <w:t>；</w:t>
      </w:r>
      <w:r w:rsidR="00E96273">
        <w:rPr>
          <w:rFonts w:cs="微软雅黑" w:hint="eastAsia"/>
          <w:bCs/>
          <w:szCs w:val="30"/>
        </w:rPr>
        <w:t>“一带”以县道为轴线，形成交通物流产业带，增强南北两个中心的连通性。</w:t>
      </w:r>
    </w:p>
    <w:p w:rsidR="0045182C" w:rsidRDefault="00E96273" w:rsidP="007C1FA4">
      <w:pPr>
        <w:pStyle w:val="a3"/>
        <w:spacing w:line="560" w:lineRule="exact"/>
        <w:rPr>
          <w:rFonts w:ascii="Times New Roman" w:eastAsia="黑体" w:hAnsi="Times New Roman" w:cs="Times New Roman"/>
          <w:spacing w:val="-3"/>
          <w:sz w:val="36"/>
          <w:szCs w:val="36"/>
        </w:rPr>
      </w:pPr>
      <w:r>
        <w:rPr>
          <w:rFonts w:ascii="Times New Roman" w:eastAsia="黑体" w:hAnsi="Times New Roman" w:cs="Times New Roman"/>
          <w:spacing w:val="-3"/>
          <w:sz w:val="36"/>
          <w:szCs w:val="36"/>
        </w:rPr>
        <w:lastRenderedPageBreak/>
        <w:t>十一、规划实施保障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加强组织领导。充分发挥党总揽全局、协调各方的领导核心作用，把党的领导贯彻到</w:t>
      </w:r>
      <w:r>
        <w:rPr>
          <w:rFonts w:ascii="Times New Roman" w:hAnsi="Times New Roman" w:cs="Times New Roman" w:hint="eastAsia"/>
        </w:rPr>
        <w:t>换马店</w:t>
      </w:r>
      <w:r>
        <w:rPr>
          <w:rFonts w:ascii="Times New Roman" w:hAnsi="Times New Roman" w:cs="Times New Roman"/>
        </w:rPr>
        <w:t>镇国土空间规划编制实施全过程各领域各环节。加强镇级国土空间总体规划和详细规划联动</w:t>
      </w:r>
      <w:r>
        <w:rPr>
          <w:rFonts w:ascii="Times New Roman" w:hAnsi="Times New Roman" w:cs="Times New Roman" w:hint="eastAsia"/>
        </w:rPr>
        <w:t>。</w:t>
      </w:r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强化规划传导。落实上级总体规划确定的传导内容，保持耕地和永久基本农田、城镇开发边界</w:t>
      </w:r>
      <w:r w:rsidR="00D941C6">
        <w:rPr>
          <w:rFonts w:ascii="Times New Roman" w:hAnsi="Times New Roman" w:cs="Times New Roman" w:hint="eastAsia"/>
        </w:rPr>
        <w:t>等</w:t>
      </w:r>
      <w:r>
        <w:rPr>
          <w:rFonts w:ascii="Times New Roman" w:hAnsi="Times New Roman" w:cs="Times New Roman"/>
        </w:rPr>
        <w:t>控制线上下图、数、线一致。强化详细规划传导，确保总体规划确定的约束性指标、结构布局、空间底线和重大设施等传导并落实。</w:t>
      </w:r>
      <w:bookmarkStart w:id="10" w:name="_Toc128148220"/>
      <w:bookmarkStart w:id="11" w:name="_Toc15701"/>
      <w:bookmarkStart w:id="12" w:name="_Toc220656473"/>
      <w:bookmarkStart w:id="13" w:name="_Toc220656585"/>
      <w:bookmarkStart w:id="14" w:name="_Toc220656536"/>
      <w:bookmarkStart w:id="15" w:name="_Toc128148276"/>
    </w:p>
    <w:p w:rsidR="0045182C" w:rsidRDefault="00E96273">
      <w:pPr>
        <w:pStyle w:val="a3"/>
        <w:spacing w:line="560" w:lineRule="exact"/>
        <w:ind w:firstLineChars="200"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加强全生命周期管理</w:t>
      </w:r>
      <w:bookmarkEnd w:id="10"/>
      <w:bookmarkEnd w:id="11"/>
      <w:bookmarkEnd w:id="12"/>
      <w:bookmarkEnd w:id="13"/>
      <w:bookmarkEnd w:id="14"/>
      <w:bookmarkEnd w:id="15"/>
      <w:r>
        <w:rPr>
          <w:rFonts w:ascii="Times New Roman" w:hAnsi="Times New Roman" w:cs="Times New Roman"/>
        </w:rPr>
        <w:t>。健全公众</w:t>
      </w:r>
      <w:r w:rsidR="00B45ACF">
        <w:rPr>
          <w:rFonts w:ascii="Times New Roman" w:hAnsi="Times New Roman" w:cs="Times New Roman" w:hint="eastAsia"/>
        </w:rPr>
        <w:t>参与</w:t>
      </w:r>
      <w:r>
        <w:rPr>
          <w:rFonts w:ascii="Times New Roman" w:hAnsi="Times New Roman" w:cs="Times New Roman"/>
        </w:rPr>
        <w:t>和社会协调机制，强化监督管理。</w:t>
      </w:r>
    </w:p>
    <w:sectPr w:rsidR="0045182C" w:rsidSect="007C1FA4">
      <w:pgSz w:w="11906" w:h="16838"/>
      <w:pgMar w:top="1871" w:right="1531" w:bottom="187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1DA" w:rsidRDefault="003461DA" w:rsidP="000600A4">
      <w:pPr>
        <w:ind w:firstLine="640"/>
      </w:pPr>
      <w:r>
        <w:separator/>
      </w:r>
    </w:p>
  </w:endnote>
  <w:endnote w:type="continuationSeparator" w:id="1">
    <w:p w:rsidR="003461DA" w:rsidRDefault="003461DA" w:rsidP="000600A4">
      <w:pPr>
        <w:ind w:firstLine="64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AE527EC-C961-44F2-BF57-2CB24A1E158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74C5FC11-29BD-4144-82FD-88381691A46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2D0CEC35-1F3D-4E31-924E-1E1432AA7372}"/>
  </w:font>
  <w:font w:name="___WRD_EMBED_SUB_46">
    <w:altName w:val="Arial Unicode MS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1DA" w:rsidRDefault="003461DA" w:rsidP="000600A4">
      <w:pPr>
        <w:ind w:firstLine="640"/>
      </w:pPr>
      <w:r>
        <w:separator/>
      </w:r>
    </w:p>
  </w:footnote>
  <w:footnote w:type="continuationSeparator" w:id="1">
    <w:p w:rsidR="003461DA" w:rsidRDefault="003461DA" w:rsidP="000600A4">
      <w:pPr>
        <w:ind w:firstLine="64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7FC6414"/>
    <w:rsid w:val="00026F48"/>
    <w:rsid w:val="00031739"/>
    <w:rsid w:val="00050536"/>
    <w:rsid w:val="000600A4"/>
    <w:rsid w:val="0009756A"/>
    <w:rsid w:val="001320AE"/>
    <w:rsid w:val="00135020"/>
    <w:rsid w:val="001E5BEB"/>
    <w:rsid w:val="002158B6"/>
    <w:rsid w:val="0026774D"/>
    <w:rsid w:val="002E0D66"/>
    <w:rsid w:val="002E2F52"/>
    <w:rsid w:val="00310BB6"/>
    <w:rsid w:val="0031422F"/>
    <w:rsid w:val="003461DA"/>
    <w:rsid w:val="003A1C5C"/>
    <w:rsid w:val="003A2F92"/>
    <w:rsid w:val="00432129"/>
    <w:rsid w:val="00444FB6"/>
    <w:rsid w:val="0045182C"/>
    <w:rsid w:val="00465052"/>
    <w:rsid w:val="004E2F8B"/>
    <w:rsid w:val="004F1666"/>
    <w:rsid w:val="005367AD"/>
    <w:rsid w:val="005501E4"/>
    <w:rsid w:val="005A473E"/>
    <w:rsid w:val="005D6CA8"/>
    <w:rsid w:val="00626D3E"/>
    <w:rsid w:val="00660B2C"/>
    <w:rsid w:val="00671659"/>
    <w:rsid w:val="0069669E"/>
    <w:rsid w:val="00771997"/>
    <w:rsid w:val="007943D6"/>
    <w:rsid w:val="007C1FA4"/>
    <w:rsid w:val="00855D14"/>
    <w:rsid w:val="00871DEE"/>
    <w:rsid w:val="0088513C"/>
    <w:rsid w:val="00922892"/>
    <w:rsid w:val="009B193F"/>
    <w:rsid w:val="009D1E16"/>
    <w:rsid w:val="00A60043"/>
    <w:rsid w:val="00AF20D7"/>
    <w:rsid w:val="00B03B0B"/>
    <w:rsid w:val="00B34BF9"/>
    <w:rsid w:val="00B376B4"/>
    <w:rsid w:val="00B45ACF"/>
    <w:rsid w:val="00BA5CFF"/>
    <w:rsid w:val="00BB68D0"/>
    <w:rsid w:val="00C66D2C"/>
    <w:rsid w:val="00C7741F"/>
    <w:rsid w:val="00CB389E"/>
    <w:rsid w:val="00CB75B3"/>
    <w:rsid w:val="00D1548A"/>
    <w:rsid w:val="00D33BB8"/>
    <w:rsid w:val="00D67B96"/>
    <w:rsid w:val="00D941C6"/>
    <w:rsid w:val="00E22A80"/>
    <w:rsid w:val="00E52BAB"/>
    <w:rsid w:val="00E87097"/>
    <w:rsid w:val="00E96273"/>
    <w:rsid w:val="00ED05D4"/>
    <w:rsid w:val="00EE2C14"/>
    <w:rsid w:val="00F00D3F"/>
    <w:rsid w:val="00F06627"/>
    <w:rsid w:val="00F57445"/>
    <w:rsid w:val="01730582"/>
    <w:rsid w:val="0DA815B3"/>
    <w:rsid w:val="0FD032B1"/>
    <w:rsid w:val="3894311F"/>
    <w:rsid w:val="53321DD3"/>
    <w:rsid w:val="55C961B1"/>
    <w:rsid w:val="73231664"/>
    <w:rsid w:val="77FC64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Body Tex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Indent 2" w:uiPriority="99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9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3A2F9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uiPriority w:val="99"/>
    <w:unhideWhenUsed/>
    <w:qFormat/>
    <w:rsid w:val="003A2F92"/>
    <w:pPr>
      <w:tabs>
        <w:tab w:val="left" w:pos="2160"/>
      </w:tabs>
      <w:spacing w:after="120" w:line="480" w:lineRule="auto"/>
      <w:ind w:leftChars="200" w:left="420"/>
    </w:pPr>
    <w:rPr>
      <w:rFonts w:ascii="仿宋" w:hAnsi="仿宋" w:cs="宋体"/>
      <w:sz w:val="28"/>
    </w:rPr>
  </w:style>
  <w:style w:type="paragraph" w:styleId="a3">
    <w:name w:val="Body Text"/>
    <w:basedOn w:val="a"/>
    <w:semiHidden/>
    <w:qFormat/>
    <w:rsid w:val="003A2F92"/>
    <w:rPr>
      <w:rFonts w:ascii="仿宋" w:eastAsia="仿宋" w:hAnsi="仿宋" w:cs="仿宋"/>
      <w:sz w:val="28"/>
      <w:szCs w:val="28"/>
    </w:rPr>
  </w:style>
  <w:style w:type="paragraph" w:styleId="a4">
    <w:name w:val="Balloon Text"/>
    <w:basedOn w:val="a"/>
    <w:link w:val="Char"/>
    <w:qFormat/>
    <w:rsid w:val="003A2F92"/>
    <w:rPr>
      <w:sz w:val="18"/>
      <w:szCs w:val="18"/>
    </w:rPr>
  </w:style>
  <w:style w:type="paragraph" w:styleId="a5">
    <w:name w:val="footer"/>
    <w:basedOn w:val="a"/>
    <w:link w:val="Char0"/>
    <w:qFormat/>
    <w:rsid w:val="003A2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rsid w:val="003A2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3A2F92"/>
    <w:rPr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sid w:val="003A2F92"/>
    <w:rPr>
      <w:kern w:val="2"/>
      <w:sz w:val="18"/>
      <w:szCs w:val="18"/>
    </w:rPr>
  </w:style>
  <w:style w:type="character" w:customStyle="1" w:styleId="Char">
    <w:name w:val="批注框文本 Char"/>
    <w:basedOn w:val="a0"/>
    <w:link w:val="a4"/>
    <w:qFormat/>
    <w:rsid w:val="003A2F9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90DEC3-F624-4EA9-8C09-3A68905AB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6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顽皮猫</dc:creator>
  <cp:lastModifiedBy>USER-</cp:lastModifiedBy>
  <cp:revision>52</cp:revision>
  <dcterms:created xsi:type="dcterms:W3CDTF">2026-02-02T02:56:00Z</dcterms:created>
  <dcterms:modified xsi:type="dcterms:W3CDTF">2026-02-11T06:54:00Z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2E8287AAD5BF45ADAA149B453F17E38B_13</vt:lpwstr>
  </property>
  <property fmtid="{D5CDD505-2E9C-101B-9397-08002B2CF9AE}" pid="4" name="KSOTemplateDocerSaveRecord">
    <vt:lpwstr>eyJoZGlkIjoiOTNlYzZkZDBkYTE2MDgzODkxMTczZWIyMjlkYjY3NGYiLCJ1c2VySWQiOiI1OTM1MTY5NDUifQ==</vt:lpwstr>
  </property>
</Properties>
</file>