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7DB0" w:rsidRDefault="00E5624B">
      <w:pPr>
        <w:spacing w:before="118" w:line="640" w:lineRule="atLeast"/>
        <w:jc w:val="center"/>
        <w:rPr>
          <w:rFonts w:ascii="Times New Roman" w:eastAsia="方正小标宋简体" w:hAnsi="Times New Roman" w:cs="Times New Roman"/>
          <w:spacing w:val="7"/>
          <w:position w:val="3"/>
          <w:sz w:val="40"/>
          <w:szCs w:val="28"/>
        </w:rPr>
      </w:pPr>
      <w:r>
        <w:rPr>
          <w:rFonts w:ascii="Times New Roman" w:eastAsia="方正小标宋简体" w:hAnsi="Times New Roman" w:cs="Times New Roman" w:hint="eastAsia"/>
          <w:spacing w:val="7"/>
          <w:position w:val="3"/>
          <w:sz w:val="40"/>
          <w:szCs w:val="28"/>
        </w:rPr>
        <w:t>北鱼乡</w:t>
      </w:r>
      <w:r>
        <w:rPr>
          <w:rFonts w:ascii="Times New Roman" w:eastAsia="方正小标宋简体" w:hAnsi="Times New Roman" w:cs="Times New Roman"/>
          <w:spacing w:val="7"/>
          <w:position w:val="3"/>
          <w:sz w:val="40"/>
          <w:szCs w:val="28"/>
        </w:rPr>
        <w:t>国土空间总体规划（</w:t>
      </w:r>
      <w:r>
        <w:rPr>
          <w:rFonts w:ascii="Times New Roman" w:eastAsia="方正小标宋简体" w:hAnsi="Times New Roman" w:cs="Times New Roman"/>
          <w:spacing w:val="7"/>
          <w:position w:val="3"/>
          <w:sz w:val="40"/>
          <w:szCs w:val="28"/>
        </w:rPr>
        <w:t>2021—2035</w:t>
      </w:r>
      <w:r>
        <w:rPr>
          <w:rFonts w:ascii="Times New Roman" w:eastAsia="方正小标宋简体" w:hAnsi="Times New Roman" w:cs="Times New Roman"/>
          <w:spacing w:val="7"/>
          <w:position w:val="3"/>
          <w:sz w:val="40"/>
          <w:szCs w:val="28"/>
        </w:rPr>
        <w:t>年）</w:t>
      </w:r>
    </w:p>
    <w:p w:rsidR="00E67DB0" w:rsidRDefault="00E5624B">
      <w:pPr>
        <w:spacing w:before="118" w:line="640" w:lineRule="atLeast"/>
        <w:jc w:val="center"/>
        <w:rPr>
          <w:rFonts w:ascii="Times New Roman" w:eastAsia="方正小标宋简体" w:hAnsi="Times New Roman" w:cs="Times New Roman"/>
          <w:spacing w:val="14"/>
          <w:position w:val="4"/>
          <w:sz w:val="40"/>
          <w:szCs w:val="28"/>
        </w:rPr>
      </w:pPr>
      <w:r>
        <w:rPr>
          <w:rFonts w:ascii="Times New Roman" w:eastAsia="方正小标宋简体" w:hAnsi="Times New Roman" w:cs="Times New Roman"/>
          <w:spacing w:val="14"/>
          <w:position w:val="4"/>
          <w:sz w:val="40"/>
          <w:szCs w:val="28"/>
        </w:rPr>
        <w:t>（批后公</w:t>
      </w:r>
      <w:r>
        <w:rPr>
          <w:rFonts w:ascii="Times New Roman" w:eastAsia="方正小标宋简体" w:hAnsi="Times New Roman" w:cs="Times New Roman" w:hint="eastAsia"/>
          <w:spacing w:val="14"/>
          <w:position w:val="4"/>
          <w:sz w:val="40"/>
          <w:szCs w:val="28"/>
        </w:rPr>
        <w:t>布</w:t>
      </w:r>
      <w:r>
        <w:rPr>
          <w:rFonts w:ascii="Times New Roman" w:eastAsia="方正小标宋简体" w:hAnsi="Times New Roman" w:cs="Times New Roman"/>
          <w:spacing w:val="14"/>
          <w:position w:val="4"/>
          <w:sz w:val="40"/>
          <w:szCs w:val="28"/>
        </w:rPr>
        <w:t>）</w:t>
      </w:r>
    </w:p>
    <w:p w:rsidR="00E67DB0" w:rsidRDefault="00E67DB0">
      <w:pPr>
        <w:pStyle w:val="2"/>
        <w:rPr>
          <w:rFonts w:ascii="Times New Roman" w:hAnsi="Times New Roman" w:cs="Times New Roman"/>
        </w:rPr>
      </w:pPr>
    </w:p>
    <w:p w:rsidR="00E67DB0" w:rsidRDefault="00E5624B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一、规划范围与层次</w:t>
      </w:r>
    </w:p>
    <w:p w:rsidR="00E67DB0" w:rsidRDefault="00E5624B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  <w:color w:val="0000FF"/>
        </w:rPr>
      </w:pPr>
      <w:r>
        <w:rPr>
          <w:rFonts w:ascii="Times New Roman" w:hAnsi="Times New Roman" w:cs="Times New Roman"/>
        </w:rPr>
        <w:t>规划包括</w:t>
      </w:r>
      <w:r>
        <w:rPr>
          <w:rFonts w:ascii="Times New Roman" w:hAnsi="Times New Roman" w:cs="Times New Roman" w:hint="eastAsia"/>
        </w:rPr>
        <w:t>乡</w:t>
      </w:r>
      <w:r>
        <w:rPr>
          <w:rFonts w:ascii="Times New Roman" w:hAnsi="Times New Roman" w:cs="Times New Roman"/>
        </w:rPr>
        <w:t>域和</w:t>
      </w:r>
      <w:r>
        <w:rPr>
          <w:rFonts w:ascii="Times New Roman" w:hAnsi="Times New Roman" w:cs="Times New Roman" w:hint="eastAsia"/>
        </w:rPr>
        <w:t>乡</w:t>
      </w:r>
      <w:r>
        <w:rPr>
          <w:rFonts w:ascii="Times New Roman" w:hAnsi="Times New Roman" w:cs="Times New Roman"/>
        </w:rPr>
        <w:t>政府驻地两个层次。</w:t>
      </w:r>
      <w:r>
        <w:rPr>
          <w:rFonts w:ascii="Times New Roman" w:hAnsi="Times New Roman" w:cs="Times New Roman" w:hint="eastAsia"/>
        </w:rPr>
        <w:t>乡</w:t>
      </w:r>
      <w:r>
        <w:rPr>
          <w:rFonts w:ascii="Times New Roman" w:hAnsi="Times New Roman" w:cs="Times New Roman"/>
        </w:rPr>
        <w:t>域为</w:t>
      </w:r>
      <w:r>
        <w:rPr>
          <w:rFonts w:ascii="Times New Roman" w:hAnsi="Times New Roman" w:cs="Times New Roman" w:hint="eastAsia"/>
        </w:rPr>
        <w:t>北鱼乡</w:t>
      </w:r>
      <w:r>
        <w:rPr>
          <w:rFonts w:ascii="Times New Roman" w:hAnsi="Times New Roman" w:cs="Times New Roman"/>
        </w:rPr>
        <w:t>行政辖区。</w:t>
      </w:r>
      <w:r>
        <w:rPr>
          <w:rFonts w:ascii="Times New Roman" w:hAnsi="Times New Roman" w:cs="Times New Roman" w:hint="eastAsia"/>
        </w:rPr>
        <w:t>乡</w:t>
      </w:r>
      <w:r>
        <w:rPr>
          <w:rFonts w:ascii="Times New Roman" w:hAnsi="Times New Roman" w:cs="Times New Roman"/>
        </w:rPr>
        <w:t>政府驻地范围为</w:t>
      </w:r>
      <w:r>
        <w:rPr>
          <w:rFonts w:ascii="Times New Roman" w:hAnsi="Times New Roman" w:cs="Times New Roman" w:hint="eastAsia"/>
        </w:rPr>
        <w:t>北鱼一村、北鱼二村、北鱼三村所属村域范围。</w:t>
      </w:r>
    </w:p>
    <w:p w:rsidR="00E67DB0" w:rsidRDefault="00E5624B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二、规划期限</w:t>
      </w:r>
    </w:p>
    <w:p w:rsidR="00E67DB0" w:rsidRDefault="00E5624B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规划期限为</w:t>
      </w:r>
      <w:r>
        <w:rPr>
          <w:rFonts w:ascii="Times New Roman" w:hAnsi="Times New Roman" w:cs="Times New Roman"/>
        </w:rPr>
        <w:t>2021—2035</w:t>
      </w:r>
      <w:r>
        <w:rPr>
          <w:rFonts w:ascii="Times New Roman" w:hAnsi="Times New Roman" w:cs="Times New Roman"/>
        </w:rPr>
        <w:t>年，近期至</w:t>
      </w:r>
      <w:r>
        <w:rPr>
          <w:rFonts w:ascii="Times New Roman" w:hAnsi="Times New Roman" w:cs="Times New Roman"/>
        </w:rPr>
        <w:t>2025</w:t>
      </w:r>
      <w:r>
        <w:rPr>
          <w:rFonts w:ascii="Times New Roman" w:hAnsi="Times New Roman" w:cs="Times New Roman"/>
        </w:rPr>
        <w:t>年，远景展望至</w:t>
      </w:r>
      <w:r>
        <w:rPr>
          <w:rFonts w:ascii="Times New Roman" w:hAnsi="Times New Roman" w:cs="Times New Roman"/>
        </w:rPr>
        <w:t>2050</w:t>
      </w:r>
      <w:r>
        <w:rPr>
          <w:rFonts w:ascii="Times New Roman" w:hAnsi="Times New Roman" w:cs="Times New Roman"/>
        </w:rPr>
        <w:t>年。</w:t>
      </w:r>
    </w:p>
    <w:p w:rsidR="00E67DB0" w:rsidRDefault="00E5624B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三、</w:t>
      </w:r>
      <w:r>
        <w:rPr>
          <w:rFonts w:ascii="Times New Roman" w:eastAsia="黑体" w:hAnsi="Times New Roman" w:cs="Times New Roman" w:hint="eastAsia"/>
          <w:spacing w:val="-3"/>
          <w:sz w:val="36"/>
          <w:szCs w:val="36"/>
        </w:rPr>
        <w:t>乡</w:t>
      </w:r>
      <w:r>
        <w:rPr>
          <w:rFonts w:ascii="Times New Roman" w:eastAsia="黑体" w:hAnsi="Times New Roman" w:cs="Times New Roman"/>
          <w:spacing w:val="-3"/>
          <w:sz w:val="36"/>
          <w:szCs w:val="36"/>
        </w:rPr>
        <w:t>镇性质与目标</w:t>
      </w:r>
    </w:p>
    <w:p w:rsidR="00E67DB0" w:rsidRDefault="00E5624B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宁晋县南部传统农业型乡镇，以现代农业、特色养殖和乡村旅游业为主导的田园生态小镇。</w:t>
      </w:r>
    </w:p>
    <w:p w:rsidR="00E67DB0" w:rsidRDefault="00E5624B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规划至</w:t>
      </w:r>
      <w:r>
        <w:rPr>
          <w:rFonts w:ascii="Times New Roman" w:hAnsi="Times New Roman" w:cs="Times New Roman"/>
        </w:rPr>
        <w:t>2035</w:t>
      </w:r>
      <w:r>
        <w:rPr>
          <w:rFonts w:ascii="Times New Roman" w:hAnsi="Times New Roman" w:cs="Times New Roman" w:hint="eastAsia"/>
        </w:rPr>
        <w:t>年，实现高效农业和乡村旅游业的深度融合，乡镇公共服务设施和基础设施实现均等化，全面形成绿色生态的生产生活方式，建成以高效农业种植为主导，休闲采摘、乡村旅游为辅助的生态田园小镇。</w:t>
      </w:r>
    </w:p>
    <w:p w:rsidR="00E67DB0" w:rsidRDefault="00E5624B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四、落实三条控制线</w:t>
      </w:r>
    </w:p>
    <w:p w:rsidR="00E67DB0" w:rsidRDefault="00E5624B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落实上级下达耕地保护目标和永久基本农田保护任务，规划至</w:t>
      </w:r>
      <w:r>
        <w:rPr>
          <w:rFonts w:ascii="Times New Roman" w:hAnsi="Times New Roman" w:cs="Times New Roman"/>
        </w:rPr>
        <w:t>2035</w:t>
      </w:r>
      <w:r>
        <w:rPr>
          <w:rFonts w:ascii="Times New Roman" w:hAnsi="Times New Roman" w:cs="Times New Roman"/>
        </w:rPr>
        <w:t>年，全</w:t>
      </w:r>
      <w:r>
        <w:rPr>
          <w:rFonts w:ascii="Times New Roman" w:hAnsi="Times New Roman" w:cs="Times New Roman" w:hint="eastAsia"/>
        </w:rPr>
        <w:t>乡</w:t>
      </w:r>
      <w:r>
        <w:rPr>
          <w:rFonts w:ascii="Times New Roman" w:hAnsi="Times New Roman" w:cs="Times New Roman"/>
        </w:rPr>
        <w:t>耕地保有量不低于</w:t>
      </w:r>
      <w:r>
        <w:rPr>
          <w:rFonts w:ascii="Times New Roman" w:hAnsi="Times New Roman" w:cs="Times New Roman" w:hint="eastAsia"/>
        </w:rPr>
        <w:t>17.28</w:t>
      </w:r>
      <w:r>
        <w:rPr>
          <w:rFonts w:ascii="Times New Roman" w:hAnsi="Times New Roman" w:cs="Times New Roman"/>
        </w:rPr>
        <w:t>平方千米（</w:t>
      </w:r>
      <w:r>
        <w:rPr>
          <w:rFonts w:ascii="Times New Roman" w:hAnsi="Times New Roman" w:cs="Times New Roman" w:hint="eastAsia"/>
        </w:rPr>
        <w:t>2.59</w:t>
      </w:r>
      <w:r>
        <w:rPr>
          <w:rFonts w:ascii="Times New Roman" w:hAnsi="Times New Roman" w:cs="Times New Roman"/>
        </w:rPr>
        <w:t>万亩），永久基本农田面积不低于</w:t>
      </w:r>
      <w:r>
        <w:rPr>
          <w:rFonts w:ascii="Times New Roman" w:hAnsi="Times New Roman" w:cs="Times New Roman" w:hint="eastAsia"/>
        </w:rPr>
        <w:t>16.46</w:t>
      </w:r>
      <w:r>
        <w:rPr>
          <w:rFonts w:ascii="Times New Roman" w:hAnsi="Times New Roman" w:cs="Times New Roman"/>
        </w:rPr>
        <w:t>平方千米（</w:t>
      </w:r>
      <w:r>
        <w:rPr>
          <w:rFonts w:ascii="Times New Roman" w:hAnsi="Times New Roman" w:cs="Times New Roman" w:hint="eastAsia"/>
        </w:rPr>
        <w:t>2.46</w:t>
      </w:r>
      <w:r>
        <w:rPr>
          <w:rFonts w:ascii="Times New Roman" w:hAnsi="Times New Roman" w:cs="Times New Roman"/>
        </w:rPr>
        <w:t>万亩）。</w:t>
      </w:r>
      <w:r>
        <w:rPr>
          <w:rFonts w:ascii="Times New Roman" w:hAnsi="Times New Roman" w:cs="Times New Roman" w:hint="eastAsia"/>
        </w:rPr>
        <w:t>北鱼乡</w:t>
      </w:r>
      <w:r>
        <w:rPr>
          <w:rFonts w:ascii="Times New Roman" w:hAnsi="Times New Roman" w:cs="Times New Roman"/>
        </w:rPr>
        <w:t>不涉及生态保护红线。</w:t>
      </w:r>
      <w:r>
        <w:rPr>
          <w:rFonts w:ascii="Times New Roman" w:hAnsi="Times New Roman" w:cs="Times New Roman" w:hint="eastAsia"/>
        </w:rPr>
        <w:t>北鱼乡未划定城镇开发边界。</w:t>
      </w:r>
    </w:p>
    <w:p w:rsidR="00E67DB0" w:rsidRDefault="00E5624B">
      <w:pPr>
        <w:pStyle w:val="a3"/>
        <w:spacing w:line="560" w:lineRule="exact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五、构建国土空间开发保护总体格局</w:t>
      </w:r>
      <w:bookmarkStart w:id="0" w:name="_GoBack"/>
      <w:bookmarkEnd w:id="0"/>
    </w:p>
    <w:p w:rsidR="00E67DB0" w:rsidRDefault="00E5624B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以三条控制线为基础，优化农业、生态、乡镇</w:t>
      </w:r>
      <w:r>
        <w:rPr>
          <w:rFonts w:ascii="Times New Roman" w:hAnsi="Times New Roman" w:cs="Times New Roman" w:hint="eastAsia"/>
        </w:rPr>
        <w:t>空间，构建“一心、二</w:t>
      </w:r>
      <w:r>
        <w:rPr>
          <w:rFonts w:ascii="Times New Roman" w:hAnsi="Times New Roman" w:cs="Times New Roman" w:hint="eastAsia"/>
        </w:rPr>
        <w:lastRenderedPageBreak/>
        <w:t>带、二轴、四片区”全域国土空间开发</w:t>
      </w:r>
      <w:r>
        <w:rPr>
          <w:rFonts w:ascii="Times New Roman" w:hAnsi="Times New Roman" w:cs="Times New Roman" w:hint="eastAsia"/>
        </w:rPr>
        <w:t>保护格局。</w:t>
      </w:r>
    </w:p>
    <w:p w:rsidR="005434C4" w:rsidRDefault="005434C4">
      <w:pPr>
        <w:pStyle w:val="a3"/>
        <w:spacing w:line="560" w:lineRule="exact"/>
        <w:ind w:firstLineChars="200" w:firstLine="560"/>
        <w:rPr>
          <w:rFonts w:ascii="Times New Roman" w:hAnsi="Times New Roman" w:cs="Times New Roman" w:hint="eastAsia"/>
        </w:rPr>
      </w:pPr>
      <w:r>
        <w:rPr>
          <w:rFonts w:ascii="Times New Roman" w:hAnsi="Times New Roman" w:cs="Times New Roman" w:hint="eastAsia"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626110</wp:posOffset>
            </wp:positionH>
            <wp:positionV relativeFrom="paragraph">
              <wp:posOffset>94615</wp:posOffset>
            </wp:positionV>
            <wp:extent cx="4291330" cy="5818505"/>
            <wp:effectExtent l="19050" t="0" r="0" b="0"/>
            <wp:wrapTight wrapText="bothSides">
              <wp:wrapPolygon edited="0">
                <wp:start x="-96" y="0"/>
                <wp:lineTo x="-96" y="21499"/>
                <wp:lineTo x="21574" y="21499"/>
                <wp:lineTo x="21574" y="0"/>
                <wp:lineTo x="-96" y="0"/>
              </wp:wrapPolygon>
            </wp:wrapTight>
            <wp:docPr id="1" name="图片 1" descr="D:/Desktop/北鱼乡/130528205北鱼乡03国土空间控制线规划图.jpg130528205北鱼乡03国土空间控制线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:/Desktop/北鱼乡/130528205北鱼乡03国土空间控制线规划图.jpg130528205北鱼乡03国土空间控制线规划图"/>
                    <pic:cNvPicPr>
                      <a:picLocks noChangeAspect="1"/>
                    </pic:cNvPicPr>
                  </pic:nvPicPr>
                  <pic:blipFill>
                    <a:blip r:embed="rId6"/>
                    <a:srcRect t="1764" b="2495"/>
                    <a:stretch>
                      <a:fillRect/>
                    </a:stretch>
                  </pic:blipFill>
                  <pic:spPr>
                    <a:xfrm>
                      <a:off x="0" y="0"/>
                      <a:ext cx="4291330" cy="58185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434C4" w:rsidRDefault="005434C4">
      <w:pPr>
        <w:pStyle w:val="a3"/>
        <w:spacing w:line="560" w:lineRule="exact"/>
        <w:ind w:firstLineChars="200" w:firstLine="560"/>
        <w:rPr>
          <w:rFonts w:ascii="Times New Roman" w:hAnsi="Times New Roman" w:cs="Times New Roman" w:hint="eastAsia"/>
        </w:rPr>
      </w:pPr>
    </w:p>
    <w:p w:rsidR="005434C4" w:rsidRDefault="005434C4">
      <w:pPr>
        <w:pStyle w:val="a3"/>
        <w:spacing w:line="560" w:lineRule="exact"/>
        <w:ind w:firstLineChars="200" w:firstLine="560"/>
        <w:rPr>
          <w:rFonts w:ascii="Times New Roman" w:hAnsi="Times New Roman" w:cs="Times New Roman" w:hint="eastAsia"/>
        </w:rPr>
      </w:pPr>
    </w:p>
    <w:p w:rsidR="005434C4" w:rsidRDefault="005434C4">
      <w:pPr>
        <w:pStyle w:val="a3"/>
        <w:spacing w:line="560" w:lineRule="exact"/>
        <w:ind w:firstLineChars="200" w:firstLine="560"/>
        <w:rPr>
          <w:rFonts w:ascii="Times New Roman" w:hAnsi="Times New Roman" w:cs="Times New Roman" w:hint="eastAsia"/>
        </w:rPr>
      </w:pPr>
    </w:p>
    <w:p w:rsidR="005434C4" w:rsidRDefault="005434C4">
      <w:pPr>
        <w:pStyle w:val="a3"/>
        <w:spacing w:line="560" w:lineRule="exact"/>
        <w:ind w:firstLineChars="200" w:firstLine="560"/>
        <w:rPr>
          <w:rFonts w:ascii="Times New Roman" w:hAnsi="Times New Roman" w:cs="Times New Roman" w:hint="eastAsia"/>
        </w:rPr>
      </w:pPr>
    </w:p>
    <w:p w:rsidR="005434C4" w:rsidRDefault="005434C4">
      <w:pPr>
        <w:pStyle w:val="a3"/>
        <w:spacing w:line="560" w:lineRule="exact"/>
        <w:ind w:firstLineChars="200" w:firstLine="560"/>
        <w:rPr>
          <w:rFonts w:ascii="Times New Roman" w:hAnsi="Times New Roman" w:cs="Times New Roman" w:hint="eastAsia"/>
        </w:rPr>
      </w:pPr>
    </w:p>
    <w:p w:rsidR="005434C4" w:rsidRDefault="005434C4">
      <w:pPr>
        <w:pStyle w:val="a3"/>
        <w:spacing w:line="560" w:lineRule="exact"/>
        <w:ind w:firstLineChars="200" w:firstLine="560"/>
        <w:rPr>
          <w:rFonts w:ascii="Times New Roman" w:hAnsi="Times New Roman" w:cs="Times New Roman" w:hint="eastAsia"/>
        </w:rPr>
      </w:pPr>
    </w:p>
    <w:p w:rsidR="005434C4" w:rsidRDefault="005434C4">
      <w:pPr>
        <w:pStyle w:val="a3"/>
        <w:spacing w:line="560" w:lineRule="exact"/>
        <w:ind w:firstLineChars="200" w:firstLine="560"/>
        <w:rPr>
          <w:rFonts w:ascii="Times New Roman" w:hAnsi="Times New Roman" w:cs="Times New Roman" w:hint="eastAsia"/>
        </w:rPr>
      </w:pPr>
    </w:p>
    <w:p w:rsidR="005434C4" w:rsidRDefault="005434C4">
      <w:pPr>
        <w:pStyle w:val="a3"/>
        <w:spacing w:line="560" w:lineRule="exact"/>
        <w:ind w:firstLineChars="200" w:firstLine="560"/>
        <w:rPr>
          <w:rFonts w:ascii="Times New Roman" w:hAnsi="Times New Roman" w:cs="Times New Roman" w:hint="eastAsia"/>
        </w:rPr>
      </w:pPr>
    </w:p>
    <w:p w:rsidR="005434C4" w:rsidRDefault="005434C4">
      <w:pPr>
        <w:pStyle w:val="a3"/>
        <w:spacing w:line="560" w:lineRule="exact"/>
        <w:ind w:firstLineChars="200" w:firstLine="560"/>
        <w:rPr>
          <w:rFonts w:ascii="Times New Roman" w:hAnsi="Times New Roman" w:cs="Times New Roman" w:hint="eastAsia"/>
        </w:rPr>
      </w:pPr>
    </w:p>
    <w:p w:rsidR="005434C4" w:rsidRDefault="005434C4">
      <w:pPr>
        <w:pStyle w:val="a3"/>
        <w:spacing w:line="560" w:lineRule="exact"/>
        <w:ind w:firstLineChars="200" w:firstLine="560"/>
        <w:rPr>
          <w:rFonts w:ascii="Times New Roman" w:hAnsi="Times New Roman" w:cs="Times New Roman" w:hint="eastAsia"/>
        </w:rPr>
      </w:pPr>
    </w:p>
    <w:p w:rsidR="005434C4" w:rsidRDefault="005434C4">
      <w:pPr>
        <w:pStyle w:val="a3"/>
        <w:spacing w:line="560" w:lineRule="exact"/>
        <w:ind w:firstLineChars="200" w:firstLine="560"/>
        <w:rPr>
          <w:rFonts w:ascii="Times New Roman" w:hAnsi="Times New Roman" w:cs="Times New Roman" w:hint="eastAsia"/>
        </w:rPr>
      </w:pPr>
    </w:p>
    <w:p w:rsidR="005434C4" w:rsidRDefault="005434C4">
      <w:pPr>
        <w:pStyle w:val="a3"/>
        <w:spacing w:line="560" w:lineRule="exact"/>
        <w:ind w:firstLineChars="200" w:firstLine="560"/>
        <w:rPr>
          <w:rFonts w:ascii="Times New Roman" w:hAnsi="Times New Roman" w:cs="Times New Roman" w:hint="eastAsia"/>
        </w:rPr>
      </w:pPr>
    </w:p>
    <w:p w:rsidR="00E67DB0" w:rsidRDefault="00E5624B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“一心”：将乡政府驻地作为引领全域发展的中心，建设综合服务中心，加快提升乡政府驻地综合实力和辐射带动能力。</w:t>
      </w:r>
    </w:p>
    <w:p w:rsidR="00E67DB0" w:rsidRDefault="00E5624B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“二带”：依托午河、泜河自然景观打造滨河景观带，融入全县生态格局。</w:t>
      </w:r>
    </w:p>
    <w:p w:rsidR="00E67DB0" w:rsidRDefault="00E5624B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“二轴”：宁于线、德晋高速为经济发展轴。组织串联全乡的居住组</w:t>
      </w:r>
      <w:r>
        <w:rPr>
          <w:rFonts w:ascii="Times New Roman" w:hAnsi="Times New Roman" w:cs="Times New Roman" w:hint="eastAsia"/>
        </w:rPr>
        <w:lastRenderedPageBreak/>
        <w:t>团，发展现代服务业，形成全乡经济发展轴线。</w:t>
      </w:r>
    </w:p>
    <w:p w:rsidR="00E67DB0" w:rsidRDefault="00E5624B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“四片区”：乡政府驻地以高效农业、服装加工和乡村旅游为主的发展片区；郭家台以高效农业种植、服装加工和乡村旅游为主的发展片区；黄赵台以高效农业种植、设施农业培育为主的发</w:t>
      </w:r>
      <w:r>
        <w:rPr>
          <w:rFonts w:ascii="Times New Roman" w:hAnsi="Times New Roman" w:cs="Times New Roman" w:hint="eastAsia"/>
        </w:rPr>
        <w:t>展片区；于家台以高效农业种植、畜牧养殖和乡村旅游为主的发展片</w:t>
      </w:r>
      <w:r>
        <w:rPr>
          <w:rFonts w:ascii="Times New Roman" w:hAnsi="Times New Roman" w:cs="Times New Roman" w:hint="eastAsia"/>
        </w:rPr>
        <w:t>区。</w:t>
      </w:r>
    </w:p>
    <w:p w:rsidR="00E67DB0" w:rsidRDefault="005434C4">
      <w:pPr>
        <w:pStyle w:val="a3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863600</wp:posOffset>
            </wp:positionH>
            <wp:positionV relativeFrom="paragraph">
              <wp:posOffset>121285</wp:posOffset>
            </wp:positionV>
            <wp:extent cx="3982720" cy="5462270"/>
            <wp:effectExtent l="19050" t="0" r="0" b="0"/>
            <wp:wrapTight wrapText="bothSides">
              <wp:wrapPolygon edited="0">
                <wp:start x="-103" y="0"/>
                <wp:lineTo x="-103" y="21545"/>
                <wp:lineTo x="21593" y="21545"/>
                <wp:lineTo x="21593" y="0"/>
                <wp:lineTo x="-103" y="0"/>
              </wp:wrapPolygon>
            </wp:wrapTight>
            <wp:docPr id="2" name="图片 2" descr="130528205北鱼乡02国土空间总体格局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30528205北鱼乡02国土空间总体格局规划图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rcRect b="3010"/>
                    <a:stretch>
                      <a:fillRect/>
                    </a:stretch>
                  </pic:blipFill>
                  <pic:spPr>
                    <a:xfrm>
                      <a:off x="0" y="0"/>
                      <a:ext cx="3982720" cy="5462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C6AF1" w:rsidRDefault="008C6AF1">
      <w:pPr>
        <w:pStyle w:val="a3"/>
        <w:spacing w:line="560" w:lineRule="exact"/>
        <w:rPr>
          <w:rFonts w:ascii="Times New Roman" w:eastAsia="黑体" w:hAnsi="Times New Roman" w:cs="Times New Roman" w:hint="eastAsia"/>
          <w:spacing w:val="-3"/>
          <w:sz w:val="36"/>
          <w:szCs w:val="36"/>
        </w:rPr>
      </w:pPr>
    </w:p>
    <w:p w:rsidR="008C6AF1" w:rsidRDefault="008C6AF1">
      <w:pPr>
        <w:pStyle w:val="a3"/>
        <w:spacing w:line="560" w:lineRule="exact"/>
        <w:rPr>
          <w:rFonts w:ascii="Times New Roman" w:eastAsia="黑体" w:hAnsi="Times New Roman" w:cs="Times New Roman" w:hint="eastAsia"/>
          <w:spacing w:val="-3"/>
          <w:sz w:val="36"/>
          <w:szCs w:val="36"/>
        </w:rPr>
      </w:pPr>
    </w:p>
    <w:p w:rsidR="008C6AF1" w:rsidRDefault="008C6AF1">
      <w:pPr>
        <w:pStyle w:val="a3"/>
        <w:spacing w:line="560" w:lineRule="exact"/>
        <w:rPr>
          <w:rFonts w:ascii="Times New Roman" w:eastAsia="黑体" w:hAnsi="Times New Roman" w:cs="Times New Roman" w:hint="eastAsia"/>
          <w:spacing w:val="-3"/>
          <w:sz w:val="36"/>
          <w:szCs w:val="36"/>
        </w:rPr>
      </w:pPr>
    </w:p>
    <w:p w:rsidR="008C6AF1" w:rsidRDefault="008C6AF1">
      <w:pPr>
        <w:pStyle w:val="a3"/>
        <w:spacing w:line="560" w:lineRule="exact"/>
        <w:rPr>
          <w:rFonts w:ascii="Times New Roman" w:eastAsia="黑体" w:hAnsi="Times New Roman" w:cs="Times New Roman" w:hint="eastAsia"/>
          <w:spacing w:val="-3"/>
          <w:sz w:val="36"/>
          <w:szCs w:val="36"/>
        </w:rPr>
      </w:pPr>
    </w:p>
    <w:p w:rsidR="008C6AF1" w:rsidRDefault="008C6AF1">
      <w:pPr>
        <w:pStyle w:val="a3"/>
        <w:spacing w:line="560" w:lineRule="exact"/>
        <w:rPr>
          <w:rFonts w:ascii="Times New Roman" w:eastAsia="黑体" w:hAnsi="Times New Roman" w:cs="Times New Roman" w:hint="eastAsia"/>
          <w:spacing w:val="-3"/>
          <w:sz w:val="36"/>
          <w:szCs w:val="36"/>
        </w:rPr>
      </w:pPr>
    </w:p>
    <w:p w:rsidR="008C6AF1" w:rsidRDefault="008C6AF1">
      <w:pPr>
        <w:pStyle w:val="a3"/>
        <w:spacing w:line="560" w:lineRule="exact"/>
        <w:rPr>
          <w:rFonts w:ascii="Times New Roman" w:eastAsia="黑体" w:hAnsi="Times New Roman" w:cs="Times New Roman" w:hint="eastAsia"/>
          <w:spacing w:val="-3"/>
          <w:sz w:val="36"/>
          <w:szCs w:val="36"/>
        </w:rPr>
      </w:pPr>
    </w:p>
    <w:p w:rsidR="008C6AF1" w:rsidRDefault="008C6AF1">
      <w:pPr>
        <w:pStyle w:val="a3"/>
        <w:spacing w:line="560" w:lineRule="exact"/>
        <w:rPr>
          <w:rFonts w:ascii="Times New Roman" w:eastAsia="黑体" w:hAnsi="Times New Roman" w:cs="Times New Roman" w:hint="eastAsia"/>
          <w:spacing w:val="-3"/>
          <w:sz w:val="36"/>
          <w:szCs w:val="36"/>
        </w:rPr>
      </w:pPr>
    </w:p>
    <w:p w:rsidR="008C6AF1" w:rsidRDefault="008C6AF1">
      <w:pPr>
        <w:pStyle w:val="a3"/>
        <w:spacing w:line="560" w:lineRule="exact"/>
        <w:rPr>
          <w:rFonts w:ascii="Times New Roman" w:eastAsia="黑体" w:hAnsi="Times New Roman" w:cs="Times New Roman" w:hint="eastAsia"/>
          <w:spacing w:val="-3"/>
          <w:sz w:val="36"/>
          <w:szCs w:val="36"/>
        </w:rPr>
      </w:pPr>
    </w:p>
    <w:p w:rsidR="008C6AF1" w:rsidRDefault="008C6AF1">
      <w:pPr>
        <w:pStyle w:val="a3"/>
        <w:spacing w:line="560" w:lineRule="exact"/>
        <w:rPr>
          <w:rFonts w:ascii="Times New Roman" w:eastAsia="黑体" w:hAnsi="Times New Roman" w:cs="Times New Roman" w:hint="eastAsia"/>
          <w:spacing w:val="-3"/>
          <w:sz w:val="36"/>
          <w:szCs w:val="36"/>
        </w:rPr>
      </w:pPr>
    </w:p>
    <w:p w:rsidR="008C6AF1" w:rsidRDefault="008C6AF1">
      <w:pPr>
        <w:pStyle w:val="a3"/>
        <w:spacing w:line="560" w:lineRule="exact"/>
        <w:rPr>
          <w:rFonts w:ascii="Times New Roman" w:eastAsia="黑体" w:hAnsi="Times New Roman" w:cs="Times New Roman" w:hint="eastAsia"/>
          <w:spacing w:val="-3"/>
          <w:sz w:val="36"/>
          <w:szCs w:val="36"/>
        </w:rPr>
      </w:pPr>
    </w:p>
    <w:p w:rsidR="008C6AF1" w:rsidRDefault="008C6AF1">
      <w:pPr>
        <w:pStyle w:val="a3"/>
        <w:spacing w:line="560" w:lineRule="exact"/>
        <w:rPr>
          <w:rFonts w:ascii="Times New Roman" w:eastAsia="黑体" w:hAnsi="Times New Roman" w:cs="Times New Roman" w:hint="eastAsia"/>
          <w:spacing w:val="-3"/>
          <w:sz w:val="36"/>
          <w:szCs w:val="36"/>
        </w:rPr>
      </w:pPr>
    </w:p>
    <w:p w:rsidR="008C6AF1" w:rsidRDefault="008C6AF1">
      <w:pPr>
        <w:pStyle w:val="a3"/>
        <w:spacing w:line="560" w:lineRule="exact"/>
        <w:rPr>
          <w:rFonts w:ascii="Times New Roman" w:eastAsia="黑体" w:hAnsi="Times New Roman" w:cs="Times New Roman" w:hint="eastAsia"/>
          <w:spacing w:val="-3"/>
          <w:sz w:val="36"/>
          <w:szCs w:val="36"/>
        </w:rPr>
      </w:pPr>
    </w:p>
    <w:p w:rsidR="008C6AF1" w:rsidRDefault="008C6AF1">
      <w:pPr>
        <w:pStyle w:val="a3"/>
        <w:spacing w:line="560" w:lineRule="exact"/>
        <w:rPr>
          <w:rFonts w:ascii="Times New Roman" w:eastAsia="黑体" w:hAnsi="Times New Roman" w:cs="Times New Roman" w:hint="eastAsia"/>
          <w:spacing w:val="-3"/>
          <w:sz w:val="36"/>
          <w:szCs w:val="36"/>
        </w:rPr>
      </w:pPr>
    </w:p>
    <w:p w:rsidR="008C6AF1" w:rsidRDefault="008C6AF1">
      <w:pPr>
        <w:pStyle w:val="a3"/>
        <w:spacing w:line="560" w:lineRule="exact"/>
        <w:rPr>
          <w:rFonts w:ascii="Times New Roman" w:eastAsia="黑体" w:hAnsi="Times New Roman" w:cs="Times New Roman" w:hint="eastAsia"/>
          <w:spacing w:val="-3"/>
          <w:sz w:val="36"/>
          <w:szCs w:val="36"/>
        </w:rPr>
      </w:pPr>
    </w:p>
    <w:p w:rsidR="008C6AF1" w:rsidRDefault="008C6AF1">
      <w:pPr>
        <w:pStyle w:val="a3"/>
        <w:spacing w:line="560" w:lineRule="exact"/>
        <w:rPr>
          <w:rFonts w:ascii="Times New Roman" w:eastAsia="黑体" w:hAnsi="Times New Roman" w:cs="Times New Roman" w:hint="eastAsia"/>
          <w:spacing w:val="-3"/>
          <w:sz w:val="36"/>
          <w:szCs w:val="36"/>
        </w:rPr>
      </w:pPr>
    </w:p>
    <w:p w:rsidR="00E67DB0" w:rsidRDefault="00E5624B">
      <w:pPr>
        <w:pStyle w:val="a3"/>
        <w:spacing w:line="560" w:lineRule="exact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六、</w:t>
      </w:r>
      <w:r>
        <w:rPr>
          <w:rFonts w:ascii="Times New Roman" w:eastAsia="黑体" w:hAnsi="Times New Roman" w:cs="Times New Roman" w:hint="eastAsia"/>
          <w:spacing w:val="-3"/>
          <w:sz w:val="36"/>
          <w:szCs w:val="36"/>
        </w:rPr>
        <w:t>夯实特色优质</w:t>
      </w:r>
      <w:r>
        <w:rPr>
          <w:rFonts w:ascii="Times New Roman" w:eastAsia="黑体" w:hAnsi="Times New Roman" w:cs="Times New Roman"/>
          <w:spacing w:val="-3"/>
          <w:sz w:val="36"/>
          <w:szCs w:val="36"/>
        </w:rPr>
        <w:t>农业空间</w:t>
      </w:r>
    </w:p>
    <w:p w:rsidR="00E67DB0" w:rsidRDefault="00E5624B">
      <w:pPr>
        <w:spacing w:line="560" w:lineRule="exact"/>
        <w:ind w:firstLine="641"/>
        <w:rPr>
          <w:rFonts w:ascii="Times New Roman" w:eastAsia="仿宋" w:hAnsi="Times New Roman" w:cs="Times New Roman"/>
          <w:sz w:val="28"/>
          <w:szCs w:val="28"/>
        </w:rPr>
      </w:pPr>
      <w:r>
        <w:rPr>
          <w:rFonts w:ascii="Times New Roman" w:eastAsia="仿宋" w:hAnsi="Times New Roman" w:cs="Times New Roman" w:hint="eastAsia"/>
          <w:sz w:val="28"/>
          <w:szCs w:val="28"/>
        </w:rPr>
        <w:t>落实最严格的耕地保护制度，在乡政府驻地、黄赵台、郭家台、于</w:t>
      </w:r>
      <w:r>
        <w:rPr>
          <w:rFonts w:ascii="Times New Roman" w:eastAsia="仿宋" w:hAnsi="Times New Roman" w:cs="Times New Roman" w:hint="eastAsia"/>
          <w:sz w:val="28"/>
          <w:szCs w:val="28"/>
        </w:rPr>
        <w:lastRenderedPageBreak/>
        <w:t>家台重点对水土条件较好、具有粮食种植传统的区域，将永久基本农田划定为粮食生产功能区，包括小麦生产功能区和玉米生产功能区。优化农业产业空间布局，重点培育黄赵台、郭家台、于家台林果蔬菜种植和养殖产业，通过规模化、品牌化、科技化提升农业附加值。引导村庄分类发展，加强土地综合整治，加快推进乡村振兴</w:t>
      </w:r>
      <w:r>
        <w:rPr>
          <w:rFonts w:ascii="Times New Roman" w:eastAsia="仿宋" w:hAnsi="Times New Roman" w:cs="Times New Roman"/>
          <w:sz w:val="28"/>
          <w:szCs w:val="28"/>
        </w:rPr>
        <w:t>。</w:t>
      </w:r>
    </w:p>
    <w:p w:rsidR="00E67DB0" w:rsidRDefault="00E5624B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七、保护林茂水秀生态空间</w:t>
      </w:r>
    </w:p>
    <w:p w:rsidR="00E67DB0" w:rsidRDefault="00E5624B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hint="eastAsia"/>
        </w:rPr>
        <w:t>打造午河、泜河两条滨水观光生态带，联系上下游乡镇，通过加强生态河床、生态护岸等建设，逐步改善河流水质，提升防洪排涝能力。构建省道</w:t>
      </w:r>
      <w:r>
        <w:rPr>
          <w:rFonts w:cs="Times New Roman"/>
        </w:rPr>
        <w:t>S340</w:t>
      </w:r>
      <w:r>
        <w:rPr>
          <w:rFonts w:hint="eastAsia"/>
        </w:rPr>
        <w:t>、宁于线、高速连接线三条道路绿化廊带，强化水系和林带的系统性，扩充县域蓝绿空间。</w:t>
      </w:r>
      <w:bookmarkStart w:id="1" w:name="_Toc173935016"/>
      <w:bookmarkStart w:id="2" w:name="_Toc220656446"/>
      <w:bookmarkStart w:id="3" w:name="_Toc220656509"/>
      <w:bookmarkStart w:id="4" w:name="_Toc19732"/>
      <w:bookmarkStart w:id="5" w:name="_Toc220656558"/>
      <w:r>
        <w:rPr>
          <w:rFonts w:ascii="Times New Roman" w:hAnsi="Times New Roman" w:cs="Times New Roman"/>
        </w:rPr>
        <w:t>加强水资源保护与利用</w:t>
      </w:r>
      <w:bookmarkEnd w:id="1"/>
      <w:bookmarkEnd w:id="2"/>
      <w:bookmarkEnd w:id="3"/>
      <w:bookmarkEnd w:id="4"/>
      <w:bookmarkEnd w:id="5"/>
      <w:r>
        <w:rPr>
          <w:rFonts w:ascii="Times New Roman" w:hAnsi="Times New Roman" w:cs="Times New Roman"/>
        </w:rPr>
        <w:t>，提升水资源利用效率</w:t>
      </w:r>
      <w:r>
        <w:rPr>
          <w:rFonts w:ascii="Times New Roman" w:hAnsi="Times New Roman" w:cs="Times New Roman" w:hint="eastAsia"/>
        </w:rPr>
        <w:t>。</w:t>
      </w:r>
      <w:r>
        <w:rPr>
          <w:rFonts w:ascii="Times New Roman" w:hAnsi="Times New Roman" w:cs="Times New Roman"/>
        </w:rPr>
        <w:t>加强林地资源保护，落实新增造林绿化空间。</w:t>
      </w:r>
    </w:p>
    <w:p w:rsidR="00E67DB0" w:rsidRDefault="00E5624B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八、建设集约高效</w:t>
      </w:r>
      <w:r>
        <w:rPr>
          <w:rFonts w:ascii="Times New Roman" w:eastAsia="黑体" w:hAnsi="Times New Roman" w:cs="Times New Roman" w:hint="eastAsia"/>
          <w:spacing w:val="-3"/>
          <w:sz w:val="36"/>
          <w:szCs w:val="36"/>
        </w:rPr>
        <w:t>乡</w:t>
      </w:r>
      <w:r>
        <w:rPr>
          <w:rFonts w:ascii="Times New Roman" w:eastAsia="黑体" w:hAnsi="Times New Roman" w:cs="Times New Roman"/>
          <w:spacing w:val="-3"/>
          <w:sz w:val="36"/>
          <w:szCs w:val="36"/>
        </w:rPr>
        <w:t>村空间</w:t>
      </w:r>
    </w:p>
    <w:p w:rsidR="00E67DB0" w:rsidRDefault="00E5624B">
      <w:pPr>
        <w:pStyle w:val="a3"/>
        <w:spacing w:line="560" w:lineRule="exact"/>
        <w:ind w:firstLineChars="200" w:firstLine="560"/>
      </w:pPr>
      <w:r>
        <w:t>打造</w:t>
      </w:r>
      <w:r>
        <w:rPr>
          <w:rFonts w:hint="eastAsia"/>
        </w:rPr>
        <w:t>乡政府驻地—基层村二级乡村体系。</w:t>
      </w:r>
      <w:r>
        <w:t>合理确定各类建设用地规模</w:t>
      </w:r>
      <w:r>
        <w:rPr>
          <w:rFonts w:hint="eastAsia"/>
        </w:rPr>
        <w:t>，</w:t>
      </w:r>
      <w:r>
        <w:t>统筹划定村庄建设边界。构建</w:t>
      </w:r>
      <w:r>
        <w:rPr>
          <w:rFonts w:hint="eastAsia"/>
        </w:rPr>
        <w:t>“乡—</w:t>
      </w:r>
      <w:r>
        <w:t>村</w:t>
      </w:r>
      <w:r>
        <w:rPr>
          <w:rFonts w:hint="eastAsia"/>
        </w:rPr>
        <w:t>”</w:t>
      </w:r>
      <w:r>
        <w:t>两级生活圈层级，</w:t>
      </w:r>
      <w:r>
        <w:rPr>
          <w:rFonts w:hint="eastAsia"/>
        </w:rPr>
        <w:t>分类确定村庄职能，实现乡村全面振兴。</w:t>
      </w:r>
    </w:p>
    <w:p w:rsidR="00E67DB0" w:rsidRDefault="00E5624B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九、完善基础设施体系</w:t>
      </w:r>
    </w:p>
    <w:p w:rsidR="00E67DB0" w:rsidRDefault="00E5624B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落实上位规划</w:t>
      </w:r>
      <w:r>
        <w:rPr>
          <w:rFonts w:ascii="Times New Roman" w:hAnsi="Times New Roman" w:cs="Times New Roman" w:hint="eastAsia"/>
        </w:rPr>
        <w:t>要求，对外交通联系主要为省道</w:t>
      </w:r>
      <w:r>
        <w:rPr>
          <w:rFonts w:ascii="Times New Roman" w:hAnsi="Times New Roman" w:cs="Times New Roman"/>
        </w:rPr>
        <w:t>S340</w:t>
      </w:r>
      <w:r>
        <w:rPr>
          <w:rFonts w:ascii="Times New Roman" w:hAnsi="Times New Roman" w:cs="Times New Roman" w:hint="eastAsia"/>
        </w:rPr>
        <w:t>、宁于线、高速连接线。通过宁于线和高速连接线与中心城区和徐家河乡、耿庄桥镇保持密切联系；通过</w:t>
      </w:r>
      <w:r>
        <w:rPr>
          <w:rFonts w:ascii="Times New Roman" w:hAnsi="Times New Roman" w:cs="Times New Roman"/>
        </w:rPr>
        <w:t>S340</w:t>
      </w:r>
      <w:r>
        <w:rPr>
          <w:rFonts w:ascii="Times New Roman" w:hAnsi="Times New Roman" w:cs="Times New Roman" w:hint="eastAsia"/>
        </w:rPr>
        <w:t>与隆尧县和周边县（乡镇）进行联通。</w:t>
      </w:r>
      <w:r>
        <w:rPr>
          <w:rFonts w:ascii="Times New Roman" w:hAnsi="Times New Roman" w:cs="Times New Roman"/>
        </w:rPr>
        <w:t>持续推进</w:t>
      </w:r>
      <w:r>
        <w:rPr>
          <w:rFonts w:ascii="Times New Roman" w:hAnsi="Times New Roman" w:cs="Times New Roman" w:hint="eastAsia"/>
        </w:rPr>
        <w:t>“</w:t>
      </w:r>
      <w:r>
        <w:rPr>
          <w:rFonts w:ascii="Times New Roman" w:hAnsi="Times New Roman" w:cs="Times New Roman"/>
        </w:rPr>
        <w:t>四好农村路</w:t>
      </w:r>
      <w:r>
        <w:rPr>
          <w:rFonts w:ascii="Times New Roman" w:hAnsi="Times New Roman" w:cs="Times New Roman" w:hint="eastAsia"/>
        </w:rPr>
        <w:t>”建设，</w:t>
      </w:r>
      <w:r>
        <w:rPr>
          <w:rFonts w:ascii="Times New Roman" w:hAnsi="Times New Roman" w:cs="Times New Roman"/>
        </w:rPr>
        <w:t>促进区域交通一体化发展</w:t>
      </w:r>
      <w:r>
        <w:rPr>
          <w:rFonts w:ascii="Times New Roman" w:hAnsi="Times New Roman" w:cs="Times New Roman" w:hint="eastAsia"/>
        </w:rPr>
        <w:t>。</w:t>
      </w:r>
      <w:bookmarkStart w:id="6" w:name="_Toc220656459"/>
      <w:bookmarkStart w:id="7" w:name="_Toc19181"/>
      <w:bookmarkStart w:id="8" w:name="_Toc220656571"/>
      <w:bookmarkStart w:id="9" w:name="_Toc220656522"/>
      <w:r>
        <w:rPr>
          <w:rFonts w:ascii="Times New Roman" w:hAnsi="Times New Roman" w:cs="Times New Roman"/>
        </w:rPr>
        <w:t>加强</w:t>
      </w:r>
      <w:r>
        <w:rPr>
          <w:rFonts w:ascii="Times New Roman" w:hAnsi="Times New Roman" w:cs="Times New Roman" w:hint="eastAsia"/>
        </w:rPr>
        <w:t>各类型</w:t>
      </w:r>
      <w:r>
        <w:rPr>
          <w:rFonts w:ascii="Times New Roman" w:hAnsi="Times New Roman" w:cs="Times New Roman"/>
        </w:rPr>
        <w:t>市政基础设施建设</w:t>
      </w:r>
      <w:bookmarkEnd w:id="6"/>
      <w:bookmarkEnd w:id="7"/>
      <w:bookmarkEnd w:id="8"/>
      <w:bookmarkEnd w:id="9"/>
      <w:r>
        <w:rPr>
          <w:rFonts w:ascii="Times New Roman" w:hAnsi="Times New Roman" w:cs="Times New Roman" w:hint="eastAsia"/>
        </w:rPr>
        <w:t>，</w:t>
      </w:r>
      <w:r>
        <w:rPr>
          <w:rFonts w:ascii="Times New Roman" w:hAnsi="Times New Roman" w:cs="Times New Roman"/>
        </w:rPr>
        <w:t>构建</w:t>
      </w:r>
      <w:r>
        <w:rPr>
          <w:rFonts w:ascii="Times New Roman" w:hAnsi="Times New Roman" w:cs="Times New Roman" w:hint="eastAsia"/>
        </w:rPr>
        <w:t>乡</w:t>
      </w:r>
      <w:r>
        <w:rPr>
          <w:rFonts w:ascii="Times New Roman" w:hAnsi="Times New Roman" w:cs="Times New Roman"/>
        </w:rPr>
        <w:t>域综合防灾体系，加强地震等地质灾害防御，</w:t>
      </w:r>
      <w:r>
        <w:rPr>
          <w:rFonts w:ascii="Times New Roman" w:hAnsi="Times New Roman" w:cs="Times New Roman" w:hint="eastAsia"/>
        </w:rPr>
        <w:t>划定洪涝风险控制线，重点强化蓄滞洪区安全管控，</w:t>
      </w:r>
      <w:r>
        <w:rPr>
          <w:rFonts w:ascii="仿宋_GB2312" w:hint="eastAsia"/>
          <w:szCs w:val="32"/>
        </w:rPr>
        <w:t>建立完备的防洪工程体系和切实有效</w:t>
      </w:r>
      <w:r>
        <w:rPr>
          <w:rFonts w:ascii="仿宋_GB2312" w:hint="eastAsia"/>
          <w:szCs w:val="32"/>
        </w:rPr>
        <w:lastRenderedPageBreak/>
        <w:t>的生命财产安全保障体系。</w:t>
      </w:r>
      <w:r>
        <w:rPr>
          <w:rFonts w:ascii="Times New Roman" w:hAnsi="Times New Roman" w:cs="Times New Roman"/>
        </w:rPr>
        <w:t>保障消防建设空间，完善人防工程体系</w:t>
      </w:r>
      <w:r>
        <w:rPr>
          <w:rFonts w:ascii="Times New Roman" w:hAnsi="Times New Roman" w:cs="Times New Roman" w:hint="eastAsia"/>
        </w:rPr>
        <w:t>，</w:t>
      </w:r>
      <w:r>
        <w:rPr>
          <w:rFonts w:ascii="Times New Roman" w:hAnsi="Times New Roman" w:cs="Times New Roman"/>
        </w:rPr>
        <w:t>加强对各类危险源的管控。</w:t>
      </w:r>
    </w:p>
    <w:p w:rsidR="00E67DB0" w:rsidRDefault="00E5624B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十、全面提升</w:t>
      </w:r>
      <w:r>
        <w:rPr>
          <w:rFonts w:ascii="Times New Roman" w:eastAsia="黑体" w:hAnsi="Times New Roman" w:cs="Times New Roman" w:hint="eastAsia"/>
          <w:spacing w:val="-3"/>
          <w:sz w:val="36"/>
          <w:szCs w:val="36"/>
        </w:rPr>
        <w:t>乡政府驻地</w:t>
      </w:r>
      <w:r>
        <w:rPr>
          <w:rFonts w:ascii="Times New Roman" w:eastAsia="黑体" w:hAnsi="Times New Roman" w:cs="Times New Roman"/>
          <w:spacing w:val="-3"/>
          <w:sz w:val="36"/>
          <w:szCs w:val="36"/>
        </w:rPr>
        <w:t>建设品质</w:t>
      </w:r>
    </w:p>
    <w:p w:rsidR="00E67DB0" w:rsidRDefault="005434C4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1753870</wp:posOffset>
            </wp:positionH>
            <wp:positionV relativeFrom="paragraph">
              <wp:posOffset>235585</wp:posOffset>
            </wp:positionV>
            <wp:extent cx="3911600" cy="5379085"/>
            <wp:effectExtent l="19050" t="0" r="0" b="0"/>
            <wp:wrapTight wrapText="bothSides">
              <wp:wrapPolygon edited="0">
                <wp:start x="-105" y="0"/>
                <wp:lineTo x="-105" y="21495"/>
                <wp:lineTo x="21565" y="21495"/>
                <wp:lineTo x="21565" y="0"/>
                <wp:lineTo x="-105" y="0"/>
              </wp:wrapPolygon>
            </wp:wrapTight>
            <wp:docPr id="3" name="图片 3" descr="130528205北鱼乡34乡政府驻地范围国土空间用地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30528205北鱼乡34乡政府驻地范围国土空间用地规划图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rcRect b="3100"/>
                    <a:stretch>
                      <a:fillRect/>
                    </a:stretch>
                  </pic:blipFill>
                  <pic:spPr>
                    <a:xfrm>
                      <a:off x="0" y="0"/>
                      <a:ext cx="3911600" cy="5379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5624B">
        <w:rPr>
          <w:rFonts w:ascii="Times New Roman" w:hAnsi="Times New Roman" w:cs="Times New Roman" w:hint="eastAsia"/>
        </w:rPr>
        <w:t>乡政府驻地规划形成“一心、三带、四片、多点”的空间结构</w:t>
      </w:r>
      <w:r w:rsidR="00E5624B">
        <w:rPr>
          <w:rFonts w:ascii="Times New Roman" w:hAnsi="Times New Roman" w:cs="Times New Roman"/>
        </w:rPr>
        <w:t>。</w:t>
      </w:r>
      <w:r w:rsidR="00E5624B">
        <w:rPr>
          <w:rFonts w:ascii="Times New Roman" w:hAnsi="Times New Roman" w:cs="Times New Roman" w:hint="eastAsia"/>
        </w:rPr>
        <w:t>“一心”即北鱼乡政府驻地，依靠乡政府驻地特有的区位优势，带动整个乡域经济发展。“三带”指乡政府驻地两条主干路和河道，分别为宁于线、建设路两条经济发展轴带和午河生态景观发展轴带。“四片”指由主要道路划分而形成的四块主要生活区。“多点”以服务类形成的重要节点，提升综合服务功能。</w:t>
      </w:r>
    </w:p>
    <w:p w:rsidR="00E67DB0" w:rsidRDefault="00E5624B">
      <w:pPr>
        <w:pStyle w:val="a3"/>
        <w:spacing w:line="560" w:lineRule="exact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十一、规划实施保障</w:t>
      </w:r>
    </w:p>
    <w:p w:rsidR="00E67DB0" w:rsidRDefault="00E5624B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加强组织领导。充分发挥党总揽全局、协调各方的领导核心作用，把党的领导贯彻到</w:t>
      </w:r>
      <w:r>
        <w:rPr>
          <w:rFonts w:ascii="Times New Roman" w:hAnsi="Times New Roman" w:cs="Times New Roman" w:hint="eastAsia"/>
        </w:rPr>
        <w:t>北鱼乡</w:t>
      </w:r>
      <w:r>
        <w:rPr>
          <w:rFonts w:ascii="Times New Roman" w:hAnsi="Times New Roman" w:cs="Times New Roman"/>
        </w:rPr>
        <w:t>国土空间规划编制实施全过程各领域各环节。加强</w:t>
      </w:r>
      <w:r>
        <w:rPr>
          <w:rFonts w:ascii="Times New Roman" w:hAnsi="Times New Roman" w:cs="Times New Roman" w:hint="eastAsia"/>
        </w:rPr>
        <w:lastRenderedPageBreak/>
        <w:t>乡</w:t>
      </w:r>
      <w:r>
        <w:rPr>
          <w:rFonts w:ascii="Times New Roman" w:hAnsi="Times New Roman" w:cs="Times New Roman"/>
        </w:rPr>
        <w:t>级国土空间总体规划和详细规划联</w:t>
      </w:r>
      <w:r>
        <w:rPr>
          <w:rFonts w:ascii="Times New Roman" w:hAnsi="Times New Roman" w:cs="Times New Roman"/>
        </w:rPr>
        <w:t>动</w:t>
      </w:r>
      <w:r>
        <w:rPr>
          <w:rFonts w:ascii="Times New Roman" w:hAnsi="Times New Roman" w:cs="Times New Roman" w:hint="eastAsia"/>
        </w:rPr>
        <w:t>。</w:t>
      </w:r>
    </w:p>
    <w:p w:rsidR="00E67DB0" w:rsidRDefault="00E5624B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强化规划传导。落实上级总体规划确定的传导内容，保持耕地和永久基本农田、城镇开发边界</w:t>
      </w:r>
      <w:r>
        <w:rPr>
          <w:rFonts w:ascii="Times New Roman" w:hAnsi="Times New Roman" w:cs="Times New Roman" w:hint="eastAsia"/>
        </w:rPr>
        <w:t>等</w:t>
      </w:r>
      <w:r>
        <w:rPr>
          <w:rFonts w:ascii="Times New Roman" w:hAnsi="Times New Roman" w:cs="Times New Roman"/>
        </w:rPr>
        <w:t>控制线上下图、数、线一致。强化详细规划传导，确保总体规划确定的约束性指标、结构布局、空间底线和重大设施等传导并落实。</w:t>
      </w:r>
      <w:bookmarkStart w:id="10" w:name="_Toc220656473"/>
      <w:bookmarkStart w:id="11" w:name="_Toc128148276"/>
      <w:bookmarkStart w:id="12" w:name="_Toc220656585"/>
      <w:bookmarkStart w:id="13" w:name="_Toc15701"/>
      <w:bookmarkStart w:id="14" w:name="_Toc220656536"/>
      <w:bookmarkStart w:id="15" w:name="_Toc128148220"/>
    </w:p>
    <w:p w:rsidR="00E67DB0" w:rsidRDefault="00E5624B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加强全生命周期管理</w:t>
      </w:r>
      <w:bookmarkEnd w:id="10"/>
      <w:bookmarkEnd w:id="11"/>
      <w:bookmarkEnd w:id="12"/>
      <w:bookmarkEnd w:id="13"/>
      <w:bookmarkEnd w:id="14"/>
      <w:bookmarkEnd w:id="15"/>
      <w:r>
        <w:rPr>
          <w:rFonts w:ascii="Times New Roman" w:hAnsi="Times New Roman" w:cs="Times New Roman"/>
        </w:rPr>
        <w:t>。健全公众</w:t>
      </w:r>
      <w:r w:rsidR="005434C4">
        <w:rPr>
          <w:rFonts w:ascii="Times New Roman" w:hAnsi="Times New Roman" w:cs="Times New Roman" w:hint="eastAsia"/>
        </w:rPr>
        <w:t>参与</w:t>
      </w:r>
      <w:r>
        <w:rPr>
          <w:rFonts w:ascii="Times New Roman" w:hAnsi="Times New Roman" w:cs="Times New Roman" w:hint="eastAsia"/>
        </w:rPr>
        <w:t>与</w:t>
      </w:r>
      <w:r>
        <w:rPr>
          <w:rFonts w:ascii="Times New Roman" w:hAnsi="Times New Roman" w:cs="Times New Roman"/>
        </w:rPr>
        <w:t>和社会协调机制，强化监督管理。</w:t>
      </w:r>
    </w:p>
    <w:sectPr w:rsidR="00E67DB0" w:rsidSect="00E67DB0">
      <w:pgSz w:w="11906" w:h="16838"/>
      <w:pgMar w:top="1871" w:right="1531" w:bottom="187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624B" w:rsidRDefault="00E5624B" w:rsidP="008C6AF1">
      <w:r>
        <w:separator/>
      </w:r>
    </w:p>
  </w:endnote>
  <w:endnote w:type="continuationSeparator" w:id="1">
    <w:p w:rsidR="00E5624B" w:rsidRDefault="00E5624B" w:rsidP="008C6A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045A8C57-FFFF-41C0-8D31-A9DFF1046154}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15E9C869-9368-4D7A-A9A2-9582C4223C9D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255B599E-3AF1-4AFC-95F3-B28601AACC0F}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624B" w:rsidRDefault="00E5624B" w:rsidP="008C6AF1">
      <w:r>
        <w:separator/>
      </w:r>
    </w:p>
  </w:footnote>
  <w:footnote w:type="continuationSeparator" w:id="1">
    <w:p w:rsidR="00E5624B" w:rsidRDefault="00E5624B" w:rsidP="008C6AF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TrueTypeFonts/>
  <w:saveSubset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77FC6414"/>
    <w:rsid w:val="00223AB9"/>
    <w:rsid w:val="00224A83"/>
    <w:rsid w:val="00283805"/>
    <w:rsid w:val="003F625D"/>
    <w:rsid w:val="0043126A"/>
    <w:rsid w:val="005434C4"/>
    <w:rsid w:val="005F099B"/>
    <w:rsid w:val="00741F0F"/>
    <w:rsid w:val="008620A5"/>
    <w:rsid w:val="008C6AF1"/>
    <w:rsid w:val="009457DC"/>
    <w:rsid w:val="009F178E"/>
    <w:rsid w:val="00A24210"/>
    <w:rsid w:val="00A56466"/>
    <w:rsid w:val="00BD1CF2"/>
    <w:rsid w:val="00D360DE"/>
    <w:rsid w:val="00E456C3"/>
    <w:rsid w:val="00E5624B"/>
    <w:rsid w:val="00E67DB0"/>
    <w:rsid w:val="00F425D7"/>
    <w:rsid w:val="01730582"/>
    <w:rsid w:val="0DA815B3"/>
    <w:rsid w:val="0FD032B1"/>
    <w:rsid w:val="14694C0A"/>
    <w:rsid w:val="3894311F"/>
    <w:rsid w:val="41E55992"/>
    <w:rsid w:val="53321DD3"/>
    <w:rsid w:val="55C961B1"/>
    <w:rsid w:val="59A81DA0"/>
    <w:rsid w:val="5BA7239A"/>
    <w:rsid w:val="77FC6414"/>
    <w:rsid w:val="7C6256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semiHidden="0" w:unhideWhenUsed="0"/>
    <w:lsdException w:name="footer" w:semiHidden="0" w:unhideWhenUsed="0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Body Text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Body Text Indent 2" w:semiHidden="0" w:uiPriority="99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E67DB0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uiPriority w:val="99"/>
    <w:unhideWhenUsed/>
    <w:qFormat/>
    <w:rsid w:val="00E67DB0"/>
    <w:pPr>
      <w:tabs>
        <w:tab w:val="left" w:pos="2160"/>
      </w:tabs>
      <w:spacing w:after="120" w:line="480" w:lineRule="auto"/>
      <w:ind w:leftChars="200" w:left="420"/>
    </w:pPr>
    <w:rPr>
      <w:rFonts w:ascii="仿宋" w:hAnsi="仿宋" w:cs="宋体"/>
      <w:sz w:val="28"/>
    </w:rPr>
  </w:style>
  <w:style w:type="paragraph" w:styleId="a3">
    <w:name w:val="Body Text"/>
    <w:basedOn w:val="a"/>
    <w:semiHidden/>
    <w:qFormat/>
    <w:rsid w:val="00E67DB0"/>
    <w:rPr>
      <w:rFonts w:ascii="仿宋" w:eastAsia="仿宋" w:hAnsi="仿宋" w:cs="仿宋"/>
      <w:sz w:val="28"/>
      <w:szCs w:val="28"/>
    </w:rPr>
  </w:style>
  <w:style w:type="paragraph" w:styleId="a4">
    <w:name w:val="footer"/>
    <w:basedOn w:val="a"/>
    <w:link w:val="Char"/>
    <w:rsid w:val="00E67DB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rsid w:val="00E67DB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E67DB0"/>
    <w:rPr>
      <w:kern w:val="2"/>
      <w:sz w:val="18"/>
      <w:szCs w:val="18"/>
    </w:rPr>
  </w:style>
  <w:style w:type="character" w:customStyle="1" w:styleId="Char">
    <w:name w:val="页脚 Char"/>
    <w:basedOn w:val="a0"/>
    <w:link w:val="a4"/>
    <w:rsid w:val="00E67DB0"/>
    <w:rPr>
      <w:kern w:val="2"/>
      <w:sz w:val="18"/>
      <w:szCs w:val="18"/>
    </w:rPr>
  </w:style>
  <w:style w:type="paragraph" w:styleId="a6">
    <w:name w:val="Balloon Text"/>
    <w:basedOn w:val="a"/>
    <w:link w:val="Char1"/>
    <w:rsid w:val="008C6AF1"/>
    <w:rPr>
      <w:sz w:val="18"/>
      <w:szCs w:val="18"/>
    </w:rPr>
  </w:style>
  <w:style w:type="character" w:customStyle="1" w:styleId="Char1">
    <w:name w:val="批注框文本 Char"/>
    <w:basedOn w:val="a0"/>
    <w:link w:val="a6"/>
    <w:rsid w:val="008C6AF1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279</Words>
  <Characters>1592</Characters>
  <Application>Microsoft Office Word</Application>
  <DocSecurity>0</DocSecurity>
  <Lines>13</Lines>
  <Paragraphs>3</Paragraphs>
  <ScaleCrop>false</ScaleCrop>
  <Company>MS</Company>
  <LinksUpToDate>false</LinksUpToDate>
  <CharactersWithSpaces>1868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顽皮猫</dc:creator>
  <cp:lastModifiedBy>USER-</cp:lastModifiedBy>
  <cp:revision>20</cp:revision>
  <dcterms:created xsi:type="dcterms:W3CDTF">2026-02-02T02:56:00Z</dcterms:created>
  <dcterms:modified xsi:type="dcterms:W3CDTF">2026-02-11T07:08:00Z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795971C4317C40D4A58B62C81255BA1F_13</vt:lpwstr>
  </property>
  <property fmtid="{D5CDD505-2E9C-101B-9397-08002B2CF9AE}" pid="4" name="KSOTemplateDocerSaveRecord">
    <vt:lpwstr>eyJoZGlkIjoiZTRhMzBjNTU2ZTkzOGI3Y2RmNTkwMDMxYmIzNGU5ZGIiLCJ1c2VySWQiOiIxMjc2OTg3MjE3In0=</vt:lpwstr>
  </property>
</Properties>
</file>