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3E99D57">
      <w:pPr>
        <w:jc w:val="center"/>
        <w:rPr>
          <w:rFonts w:hint="eastAsia" w:ascii="黑体" w:eastAsia="黑体"/>
          <w:sz w:val="32"/>
          <w:szCs w:val="32"/>
        </w:rPr>
      </w:pPr>
      <w:r>
        <w:rPr>
          <w:rFonts w:hint="eastAsia" w:ascii="黑体" w:eastAsia="黑体"/>
          <w:sz w:val="32"/>
          <w:szCs w:val="32"/>
        </w:rPr>
        <w:t>202</w:t>
      </w:r>
      <w:r>
        <w:rPr>
          <w:rFonts w:hint="eastAsia" w:ascii="黑体" w:eastAsia="黑体"/>
          <w:sz w:val="32"/>
          <w:szCs w:val="32"/>
          <w:lang w:val="en-US" w:eastAsia="zh-CN"/>
        </w:rPr>
        <w:t>6</w:t>
      </w:r>
      <w:r>
        <w:rPr>
          <w:rFonts w:hint="eastAsia" w:ascii="黑体" w:eastAsia="黑体"/>
          <w:sz w:val="32"/>
          <w:szCs w:val="32"/>
        </w:rPr>
        <w:t>年</w:t>
      </w:r>
      <w:r>
        <w:rPr>
          <w:rFonts w:hint="eastAsia" w:ascii="黑体" w:eastAsia="黑体"/>
          <w:sz w:val="32"/>
          <w:szCs w:val="32"/>
          <w:lang w:val="en-US" w:eastAsia="zh-CN"/>
        </w:rPr>
        <w:t>1</w:t>
      </w:r>
      <w:r>
        <w:rPr>
          <w:rFonts w:hint="eastAsia" w:ascii="黑体" w:eastAsia="黑体"/>
          <w:sz w:val="32"/>
          <w:szCs w:val="32"/>
        </w:rPr>
        <w:t>月份宁晋县考核断面水质监测结果</w:t>
      </w:r>
    </w:p>
    <w:tbl>
      <w:tblPr>
        <w:tblStyle w:val="2"/>
        <w:tblW w:w="14338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83"/>
        <w:gridCol w:w="1559"/>
        <w:gridCol w:w="1559"/>
        <w:gridCol w:w="1134"/>
        <w:gridCol w:w="1559"/>
        <w:gridCol w:w="1418"/>
        <w:gridCol w:w="4879"/>
        <w:gridCol w:w="1047"/>
      </w:tblGrid>
      <w:tr w14:paraId="7E1ED72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2" w:hRule="atLeast"/>
          <w:jc w:val="center"/>
        </w:trPr>
        <w:tc>
          <w:tcPr>
            <w:tcW w:w="1183" w:type="dxa"/>
            <w:noWrap w:val="0"/>
            <w:vAlign w:val="center"/>
          </w:tcPr>
          <w:p w14:paraId="4EF5EBA8">
            <w:pPr>
              <w:spacing w:line="420" w:lineRule="exact"/>
              <w:jc w:val="center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县名称</w:t>
            </w:r>
          </w:p>
        </w:tc>
        <w:tc>
          <w:tcPr>
            <w:tcW w:w="1559" w:type="dxa"/>
            <w:noWrap w:val="0"/>
            <w:vAlign w:val="center"/>
          </w:tcPr>
          <w:p w14:paraId="37EB104F">
            <w:pPr>
              <w:spacing w:line="420" w:lineRule="exact"/>
              <w:jc w:val="center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河流名称</w:t>
            </w:r>
          </w:p>
        </w:tc>
        <w:tc>
          <w:tcPr>
            <w:tcW w:w="1559" w:type="dxa"/>
            <w:noWrap w:val="0"/>
            <w:vAlign w:val="center"/>
          </w:tcPr>
          <w:p w14:paraId="3CAB747B">
            <w:pPr>
              <w:spacing w:line="420" w:lineRule="exact"/>
              <w:jc w:val="center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断面名称</w:t>
            </w:r>
          </w:p>
        </w:tc>
        <w:tc>
          <w:tcPr>
            <w:tcW w:w="1134" w:type="dxa"/>
            <w:noWrap w:val="0"/>
            <w:vAlign w:val="center"/>
          </w:tcPr>
          <w:p w14:paraId="4ADE8268">
            <w:pPr>
              <w:spacing w:line="420" w:lineRule="exact"/>
              <w:jc w:val="center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项目</w:t>
            </w:r>
          </w:p>
        </w:tc>
        <w:tc>
          <w:tcPr>
            <w:tcW w:w="1559" w:type="dxa"/>
            <w:noWrap w:val="0"/>
            <w:vAlign w:val="center"/>
          </w:tcPr>
          <w:p w14:paraId="42540F22">
            <w:pPr>
              <w:spacing w:line="420" w:lineRule="exact"/>
              <w:jc w:val="center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考核水</w:t>
            </w:r>
          </w:p>
          <w:p w14:paraId="13C5C4A1">
            <w:pPr>
              <w:spacing w:line="420" w:lineRule="exact"/>
              <w:jc w:val="center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质标准</w:t>
            </w:r>
          </w:p>
        </w:tc>
        <w:tc>
          <w:tcPr>
            <w:tcW w:w="1418" w:type="dxa"/>
            <w:noWrap w:val="0"/>
            <w:vAlign w:val="center"/>
          </w:tcPr>
          <w:p w14:paraId="49ECABD8">
            <w:pPr>
              <w:spacing w:line="420" w:lineRule="exact"/>
              <w:jc w:val="center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监测结果</w:t>
            </w:r>
          </w:p>
        </w:tc>
        <w:tc>
          <w:tcPr>
            <w:tcW w:w="4879" w:type="dxa"/>
            <w:noWrap w:val="0"/>
            <w:vAlign w:val="center"/>
          </w:tcPr>
          <w:p w14:paraId="0949B1B8">
            <w:pPr>
              <w:spacing w:line="420" w:lineRule="exact"/>
              <w:jc w:val="center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上游断面水质结果</w:t>
            </w:r>
          </w:p>
          <w:p w14:paraId="1325A095">
            <w:pPr>
              <w:spacing w:line="420" w:lineRule="exact"/>
              <w:jc w:val="center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COD（mg/L）氨氮（mg/L）总磷（mg/L）</w:t>
            </w:r>
          </w:p>
        </w:tc>
        <w:tc>
          <w:tcPr>
            <w:tcW w:w="1047" w:type="dxa"/>
            <w:noWrap w:val="0"/>
            <w:vAlign w:val="center"/>
          </w:tcPr>
          <w:p w14:paraId="3C846753">
            <w:pPr>
              <w:spacing w:line="420" w:lineRule="exact"/>
              <w:jc w:val="center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备注</w:t>
            </w:r>
          </w:p>
        </w:tc>
      </w:tr>
      <w:tr w14:paraId="35043F5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9" w:hRule="atLeast"/>
          <w:jc w:val="center"/>
        </w:trPr>
        <w:tc>
          <w:tcPr>
            <w:tcW w:w="1183" w:type="dxa"/>
            <w:vMerge w:val="restart"/>
            <w:noWrap w:val="0"/>
            <w:vAlign w:val="center"/>
          </w:tcPr>
          <w:p w14:paraId="41154E48">
            <w:pPr>
              <w:spacing w:line="420" w:lineRule="exact"/>
              <w:jc w:val="center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宁晋县</w:t>
            </w:r>
          </w:p>
        </w:tc>
        <w:tc>
          <w:tcPr>
            <w:tcW w:w="1559" w:type="dxa"/>
            <w:vMerge w:val="restart"/>
            <w:noWrap w:val="0"/>
            <w:vAlign w:val="center"/>
          </w:tcPr>
          <w:p w14:paraId="53D2D4D6">
            <w:pPr>
              <w:spacing w:line="300" w:lineRule="exact"/>
              <w:jc w:val="center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滏东排河</w:t>
            </w:r>
          </w:p>
        </w:tc>
        <w:tc>
          <w:tcPr>
            <w:tcW w:w="1559" w:type="dxa"/>
            <w:vMerge w:val="restart"/>
            <w:noWrap w:val="0"/>
            <w:vAlign w:val="center"/>
          </w:tcPr>
          <w:p w14:paraId="1E70846C">
            <w:pPr>
              <w:spacing w:line="300" w:lineRule="exact"/>
              <w:jc w:val="center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赵家庄村东</w:t>
            </w:r>
          </w:p>
        </w:tc>
        <w:tc>
          <w:tcPr>
            <w:tcW w:w="1134" w:type="dxa"/>
            <w:noWrap w:val="0"/>
            <w:vAlign w:val="center"/>
          </w:tcPr>
          <w:p w14:paraId="2262207B">
            <w:pPr>
              <w:spacing w:line="300" w:lineRule="exact"/>
              <w:jc w:val="center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COD</w:t>
            </w:r>
          </w:p>
        </w:tc>
        <w:tc>
          <w:tcPr>
            <w:tcW w:w="1559" w:type="dxa"/>
            <w:noWrap w:val="0"/>
            <w:vAlign w:val="center"/>
          </w:tcPr>
          <w:p w14:paraId="66421715">
            <w:pPr>
              <w:spacing w:line="300" w:lineRule="exact"/>
              <w:jc w:val="center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40</w:t>
            </w:r>
          </w:p>
        </w:tc>
        <w:tc>
          <w:tcPr>
            <w:tcW w:w="1418" w:type="dxa"/>
            <w:noWrap w:val="0"/>
            <w:vAlign w:val="center"/>
          </w:tcPr>
          <w:p w14:paraId="065EA01A">
            <w:pPr>
              <w:spacing w:line="300" w:lineRule="exact"/>
              <w:jc w:val="center"/>
              <w:rPr>
                <w:rFonts w:hint="default" w:eastAsia="宋体"/>
                <w:sz w:val="24"/>
                <w:lang w:val="en-US" w:eastAsia="zh-CN"/>
              </w:rPr>
            </w:pPr>
            <w:r>
              <w:rPr>
                <w:rFonts w:hint="eastAsia"/>
                <w:sz w:val="24"/>
                <w:lang w:val="en-US" w:eastAsia="zh-CN"/>
              </w:rPr>
              <w:t>16</w:t>
            </w:r>
          </w:p>
        </w:tc>
        <w:tc>
          <w:tcPr>
            <w:tcW w:w="4879" w:type="dxa"/>
            <w:vMerge w:val="restart"/>
            <w:noWrap w:val="0"/>
            <w:vAlign w:val="center"/>
          </w:tcPr>
          <w:p w14:paraId="090F195A">
            <w:pPr>
              <w:spacing w:line="300" w:lineRule="exact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商店闸北COD（</w:t>
            </w:r>
            <w:r>
              <w:rPr>
                <w:rFonts w:hint="eastAsia"/>
                <w:sz w:val="24"/>
                <w:lang w:val="en-US" w:eastAsia="zh-CN"/>
              </w:rPr>
              <w:t>22</w:t>
            </w:r>
            <w:r>
              <w:rPr>
                <w:rFonts w:hint="eastAsia"/>
                <w:sz w:val="24"/>
              </w:rPr>
              <w:t>）氨氮（</w:t>
            </w:r>
            <w:r>
              <w:rPr>
                <w:rFonts w:hint="eastAsia"/>
                <w:sz w:val="24"/>
                <w:lang w:val="en-US" w:eastAsia="zh-CN"/>
              </w:rPr>
              <w:t>0.612</w:t>
            </w:r>
            <w:r>
              <w:rPr>
                <w:rFonts w:hint="eastAsia"/>
                <w:sz w:val="24"/>
              </w:rPr>
              <w:t>）总磷（</w:t>
            </w:r>
            <w:r>
              <w:rPr>
                <w:rFonts w:hint="eastAsia"/>
                <w:sz w:val="24"/>
                <w:lang w:val="en-US" w:eastAsia="zh-CN"/>
              </w:rPr>
              <w:t>0.06</w:t>
            </w:r>
            <w:r>
              <w:rPr>
                <w:rFonts w:hint="eastAsia"/>
                <w:sz w:val="24"/>
              </w:rPr>
              <w:t>）</w:t>
            </w:r>
          </w:p>
          <w:p w14:paraId="1C0CD6B9">
            <w:pPr>
              <w:spacing w:line="300" w:lineRule="exact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北鱼COD（</w:t>
            </w:r>
            <w:r>
              <w:rPr>
                <w:rFonts w:hint="eastAsia"/>
                <w:sz w:val="24"/>
                <w:lang w:val="en-US" w:eastAsia="zh-CN"/>
              </w:rPr>
              <w:t>23</w:t>
            </w:r>
            <w:r>
              <w:rPr>
                <w:rFonts w:hint="eastAsia"/>
                <w:sz w:val="24"/>
              </w:rPr>
              <w:t>）氨氮（</w:t>
            </w:r>
            <w:r>
              <w:rPr>
                <w:rFonts w:hint="eastAsia"/>
                <w:sz w:val="24"/>
                <w:lang w:val="en-US" w:eastAsia="zh-CN"/>
              </w:rPr>
              <w:t>1.37</w:t>
            </w:r>
            <w:r>
              <w:rPr>
                <w:rFonts w:hint="eastAsia"/>
                <w:sz w:val="24"/>
              </w:rPr>
              <w:t>）总磷（</w:t>
            </w:r>
            <w:r>
              <w:rPr>
                <w:rFonts w:hint="eastAsia"/>
                <w:sz w:val="24"/>
                <w:lang w:val="en-US" w:eastAsia="zh-CN"/>
              </w:rPr>
              <w:t>0.11</w:t>
            </w:r>
            <w:r>
              <w:rPr>
                <w:rFonts w:hint="eastAsia"/>
                <w:sz w:val="24"/>
              </w:rPr>
              <w:t>）</w:t>
            </w:r>
          </w:p>
          <w:p w14:paraId="6909C04B">
            <w:pPr>
              <w:spacing w:line="300" w:lineRule="exact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刘丰头COD（</w:t>
            </w:r>
            <w:r>
              <w:rPr>
                <w:rFonts w:hint="eastAsia"/>
                <w:sz w:val="24"/>
                <w:lang w:val="en-US" w:eastAsia="zh-CN"/>
              </w:rPr>
              <w:t>19</w:t>
            </w:r>
            <w:r>
              <w:rPr>
                <w:rFonts w:hint="eastAsia"/>
                <w:sz w:val="24"/>
              </w:rPr>
              <w:t>）氨氮（</w:t>
            </w:r>
            <w:r>
              <w:rPr>
                <w:rFonts w:hint="eastAsia"/>
                <w:sz w:val="24"/>
                <w:lang w:val="en-US" w:eastAsia="zh-CN"/>
              </w:rPr>
              <w:t>0.288）</w:t>
            </w:r>
            <w:r>
              <w:rPr>
                <w:rFonts w:hint="eastAsia"/>
                <w:sz w:val="24"/>
              </w:rPr>
              <w:t>总磷（</w:t>
            </w:r>
            <w:r>
              <w:rPr>
                <w:rFonts w:hint="eastAsia"/>
                <w:sz w:val="24"/>
                <w:lang w:val="en-US" w:eastAsia="zh-CN"/>
              </w:rPr>
              <w:t>0.05</w:t>
            </w:r>
            <w:r>
              <w:rPr>
                <w:rFonts w:hint="eastAsia"/>
                <w:sz w:val="24"/>
              </w:rPr>
              <w:t>）</w:t>
            </w:r>
          </w:p>
          <w:p w14:paraId="659A8A9B">
            <w:pPr>
              <w:spacing w:line="300" w:lineRule="exact"/>
              <w:rPr>
                <w:rFonts w:hint="eastAsia"/>
                <w:sz w:val="24"/>
              </w:rPr>
            </w:pPr>
          </w:p>
        </w:tc>
        <w:tc>
          <w:tcPr>
            <w:tcW w:w="1047" w:type="dxa"/>
            <w:vMerge w:val="restart"/>
            <w:noWrap w:val="0"/>
            <w:vAlign w:val="center"/>
          </w:tcPr>
          <w:p w14:paraId="66BEDCA4">
            <w:pPr>
              <w:spacing w:line="420" w:lineRule="exact"/>
              <w:jc w:val="center"/>
              <w:rPr>
                <w:rFonts w:hint="eastAsia"/>
                <w:sz w:val="24"/>
              </w:rPr>
            </w:pPr>
          </w:p>
        </w:tc>
      </w:tr>
      <w:tr w14:paraId="0D53DF0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9" w:hRule="atLeast"/>
          <w:jc w:val="center"/>
        </w:trPr>
        <w:tc>
          <w:tcPr>
            <w:tcW w:w="1183" w:type="dxa"/>
            <w:vMerge w:val="continue"/>
            <w:noWrap w:val="0"/>
            <w:vAlign w:val="center"/>
          </w:tcPr>
          <w:p w14:paraId="793EE117">
            <w:pPr>
              <w:spacing w:line="420" w:lineRule="exact"/>
              <w:jc w:val="center"/>
              <w:rPr>
                <w:rFonts w:hint="eastAsia"/>
                <w:sz w:val="24"/>
              </w:rPr>
            </w:pPr>
          </w:p>
        </w:tc>
        <w:tc>
          <w:tcPr>
            <w:tcW w:w="1559" w:type="dxa"/>
            <w:vMerge w:val="continue"/>
            <w:noWrap w:val="0"/>
            <w:vAlign w:val="center"/>
          </w:tcPr>
          <w:p w14:paraId="51D92832">
            <w:pPr>
              <w:spacing w:line="300" w:lineRule="exact"/>
              <w:jc w:val="center"/>
              <w:rPr>
                <w:rFonts w:hint="eastAsia"/>
                <w:sz w:val="24"/>
              </w:rPr>
            </w:pPr>
          </w:p>
        </w:tc>
        <w:tc>
          <w:tcPr>
            <w:tcW w:w="1559" w:type="dxa"/>
            <w:vMerge w:val="continue"/>
            <w:noWrap w:val="0"/>
            <w:vAlign w:val="center"/>
          </w:tcPr>
          <w:p w14:paraId="413EE9C2">
            <w:pPr>
              <w:spacing w:line="300" w:lineRule="exact"/>
              <w:jc w:val="center"/>
              <w:rPr>
                <w:rFonts w:hint="eastAsia"/>
                <w:sz w:val="24"/>
              </w:rPr>
            </w:pPr>
          </w:p>
        </w:tc>
        <w:tc>
          <w:tcPr>
            <w:tcW w:w="1134" w:type="dxa"/>
            <w:noWrap w:val="0"/>
            <w:vAlign w:val="center"/>
          </w:tcPr>
          <w:p w14:paraId="4CE3B6E5">
            <w:pPr>
              <w:spacing w:line="300" w:lineRule="exact"/>
              <w:jc w:val="center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氨氮</w:t>
            </w:r>
          </w:p>
        </w:tc>
        <w:tc>
          <w:tcPr>
            <w:tcW w:w="1559" w:type="dxa"/>
            <w:noWrap w:val="0"/>
            <w:vAlign w:val="center"/>
          </w:tcPr>
          <w:p w14:paraId="23F9925D">
            <w:pPr>
              <w:spacing w:line="300" w:lineRule="exact"/>
              <w:jc w:val="center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2.0</w:t>
            </w:r>
          </w:p>
        </w:tc>
        <w:tc>
          <w:tcPr>
            <w:tcW w:w="1418" w:type="dxa"/>
            <w:noWrap w:val="0"/>
            <w:vAlign w:val="center"/>
          </w:tcPr>
          <w:p w14:paraId="73F7A4C9">
            <w:pPr>
              <w:spacing w:line="300" w:lineRule="exact"/>
              <w:jc w:val="center"/>
              <w:rPr>
                <w:rFonts w:hint="default" w:eastAsia="宋体"/>
                <w:sz w:val="24"/>
                <w:lang w:val="en-US" w:eastAsia="zh-CN"/>
              </w:rPr>
            </w:pPr>
            <w:r>
              <w:rPr>
                <w:rFonts w:hint="eastAsia"/>
                <w:sz w:val="24"/>
                <w:lang w:val="en-US" w:eastAsia="zh-CN"/>
              </w:rPr>
              <w:t>0.427</w:t>
            </w:r>
          </w:p>
        </w:tc>
        <w:tc>
          <w:tcPr>
            <w:tcW w:w="4879" w:type="dxa"/>
            <w:vMerge w:val="continue"/>
            <w:noWrap w:val="0"/>
            <w:vAlign w:val="center"/>
          </w:tcPr>
          <w:p w14:paraId="3251607E">
            <w:pPr>
              <w:spacing w:line="300" w:lineRule="exact"/>
              <w:rPr>
                <w:rFonts w:hint="eastAsia"/>
                <w:sz w:val="24"/>
              </w:rPr>
            </w:pPr>
          </w:p>
        </w:tc>
        <w:tc>
          <w:tcPr>
            <w:tcW w:w="1047" w:type="dxa"/>
            <w:vMerge w:val="continue"/>
            <w:noWrap w:val="0"/>
            <w:vAlign w:val="center"/>
          </w:tcPr>
          <w:p w14:paraId="3F14E53E">
            <w:pPr>
              <w:spacing w:line="420" w:lineRule="exact"/>
              <w:jc w:val="center"/>
              <w:rPr>
                <w:rFonts w:hint="eastAsia"/>
                <w:sz w:val="24"/>
              </w:rPr>
            </w:pPr>
          </w:p>
        </w:tc>
      </w:tr>
      <w:tr w14:paraId="0F5308B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9" w:hRule="atLeast"/>
          <w:jc w:val="center"/>
        </w:trPr>
        <w:tc>
          <w:tcPr>
            <w:tcW w:w="1183" w:type="dxa"/>
            <w:vMerge w:val="continue"/>
            <w:noWrap w:val="0"/>
            <w:vAlign w:val="center"/>
          </w:tcPr>
          <w:p w14:paraId="1E911D8D">
            <w:pPr>
              <w:spacing w:line="4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0.30</w:t>
            </w:r>
          </w:p>
        </w:tc>
        <w:tc>
          <w:tcPr>
            <w:tcW w:w="1559" w:type="dxa"/>
            <w:vMerge w:val="continue"/>
            <w:noWrap w:val="0"/>
            <w:vAlign w:val="center"/>
          </w:tcPr>
          <w:p w14:paraId="0821A70A">
            <w:pPr>
              <w:spacing w:line="300" w:lineRule="exact"/>
              <w:jc w:val="center"/>
              <w:rPr>
                <w:rFonts w:hint="eastAsia"/>
                <w:sz w:val="24"/>
              </w:rPr>
            </w:pPr>
          </w:p>
        </w:tc>
        <w:tc>
          <w:tcPr>
            <w:tcW w:w="1559" w:type="dxa"/>
            <w:vMerge w:val="continue"/>
            <w:noWrap w:val="0"/>
            <w:vAlign w:val="center"/>
          </w:tcPr>
          <w:p w14:paraId="19F793A7">
            <w:pPr>
              <w:spacing w:line="300" w:lineRule="exact"/>
              <w:jc w:val="center"/>
              <w:rPr>
                <w:rFonts w:hint="eastAsia"/>
                <w:sz w:val="24"/>
              </w:rPr>
            </w:pPr>
          </w:p>
        </w:tc>
        <w:tc>
          <w:tcPr>
            <w:tcW w:w="1134" w:type="dxa"/>
            <w:noWrap w:val="0"/>
            <w:vAlign w:val="center"/>
          </w:tcPr>
          <w:p w14:paraId="348C1E96">
            <w:pPr>
              <w:spacing w:line="300" w:lineRule="exact"/>
              <w:jc w:val="center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总磷</w:t>
            </w:r>
          </w:p>
        </w:tc>
        <w:tc>
          <w:tcPr>
            <w:tcW w:w="1559" w:type="dxa"/>
            <w:noWrap w:val="0"/>
            <w:vAlign w:val="center"/>
          </w:tcPr>
          <w:p w14:paraId="4A7119E8">
            <w:pPr>
              <w:spacing w:line="300" w:lineRule="exact"/>
              <w:jc w:val="center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0.4</w:t>
            </w:r>
          </w:p>
        </w:tc>
        <w:tc>
          <w:tcPr>
            <w:tcW w:w="1418" w:type="dxa"/>
            <w:noWrap w:val="0"/>
            <w:vAlign w:val="center"/>
          </w:tcPr>
          <w:p w14:paraId="63518212">
            <w:pPr>
              <w:spacing w:line="300" w:lineRule="exact"/>
              <w:jc w:val="center"/>
              <w:rPr>
                <w:rFonts w:hint="default" w:eastAsia="宋体"/>
                <w:sz w:val="24"/>
                <w:lang w:val="en-US" w:eastAsia="zh-CN"/>
              </w:rPr>
            </w:pPr>
            <w:r>
              <w:rPr>
                <w:rFonts w:hint="eastAsia"/>
                <w:sz w:val="24"/>
                <w:lang w:val="en-US" w:eastAsia="zh-CN"/>
              </w:rPr>
              <w:t>0.05</w:t>
            </w:r>
          </w:p>
        </w:tc>
        <w:tc>
          <w:tcPr>
            <w:tcW w:w="4879" w:type="dxa"/>
            <w:vMerge w:val="continue"/>
            <w:noWrap w:val="0"/>
            <w:vAlign w:val="center"/>
          </w:tcPr>
          <w:p w14:paraId="4355C081">
            <w:pPr>
              <w:spacing w:line="300" w:lineRule="exact"/>
              <w:rPr>
                <w:rFonts w:hint="eastAsia"/>
                <w:sz w:val="24"/>
              </w:rPr>
            </w:pPr>
          </w:p>
        </w:tc>
        <w:tc>
          <w:tcPr>
            <w:tcW w:w="1047" w:type="dxa"/>
            <w:vMerge w:val="continue"/>
            <w:noWrap w:val="0"/>
            <w:vAlign w:val="center"/>
          </w:tcPr>
          <w:p w14:paraId="013A45F5">
            <w:pPr>
              <w:spacing w:line="420" w:lineRule="exact"/>
              <w:jc w:val="center"/>
              <w:rPr>
                <w:rFonts w:hint="eastAsia"/>
                <w:sz w:val="24"/>
              </w:rPr>
            </w:pPr>
          </w:p>
        </w:tc>
      </w:tr>
      <w:tr w14:paraId="4D8E003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9" w:hRule="atLeast"/>
          <w:jc w:val="center"/>
        </w:trPr>
        <w:tc>
          <w:tcPr>
            <w:tcW w:w="1183" w:type="dxa"/>
            <w:vMerge w:val="continue"/>
            <w:noWrap w:val="0"/>
            <w:vAlign w:val="center"/>
          </w:tcPr>
          <w:p w14:paraId="5C1A1328">
            <w:pPr>
              <w:spacing w:line="420" w:lineRule="exact"/>
              <w:jc w:val="center"/>
              <w:rPr>
                <w:rFonts w:hint="eastAsia"/>
                <w:sz w:val="24"/>
              </w:rPr>
            </w:pPr>
          </w:p>
        </w:tc>
        <w:tc>
          <w:tcPr>
            <w:tcW w:w="1559" w:type="dxa"/>
            <w:vMerge w:val="restart"/>
            <w:noWrap w:val="0"/>
            <w:vAlign w:val="center"/>
          </w:tcPr>
          <w:p w14:paraId="0F33E5F5">
            <w:pPr>
              <w:spacing w:line="300" w:lineRule="exact"/>
              <w:jc w:val="center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滏阳河</w:t>
            </w:r>
          </w:p>
        </w:tc>
        <w:tc>
          <w:tcPr>
            <w:tcW w:w="1559" w:type="dxa"/>
            <w:vMerge w:val="restart"/>
            <w:noWrap w:val="0"/>
            <w:vAlign w:val="center"/>
          </w:tcPr>
          <w:p w14:paraId="50810309">
            <w:pPr>
              <w:spacing w:line="300" w:lineRule="exact"/>
              <w:jc w:val="center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葫芦湾</w:t>
            </w:r>
          </w:p>
        </w:tc>
        <w:tc>
          <w:tcPr>
            <w:tcW w:w="1134" w:type="dxa"/>
            <w:noWrap w:val="0"/>
            <w:vAlign w:val="center"/>
          </w:tcPr>
          <w:p w14:paraId="22323FF7">
            <w:pPr>
              <w:spacing w:line="300" w:lineRule="exact"/>
              <w:jc w:val="center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COD</w:t>
            </w:r>
          </w:p>
        </w:tc>
        <w:tc>
          <w:tcPr>
            <w:tcW w:w="1559" w:type="dxa"/>
            <w:noWrap w:val="0"/>
            <w:vAlign w:val="center"/>
          </w:tcPr>
          <w:p w14:paraId="341870BA">
            <w:pPr>
              <w:spacing w:line="300" w:lineRule="exact"/>
              <w:jc w:val="center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40</w:t>
            </w:r>
          </w:p>
        </w:tc>
        <w:tc>
          <w:tcPr>
            <w:tcW w:w="1418" w:type="dxa"/>
            <w:noWrap w:val="0"/>
            <w:vAlign w:val="center"/>
          </w:tcPr>
          <w:p w14:paraId="7183AB97">
            <w:pPr>
              <w:spacing w:line="300" w:lineRule="exact"/>
              <w:jc w:val="center"/>
              <w:rPr>
                <w:rFonts w:hint="default" w:eastAsia="宋体"/>
                <w:sz w:val="24"/>
                <w:lang w:val="en-US" w:eastAsia="zh-CN"/>
              </w:rPr>
            </w:pPr>
            <w:r>
              <w:rPr>
                <w:rFonts w:hint="eastAsia"/>
                <w:sz w:val="24"/>
                <w:lang w:val="en-US" w:eastAsia="zh-CN"/>
              </w:rPr>
              <w:t>20</w:t>
            </w:r>
          </w:p>
        </w:tc>
        <w:tc>
          <w:tcPr>
            <w:tcW w:w="4879" w:type="dxa"/>
            <w:vMerge w:val="restart"/>
            <w:noWrap w:val="0"/>
            <w:vAlign w:val="center"/>
          </w:tcPr>
          <w:p w14:paraId="1BE59B11">
            <w:pPr>
              <w:spacing w:line="300" w:lineRule="exact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北鱼COD（</w:t>
            </w:r>
            <w:r>
              <w:rPr>
                <w:rFonts w:hint="eastAsia"/>
                <w:sz w:val="24"/>
                <w:lang w:val="en-US" w:eastAsia="zh-CN"/>
              </w:rPr>
              <w:t>23</w:t>
            </w:r>
            <w:r>
              <w:rPr>
                <w:rFonts w:hint="eastAsia"/>
                <w:sz w:val="24"/>
              </w:rPr>
              <w:t>）氨氮（</w:t>
            </w:r>
            <w:r>
              <w:rPr>
                <w:rFonts w:hint="eastAsia"/>
                <w:sz w:val="24"/>
                <w:lang w:val="en-US" w:eastAsia="zh-CN"/>
              </w:rPr>
              <w:t>1.37</w:t>
            </w:r>
            <w:r>
              <w:rPr>
                <w:rFonts w:hint="eastAsia"/>
                <w:sz w:val="24"/>
              </w:rPr>
              <w:t>）总磷（</w:t>
            </w:r>
            <w:r>
              <w:rPr>
                <w:rFonts w:hint="eastAsia"/>
                <w:sz w:val="24"/>
                <w:lang w:val="en-US" w:eastAsia="zh-CN"/>
              </w:rPr>
              <w:t>0.11</w:t>
            </w:r>
            <w:r>
              <w:rPr>
                <w:rFonts w:hint="eastAsia"/>
                <w:sz w:val="24"/>
              </w:rPr>
              <w:t>）</w:t>
            </w:r>
          </w:p>
          <w:p w14:paraId="167FF1F7">
            <w:pPr>
              <w:spacing w:line="300" w:lineRule="exact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耿庄桥COD（</w:t>
            </w:r>
            <w:r>
              <w:rPr>
                <w:rFonts w:hint="eastAsia"/>
                <w:sz w:val="24"/>
                <w:lang w:val="en-US" w:eastAsia="zh-CN"/>
              </w:rPr>
              <w:t>19</w:t>
            </w:r>
            <w:r>
              <w:rPr>
                <w:rFonts w:hint="eastAsia"/>
                <w:sz w:val="24"/>
              </w:rPr>
              <w:t>）氨氮（</w:t>
            </w:r>
            <w:r>
              <w:rPr>
                <w:rFonts w:hint="eastAsia"/>
                <w:sz w:val="24"/>
                <w:lang w:val="en-US" w:eastAsia="zh-CN"/>
              </w:rPr>
              <w:t>0.581</w:t>
            </w:r>
            <w:r>
              <w:rPr>
                <w:rFonts w:hint="eastAsia"/>
                <w:sz w:val="24"/>
              </w:rPr>
              <w:t>）总磷（</w:t>
            </w:r>
            <w:r>
              <w:rPr>
                <w:rFonts w:hint="eastAsia"/>
                <w:sz w:val="24"/>
                <w:lang w:val="en-US" w:eastAsia="zh-CN"/>
              </w:rPr>
              <w:t>0.06</w:t>
            </w:r>
            <w:r>
              <w:rPr>
                <w:rFonts w:hint="eastAsia"/>
                <w:sz w:val="24"/>
              </w:rPr>
              <w:t>）</w:t>
            </w:r>
          </w:p>
          <w:p w14:paraId="6AACDCEF">
            <w:pPr>
              <w:spacing w:line="300" w:lineRule="exact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老王庄COD</w:t>
            </w:r>
            <w:r>
              <w:rPr>
                <w:rFonts w:hint="eastAsia"/>
                <w:sz w:val="24"/>
                <w:lang w:val="en-US" w:eastAsia="zh-CN"/>
              </w:rPr>
              <w:t>(14</w:t>
            </w:r>
            <w:r>
              <w:rPr>
                <w:rFonts w:hint="eastAsia"/>
                <w:sz w:val="24"/>
              </w:rPr>
              <w:t>）氨氮（</w:t>
            </w:r>
            <w:r>
              <w:rPr>
                <w:rFonts w:hint="eastAsia"/>
                <w:sz w:val="24"/>
                <w:lang w:val="en-US" w:eastAsia="zh-CN"/>
              </w:rPr>
              <w:t>0.828</w:t>
            </w:r>
            <w:r>
              <w:rPr>
                <w:rFonts w:hint="eastAsia"/>
                <w:sz w:val="24"/>
              </w:rPr>
              <w:t>）总磷（</w:t>
            </w:r>
            <w:r>
              <w:rPr>
                <w:rFonts w:hint="eastAsia"/>
                <w:sz w:val="24"/>
                <w:lang w:val="en-US" w:eastAsia="zh-CN"/>
              </w:rPr>
              <w:t>0.07</w:t>
            </w:r>
            <w:r>
              <w:rPr>
                <w:rFonts w:hint="eastAsia"/>
                <w:sz w:val="24"/>
              </w:rPr>
              <w:t>）</w:t>
            </w:r>
          </w:p>
        </w:tc>
        <w:tc>
          <w:tcPr>
            <w:tcW w:w="1047" w:type="dxa"/>
            <w:vMerge w:val="continue"/>
            <w:noWrap w:val="0"/>
            <w:vAlign w:val="center"/>
          </w:tcPr>
          <w:p w14:paraId="6C1C561E">
            <w:pPr>
              <w:spacing w:line="420" w:lineRule="exact"/>
              <w:jc w:val="center"/>
              <w:rPr>
                <w:rFonts w:hint="eastAsia"/>
                <w:sz w:val="24"/>
              </w:rPr>
            </w:pPr>
          </w:p>
        </w:tc>
      </w:tr>
      <w:tr w14:paraId="67336F1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9" w:hRule="atLeast"/>
          <w:jc w:val="center"/>
        </w:trPr>
        <w:tc>
          <w:tcPr>
            <w:tcW w:w="1183" w:type="dxa"/>
            <w:vMerge w:val="continue"/>
            <w:noWrap w:val="0"/>
            <w:vAlign w:val="center"/>
          </w:tcPr>
          <w:p w14:paraId="3BD9FBAE">
            <w:pPr>
              <w:spacing w:line="420" w:lineRule="exact"/>
              <w:jc w:val="center"/>
              <w:rPr>
                <w:rFonts w:hint="eastAsia"/>
                <w:sz w:val="24"/>
              </w:rPr>
            </w:pPr>
          </w:p>
        </w:tc>
        <w:tc>
          <w:tcPr>
            <w:tcW w:w="1559" w:type="dxa"/>
            <w:vMerge w:val="continue"/>
            <w:noWrap w:val="0"/>
            <w:vAlign w:val="center"/>
          </w:tcPr>
          <w:p w14:paraId="7209BB33">
            <w:pPr>
              <w:spacing w:line="300" w:lineRule="exact"/>
              <w:jc w:val="center"/>
              <w:rPr>
                <w:rFonts w:hint="eastAsia"/>
                <w:sz w:val="24"/>
              </w:rPr>
            </w:pPr>
          </w:p>
        </w:tc>
        <w:tc>
          <w:tcPr>
            <w:tcW w:w="1559" w:type="dxa"/>
            <w:vMerge w:val="continue"/>
            <w:noWrap w:val="0"/>
            <w:vAlign w:val="center"/>
          </w:tcPr>
          <w:p w14:paraId="56DD55C9">
            <w:pPr>
              <w:spacing w:line="300" w:lineRule="exact"/>
              <w:jc w:val="center"/>
              <w:rPr>
                <w:rFonts w:hint="eastAsia"/>
                <w:sz w:val="24"/>
              </w:rPr>
            </w:pPr>
          </w:p>
        </w:tc>
        <w:tc>
          <w:tcPr>
            <w:tcW w:w="1134" w:type="dxa"/>
            <w:noWrap w:val="0"/>
            <w:vAlign w:val="center"/>
          </w:tcPr>
          <w:p w14:paraId="4ADC8212">
            <w:pPr>
              <w:spacing w:line="300" w:lineRule="exact"/>
              <w:jc w:val="center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氨氮</w:t>
            </w:r>
          </w:p>
        </w:tc>
        <w:tc>
          <w:tcPr>
            <w:tcW w:w="1559" w:type="dxa"/>
            <w:noWrap w:val="0"/>
            <w:vAlign w:val="center"/>
          </w:tcPr>
          <w:p w14:paraId="225220AD">
            <w:pPr>
              <w:spacing w:line="300" w:lineRule="exact"/>
              <w:jc w:val="center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2.0</w:t>
            </w:r>
          </w:p>
        </w:tc>
        <w:tc>
          <w:tcPr>
            <w:tcW w:w="1418" w:type="dxa"/>
            <w:noWrap w:val="0"/>
            <w:vAlign w:val="center"/>
          </w:tcPr>
          <w:p w14:paraId="1C07F474">
            <w:pPr>
              <w:spacing w:line="300" w:lineRule="exact"/>
              <w:ind w:firstLine="480" w:firstLineChars="200"/>
              <w:jc w:val="both"/>
              <w:rPr>
                <w:rFonts w:hint="default" w:eastAsia="宋体"/>
                <w:sz w:val="24"/>
                <w:lang w:val="en-US" w:eastAsia="zh-CN"/>
              </w:rPr>
            </w:pPr>
            <w:r>
              <w:rPr>
                <w:rFonts w:hint="eastAsia"/>
                <w:sz w:val="24"/>
                <w:lang w:val="en-US" w:eastAsia="zh-CN"/>
              </w:rPr>
              <w:t>0.512</w:t>
            </w:r>
          </w:p>
        </w:tc>
        <w:tc>
          <w:tcPr>
            <w:tcW w:w="4879" w:type="dxa"/>
            <w:vMerge w:val="continue"/>
            <w:noWrap w:val="0"/>
            <w:vAlign w:val="center"/>
          </w:tcPr>
          <w:p w14:paraId="1A981230">
            <w:pPr>
              <w:spacing w:line="300" w:lineRule="exact"/>
              <w:rPr>
                <w:rFonts w:hint="eastAsia"/>
                <w:sz w:val="24"/>
              </w:rPr>
            </w:pPr>
          </w:p>
        </w:tc>
        <w:tc>
          <w:tcPr>
            <w:tcW w:w="1047" w:type="dxa"/>
            <w:vMerge w:val="continue"/>
            <w:noWrap w:val="0"/>
            <w:vAlign w:val="center"/>
          </w:tcPr>
          <w:p w14:paraId="66BF0DB3">
            <w:pPr>
              <w:spacing w:line="420" w:lineRule="exact"/>
              <w:jc w:val="center"/>
              <w:rPr>
                <w:rFonts w:hint="eastAsia"/>
                <w:sz w:val="24"/>
              </w:rPr>
            </w:pPr>
          </w:p>
        </w:tc>
      </w:tr>
      <w:tr w14:paraId="6F14B92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9" w:hRule="atLeast"/>
          <w:jc w:val="center"/>
        </w:trPr>
        <w:tc>
          <w:tcPr>
            <w:tcW w:w="1183" w:type="dxa"/>
            <w:vMerge w:val="continue"/>
            <w:noWrap w:val="0"/>
            <w:vAlign w:val="center"/>
          </w:tcPr>
          <w:p w14:paraId="05C88160">
            <w:pPr>
              <w:spacing w:line="4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  <w:lang w:eastAsia="zh-CN"/>
              </w:rPr>
              <w:t>X0</w:t>
            </w:r>
            <w:r>
              <w:rPr>
                <w:rFonts w:hint="eastAsia"/>
                <w:sz w:val="24"/>
                <w:lang w:val="en-US" w:eastAsia="zh-CN"/>
              </w:rPr>
              <w:t>.280</w:t>
            </w:r>
            <w:r>
              <w:rPr>
                <w:rFonts w:hint="eastAsia"/>
                <w:sz w:val="24"/>
              </w:rPr>
              <w:t>0.34</w:t>
            </w:r>
          </w:p>
        </w:tc>
        <w:tc>
          <w:tcPr>
            <w:tcW w:w="1559" w:type="dxa"/>
            <w:vMerge w:val="continue"/>
            <w:noWrap w:val="0"/>
            <w:vAlign w:val="center"/>
          </w:tcPr>
          <w:p w14:paraId="4EB2F9ED">
            <w:pPr>
              <w:spacing w:line="300" w:lineRule="exact"/>
              <w:jc w:val="center"/>
              <w:rPr>
                <w:rFonts w:hint="eastAsia"/>
                <w:sz w:val="24"/>
              </w:rPr>
            </w:pPr>
          </w:p>
        </w:tc>
        <w:tc>
          <w:tcPr>
            <w:tcW w:w="1559" w:type="dxa"/>
            <w:vMerge w:val="continue"/>
            <w:noWrap w:val="0"/>
            <w:vAlign w:val="center"/>
          </w:tcPr>
          <w:p w14:paraId="7AF04C1F">
            <w:pPr>
              <w:spacing w:line="300" w:lineRule="exact"/>
              <w:jc w:val="center"/>
              <w:rPr>
                <w:rFonts w:hint="eastAsia"/>
                <w:sz w:val="24"/>
              </w:rPr>
            </w:pPr>
          </w:p>
        </w:tc>
        <w:tc>
          <w:tcPr>
            <w:tcW w:w="1134" w:type="dxa"/>
            <w:noWrap w:val="0"/>
            <w:vAlign w:val="center"/>
          </w:tcPr>
          <w:p w14:paraId="3ADA8DB0">
            <w:pPr>
              <w:spacing w:line="300" w:lineRule="exact"/>
              <w:jc w:val="center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总磷</w:t>
            </w:r>
          </w:p>
        </w:tc>
        <w:tc>
          <w:tcPr>
            <w:tcW w:w="1559" w:type="dxa"/>
            <w:noWrap w:val="0"/>
            <w:vAlign w:val="center"/>
          </w:tcPr>
          <w:p w14:paraId="0F654686">
            <w:pPr>
              <w:spacing w:line="300" w:lineRule="exact"/>
              <w:jc w:val="center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0.4</w:t>
            </w:r>
          </w:p>
        </w:tc>
        <w:tc>
          <w:tcPr>
            <w:tcW w:w="1418" w:type="dxa"/>
            <w:noWrap w:val="0"/>
            <w:vAlign w:val="center"/>
          </w:tcPr>
          <w:p w14:paraId="571948F4">
            <w:pPr>
              <w:spacing w:line="300" w:lineRule="exact"/>
              <w:jc w:val="center"/>
              <w:rPr>
                <w:rFonts w:hint="default" w:eastAsia="宋体"/>
                <w:sz w:val="24"/>
                <w:lang w:val="en-US" w:eastAsia="zh-CN"/>
              </w:rPr>
            </w:pPr>
            <w:r>
              <w:rPr>
                <w:rFonts w:hint="eastAsia"/>
                <w:sz w:val="24"/>
                <w:lang w:val="en-US" w:eastAsia="zh-CN"/>
              </w:rPr>
              <w:t>0.11</w:t>
            </w:r>
          </w:p>
        </w:tc>
        <w:tc>
          <w:tcPr>
            <w:tcW w:w="4879" w:type="dxa"/>
            <w:vMerge w:val="continue"/>
            <w:noWrap w:val="0"/>
            <w:vAlign w:val="center"/>
          </w:tcPr>
          <w:p w14:paraId="29036CB4">
            <w:pPr>
              <w:spacing w:line="300" w:lineRule="exact"/>
              <w:rPr>
                <w:rFonts w:hint="eastAsia"/>
                <w:sz w:val="24"/>
              </w:rPr>
            </w:pPr>
          </w:p>
        </w:tc>
        <w:tc>
          <w:tcPr>
            <w:tcW w:w="1047" w:type="dxa"/>
            <w:vMerge w:val="continue"/>
            <w:noWrap w:val="0"/>
            <w:vAlign w:val="center"/>
          </w:tcPr>
          <w:p w14:paraId="11447EC1">
            <w:pPr>
              <w:spacing w:line="420" w:lineRule="exact"/>
              <w:jc w:val="center"/>
              <w:rPr>
                <w:rFonts w:hint="eastAsia"/>
                <w:sz w:val="24"/>
              </w:rPr>
            </w:pPr>
          </w:p>
        </w:tc>
      </w:tr>
      <w:tr w14:paraId="2C00683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9" w:hRule="atLeast"/>
          <w:jc w:val="center"/>
        </w:trPr>
        <w:tc>
          <w:tcPr>
            <w:tcW w:w="1183" w:type="dxa"/>
            <w:vMerge w:val="continue"/>
            <w:noWrap w:val="0"/>
            <w:vAlign w:val="center"/>
          </w:tcPr>
          <w:p w14:paraId="3272BFB9">
            <w:pPr>
              <w:spacing w:line="420" w:lineRule="exact"/>
              <w:jc w:val="center"/>
              <w:rPr>
                <w:rFonts w:hint="eastAsia"/>
                <w:sz w:val="24"/>
              </w:rPr>
            </w:pPr>
          </w:p>
        </w:tc>
        <w:tc>
          <w:tcPr>
            <w:tcW w:w="1559" w:type="dxa"/>
            <w:vMerge w:val="restart"/>
            <w:noWrap w:val="0"/>
            <w:vAlign w:val="center"/>
          </w:tcPr>
          <w:p w14:paraId="2BB99319">
            <w:pPr>
              <w:spacing w:line="300" w:lineRule="exact"/>
              <w:jc w:val="center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滏阳新河</w:t>
            </w:r>
          </w:p>
        </w:tc>
        <w:tc>
          <w:tcPr>
            <w:tcW w:w="1559" w:type="dxa"/>
            <w:vMerge w:val="restart"/>
            <w:noWrap w:val="0"/>
            <w:vAlign w:val="center"/>
          </w:tcPr>
          <w:p w14:paraId="40B7A763">
            <w:pPr>
              <w:spacing w:line="300" w:lineRule="exact"/>
              <w:jc w:val="center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毕家庄</w:t>
            </w:r>
          </w:p>
        </w:tc>
        <w:tc>
          <w:tcPr>
            <w:tcW w:w="1134" w:type="dxa"/>
            <w:noWrap w:val="0"/>
            <w:vAlign w:val="center"/>
          </w:tcPr>
          <w:p w14:paraId="4BABBDCC">
            <w:pPr>
              <w:spacing w:line="300" w:lineRule="exact"/>
              <w:jc w:val="center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COD</w:t>
            </w:r>
          </w:p>
        </w:tc>
        <w:tc>
          <w:tcPr>
            <w:tcW w:w="1559" w:type="dxa"/>
            <w:noWrap w:val="0"/>
            <w:vAlign w:val="center"/>
          </w:tcPr>
          <w:p w14:paraId="376D5470">
            <w:pPr>
              <w:spacing w:line="300" w:lineRule="exact"/>
              <w:jc w:val="center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40</w:t>
            </w:r>
          </w:p>
        </w:tc>
        <w:tc>
          <w:tcPr>
            <w:tcW w:w="1418" w:type="dxa"/>
            <w:noWrap w:val="0"/>
            <w:vAlign w:val="center"/>
          </w:tcPr>
          <w:p w14:paraId="37AAD3D8">
            <w:pPr>
              <w:spacing w:line="300" w:lineRule="exact"/>
              <w:jc w:val="center"/>
              <w:rPr>
                <w:rFonts w:hint="default" w:eastAsia="宋体"/>
                <w:sz w:val="24"/>
                <w:lang w:val="en-US" w:eastAsia="zh-CN"/>
              </w:rPr>
            </w:pPr>
            <w:r>
              <w:rPr>
                <w:rFonts w:hint="eastAsia"/>
                <w:sz w:val="24"/>
                <w:lang w:val="en-US" w:eastAsia="zh-CN"/>
              </w:rPr>
              <w:t>17</w:t>
            </w:r>
          </w:p>
        </w:tc>
        <w:tc>
          <w:tcPr>
            <w:tcW w:w="4879" w:type="dxa"/>
            <w:vMerge w:val="restart"/>
            <w:noWrap w:val="0"/>
            <w:vAlign w:val="center"/>
          </w:tcPr>
          <w:p w14:paraId="6EE498CB">
            <w:pPr>
              <w:spacing w:line="300" w:lineRule="exact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北鱼COD（</w:t>
            </w:r>
            <w:r>
              <w:rPr>
                <w:rFonts w:hint="eastAsia"/>
                <w:sz w:val="24"/>
                <w:lang w:val="en-US" w:eastAsia="zh-CN"/>
              </w:rPr>
              <w:t>23</w:t>
            </w:r>
            <w:r>
              <w:rPr>
                <w:rFonts w:hint="eastAsia"/>
                <w:sz w:val="24"/>
              </w:rPr>
              <w:t>）氨氮（</w:t>
            </w:r>
            <w:r>
              <w:rPr>
                <w:rFonts w:hint="eastAsia"/>
                <w:sz w:val="24"/>
                <w:lang w:val="en-US" w:eastAsia="zh-CN"/>
              </w:rPr>
              <w:t>1.37</w:t>
            </w:r>
            <w:r>
              <w:rPr>
                <w:rFonts w:hint="eastAsia"/>
                <w:sz w:val="24"/>
              </w:rPr>
              <w:t>）总磷（</w:t>
            </w:r>
            <w:r>
              <w:rPr>
                <w:rFonts w:hint="eastAsia"/>
                <w:sz w:val="24"/>
                <w:lang w:val="en-US" w:eastAsia="zh-CN"/>
              </w:rPr>
              <w:t>0.11</w:t>
            </w:r>
            <w:r>
              <w:rPr>
                <w:rFonts w:hint="eastAsia"/>
                <w:sz w:val="24"/>
              </w:rPr>
              <w:t>）</w:t>
            </w:r>
          </w:p>
          <w:p w14:paraId="195C53D2">
            <w:pPr>
              <w:spacing w:line="300" w:lineRule="exact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耿庄桥COD（</w:t>
            </w:r>
            <w:r>
              <w:rPr>
                <w:rFonts w:hint="eastAsia"/>
                <w:sz w:val="24"/>
                <w:lang w:val="en-US" w:eastAsia="zh-CN"/>
              </w:rPr>
              <w:t>19</w:t>
            </w:r>
            <w:r>
              <w:rPr>
                <w:rFonts w:hint="eastAsia"/>
                <w:sz w:val="24"/>
              </w:rPr>
              <w:t>）氨氮（</w:t>
            </w:r>
            <w:r>
              <w:rPr>
                <w:rFonts w:hint="eastAsia"/>
                <w:sz w:val="24"/>
                <w:lang w:val="en-US" w:eastAsia="zh-CN"/>
              </w:rPr>
              <w:t>0.581</w:t>
            </w:r>
            <w:r>
              <w:rPr>
                <w:rFonts w:hint="eastAsia"/>
                <w:sz w:val="24"/>
              </w:rPr>
              <w:t>）总磷（</w:t>
            </w:r>
            <w:r>
              <w:rPr>
                <w:rFonts w:hint="eastAsia"/>
                <w:sz w:val="24"/>
                <w:lang w:val="en-US" w:eastAsia="zh-CN"/>
              </w:rPr>
              <w:t>0.06</w:t>
            </w:r>
            <w:r>
              <w:rPr>
                <w:rFonts w:hint="eastAsia"/>
                <w:sz w:val="24"/>
              </w:rPr>
              <w:t>）</w:t>
            </w:r>
          </w:p>
          <w:p w14:paraId="71AF3C1A">
            <w:pPr>
              <w:spacing w:line="300" w:lineRule="exact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老王庄COD</w:t>
            </w:r>
            <w:r>
              <w:rPr>
                <w:rFonts w:hint="eastAsia"/>
                <w:sz w:val="24"/>
                <w:lang w:val="en-US" w:eastAsia="zh-CN"/>
              </w:rPr>
              <w:t>(14</w:t>
            </w:r>
            <w:r>
              <w:rPr>
                <w:rFonts w:hint="eastAsia"/>
                <w:sz w:val="24"/>
              </w:rPr>
              <w:t>）氨氮（</w:t>
            </w:r>
            <w:r>
              <w:rPr>
                <w:rFonts w:hint="eastAsia"/>
                <w:sz w:val="24"/>
                <w:lang w:val="en-US" w:eastAsia="zh-CN"/>
              </w:rPr>
              <w:t>0.828</w:t>
            </w:r>
            <w:r>
              <w:rPr>
                <w:rFonts w:hint="eastAsia"/>
                <w:sz w:val="24"/>
              </w:rPr>
              <w:t>）总磷（</w:t>
            </w:r>
            <w:r>
              <w:rPr>
                <w:rFonts w:hint="eastAsia"/>
                <w:sz w:val="24"/>
                <w:lang w:val="en-US" w:eastAsia="zh-CN"/>
              </w:rPr>
              <w:t>0.07</w:t>
            </w:r>
            <w:r>
              <w:rPr>
                <w:rFonts w:hint="eastAsia"/>
                <w:sz w:val="24"/>
              </w:rPr>
              <w:t>）</w:t>
            </w:r>
            <w:bookmarkStart w:id="0" w:name="_GoBack"/>
            <w:bookmarkEnd w:id="0"/>
          </w:p>
        </w:tc>
        <w:tc>
          <w:tcPr>
            <w:tcW w:w="1047" w:type="dxa"/>
            <w:vMerge w:val="continue"/>
            <w:noWrap w:val="0"/>
            <w:vAlign w:val="center"/>
          </w:tcPr>
          <w:p w14:paraId="56DA90B6">
            <w:pPr>
              <w:spacing w:line="420" w:lineRule="exact"/>
              <w:jc w:val="center"/>
              <w:rPr>
                <w:rFonts w:hint="eastAsia"/>
                <w:sz w:val="24"/>
              </w:rPr>
            </w:pPr>
          </w:p>
        </w:tc>
      </w:tr>
      <w:tr w14:paraId="2927259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9" w:hRule="atLeast"/>
          <w:jc w:val="center"/>
        </w:trPr>
        <w:tc>
          <w:tcPr>
            <w:tcW w:w="1183" w:type="dxa"/>
            <w:vMerge w:val="continue"/>
            <w:noWrap w:val="0"/>
            <w:vAlign w:val="center"/>
          </w:tcPr>
          <w:p w14:paraId="34848CC7">
            <w:pPr>
              <w:spacing w:line="420" w:lineRule="exact"/>
              <w:jc w:val="center"/>
              <w:rPr>
                <w:rFonts w:hint="eastAsia"/>
                <w:sz w:val="24"/>
              </w:rPr>
            </w:pPr>
          </w:p>
        </w:tc>
        <w:tc>
          <w:tcPr>
            <w:tcW w:w="1559" w:type="dxa"/>
            <w:vMerge w:val="continue"/>
            <w:noWrap w:val="0"/>
            <w:vAlign w:val="center"/>
          </w:tcPr>
          <w:p w14:paraId="1B1C10F4">
            <w:pPr>
              <w:spacing w:line="300" w:lineRule="exact"/>
              <w:jc w:val="center"/>
              <w:rPr>
                <w:rFonts w:hint="eastAsia"/>
                <w:sz w:val="24"/>
              </w:rPr>
            </w:pPr>
          </w:p>
        </w:tc>
        <w:tc>
          <w:tcPr>
            <w:tcW w:w="1559" w:type="dxa"/>
            <w:vMerge w:val="continue"/>
            <w:noWrap w:val="0"/>
            <w:vAlign w:val="center"/>
          </w:tcPr>
          <w:p w14:paraId="1BBA096B">
            <w:pPr>
              <w:spacing w:line="300" w:lineRule="exact"/>
              <w:jc w:val="center"/>
              <w:rPr>
                <w:rFonts w:hint="eastAsia"/>
                <w:sz w:val="24"/>
              </w:rPr>
            </w:pPr>
          </w:p>
        </w:tc>
        <w:tc>
          <w:tcPr>
            <w:tcW w:w="1134" w:type="dxa"/>
            <w:noWrap w:val="0"/>
            <w:vAlign w:val="center"/>
          </w:tcPr>
          <w:p w14:paraId="7578616C">
            <w:pPr>
              <w:spacing w:line="420" w:lineRule="exact"/>
              <w:jc w:val="center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氨氮</w:t>
            </w:r>
          </w:p>
        </w:tc>
        <w:tc>
          <w:tcPr>
            <w:tcW w:w="1559" w:type="dxa"/>
            <w:noWrap w:val="0"/>
            <w:vAlign w:val="center"/>
          </w:tcPr>
          <w:p w14:paraId="55549156">
            <w:pPr>
              <w:spacing w:line="300" w:lineRule="exact"/>
              <w:jc w:val="center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2.0</w:t>
            </w:r>
          </w:p>
        </w:tc>
        <w:tc>
          <w:tcPr>
            <w:tcW w:w="1418" w:type="dxa"/>
            <w:noWrap w:val="0"/>
            <w:vAlign w:val="center"/>
          </w:tcPr>
          <w:p w14:paraId="760BE128">
            <w:pPr>
              <w:spacing w:line="300" w:lineRule="exact"/>
              <w:ind w:firstLine="480" w:firstLineChars="200"/>
              <w:jc w:val="both"/>
              <w:rPr>
                <w:rFonts w:hint="default" w:eastAsia="宋体"/>
                <w:sz w:val="24"/>
                <w:lang w:val="en-US" w:eastAsia="zh-CN"/>
              </w:rPr>
            </w:pPr>
            <w:r>
              <w:rPr>
                <w:rFonts w:hint="eastAsia"/>
                <w:sz w:val="24"/>
                <w:lang w:val="en-US" w:eastAsia="zh-CN"/>
              </w:rPr>
              <w:t>1.11</w:t>
            </w:r>
          </w:p>
        </w:tc>
        <w:tc>
          <w:tcPr>
            <w:tcW w:w="4879" w:type="dxa"/>
            <w:vMerge w:val="continue"/>
            <w:noWrap w:val="0"/>
            <w:vAlign w:val="center"/>
          </w:tcPr>
          <w:p w14:paraId="566FA25D">
            <w:pPr>
              <w:spacing w:line="300" w:lineRule="exact"/>
              <w:rPr>
                <w:rFonts w:hint="eastAsia"/>
                <w:sz w:val="24"/>
              </w:rPr>
            </w:pPr>
          </w:p>
        </w:tc>
        <w:tc>
          <w:tcPr>
            <w:tcW w:w="1047" w:type="dxa"/>
            <w:vMerge w:val="continue"/>
            <w:noWrap w:val="0"/>
            <w:vAlign w:val="center"/>
          </w:tcPr>
          <w:p w14:paraId="04EF0C4D">
            <w:pPr>
              <w:spacing w:line="420" w:lineRule="exact"/>
              <w:jc w:val="center"/>
              <w:rPr>
                <w:rFonts w:hint="eastAsia"/>
                <w:sz w:val="24"/>
              </w:rPr>
            </w:pPr>
          </w:p>
        </w:tc>
      </w:tr>
      <w:tr w14:paraId="3B25891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9" w:hRule="atLeast"/>
          <w:jc w:val="center"/>
        </w:trPr>
        <w:tc>
          <w:tcPr>
            <w:tcW w:w="1183" w:type="dxa"/>
            <w:vMerge w:val="continue"/>
            <w:noWrap w:val="0"/>
            <w:vAlign w:val="center"/>
          </w:tcPr>
          <w:p w14:paraId="0FFE7D49">
            <w:pPr>
              <w:spacing w:line="4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  <w:lang w:eastAsia="zh-CN"/>
              </w:rPr>
              <w:t>0</w:t>
            </w:r>
            <w:r>
              <w:rPr>
                <w:rFonts w:hint="eastAsia"/>
                <w:sz w:val="24"/>
                <w:lang w:val="en-US" w:eastAsia="zh-CN"/>
              </w:rPr>
              <w:t>.320</w:t>
            </w:r>
            <w:r>
              <w:rPr>
                <w:rFonts w:hint="eastAsia"/>
                <w:sz w:val="24"/>
              </w:rPr>
              <w:t>0</w:t>
            </w:r>
          </w:p>
        </w:tc>
        <w:tc>
          <w:tcPr>
            <w:tcW w:w="1559" w:type="dxa"/>
            <w:vMerge w:val="continue"/>
            <w:noWrap w:val="0"/>
            <w:vAlign w:val="center"/>
          </w:tcPr>
          <w:p w14:paraId="4C833E3E">
            <w:pPr>
              <w:spacing w:line="420" w:lineRule="exact"/>
              <w:jc w:val="center"/>
              <w:rPr>
                <w:rFonts w:hint="eastAsia"/>
                <w:sz w:val="24"/>
              </w:rPr>
            </w:pPr>
          </w:p>
        </w:tc>
        <w:tc>
          <w:tcPr>
            <w:tcW w:w="1559" w:type="dxa"/>
            <w:vMerge w:val="continue"/>
            <w:noWrap w:val="0"/>
            <w:vAlign w:val="center"/>
          </w:tcPr>
          <w:p w14:paraId="7437D779">
            <w:pPr>
              <w:spacing w:line="420" w:lineRule="exact"/>
              <w:jc w:val="center"/>
              <w:rPr>
                <w:rFonts w:hint="eastAsia"/>
                <w:sz w:val="24"/>
              </w:rPr>
            </w:pPr>
          </w:p>
        </w:tc>
        <w:tc>
          <w:tcPr>
            <w:tcW w:w="1134" w:type="dxa"/>
            <w:noWrap w:val="0"/>
            <w:vAlign w:val="center"/>
          </w:tcPr>
          <w:p w14:paraId="1F585D56">
            <w:pPr>
              <w:spacing w:line="420" w:lineRule="exact"/>
              <w:jc w:val="center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总磷</w:t>
            </w:r>
          </w:p>
        </w:tc>
        <w:tc>
          <w:tcPr>
            <w:tcW w:w="1559" w:type="dxa"/>
            <w:noWrap w:val="0"/>
            <w:vAlign w:val="center"/>
          </w:tcPr>
          <w:p w14:paraId="637AF4C4">
            <w:pPr>
              <w:spacing w:line="300" w:lineRule="exact"/>
              <w:jc w:val="center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0.4</w:t>
            </w:r>
          </w:p>
        </w:tc>
        <w:tc>
          <w:tcPr>
            <w:tcW w:w="1418" w:type="dxa"/>
            <w:noWrap w:val="0"/>
            <w:vAlign w:val="center"/>
          </w:tcPr>
          <w:p w14:paraId="56F3C691">
            <w:pPr>
              <w:spacing w:line="300" w:lineRule="exact"/>
              <w:jc w:val="center"/>
              <w:rPr>
                <w:rFonts w:hint="default" w:eastAsia="宋体"/>
                <w:sz w:val="24"/>
                <w:lang w:val="en-US" w:eastAsia="zh-CN"/>
              </w:rPr>
            </w:pPr>
            <w:r>
              <w:rPr>
                <w:rFonts w:hint="eastAsia"/>
                <w:sz w:val="24"/>
                <w:lang w:val="en-US" w:eastAsia="zh-CN"/>
              </w:rPr>
              <w:t>0.07</w:t>
            </w:r>
          </w:p>
        </w:tc>
        <w:tc>
          <w:tcPr>
            <w:tcW w:w="4879" w:type="dxa"/>
            <w:vMerge w:val="continue"/>
            <w:noWrap w:val="0"/>
            <w:vAlign w:val="center"/>
          </w:tcPr>
          <w:p w14:paraId="025148C6">
            <w:pPr>
              <w:spacing w:line="420" w:lineRule="exact"/>
              <w:ind w:firstLine="240" w:firstLineChars="100"/>
              <w:rPr>
                <w:rFonts w:hint="eastAsia"/>
                <w:sz w:val="24"/>
              </w:rPr>
            </w:pPr>
          </w:p>
        </w:tc>
        <w:tc>
          <w:tcPr>
            <w:tcW w:w="1047" w:type="dxa"/>
            <w:vMerge w:val="continue"/>
            <w:noWrap w:val="0"/>
            <w:vAlign w:val="center"/>
          </w:tcPr>
          <w:p w14:paraId="6E7B9F51">
            <w:pPr>
              <w:spacing w:line="420" w:lineRule="exact"/>
              <w:jc w:val="center"/>
              <w:rPr>
                <w:rFonts w:hint="eastAsia"/>
                <w:sz w:val="24"/>
              </w:rPr>
            </w:pPr>
          </w:p>
        </w:tc>
      </w:tr>
    </w:tbl>
    <w:p w14:paraId="7C0AEB07"/>
    <w:p w14:paraId="4E8CF689"/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3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jNlYTdkZGE0YzYwZTQyMmY4OGQxOTcwZWFiNTU0ZGEifQ=="/>
  </w:docVars>
  <w:rsids>
    <w:rsidRoot w:val="00000000"/>
    <w:rsid w:val="00C465A1"/>
    <w:rsid w:val="01032B25"/>
    <w:rsid w:val="04A50A77"/>
    <w:rsid w:val="05CF24A3"/>
    <w:rsid w:val="07AD261F"/>
    <w:rsid w:val="0E6D5DED"/>
    <w:rsid w:val="0EF37819"/>
    <w:rsid w:val="10083694"/>
    <w:rsid w:val="11C9271B"/>
    <w:rsid w:val="17422EC4"/>
    <w:rsid w:val="17F100EA"/>
    <w:rsid w:val="17F4338A"/>
    <w:rsid w:val="1D1F7982"/>
    <w:rsid w:val="1D6B1AC9"/>
    <w:rsid w:val="1F8F630C"/>
    <w:rsid w:val="2CAF71FC"/>
    <w:rsid w:val="2D2B1BEC"/>
    <w:rsid w:val="2D443928"/>
    <w:rsid w:val="307A1DAF"/>
    <w:rsid w:val="315371A8"/>
    <w:rsid w:val="33340726"/>
    <w:rsid w:val="42EC232E"/>
    <w:rsid w:val="44144333"/>
    <w:rsid w:val="451C2596"/>
    <w:rsid w:val="475D475C"/>
    <w:rsid w:val="4C9B1E33"/>
    <w:rsid w:val="50EF0C2D"/>
    <w:rsid w:val="53300C88"/>
    <w:rsid w:val="59346402"/>
    <w:rsid w:val="59EB440D"/>
    <w:rsid w:val="5B637C3E"/>
    <w:rsid w:val="5D16053D"/>
    <w:rsid w:val="5E761F39"/>
    <w:rsid w:val="5FB932E9"/>
    <w:rsid w:val="6192117F"/>
    <w:rsid w:val="678C3E76"/>
    <w:rsid w:val="6A2D4080"/>
    <w:rsid w:val="6D272138"/>
    <w:rsid w:val="6E026CA1"/>
    <w:rsid w:val="6EAD7BC3"/>
    <w:rsid w:val="6ECB5151"/>
    <w:rsid w:val="713C600D"/>
    <w:rsid w:val="72781FB2"/>
    <w:rsid w:val="77B15D9C"/>
    <w:rsid w:val="78297D2A"/>
    <w:rsid w:val="787B16E5"/>
    <w:rsid w:val="791A7D44"/>
    <w:rsid w:val="7A54211F"/>
    <w:rsid w:val="7A8E1CFC"/>
    <w:rsid w:val="7BC67CBA"/>
    <w:rsid w:val="7DF3217C"/>
    <w:rsid w:val="7E9F15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282</Words>
  <Characters>427</Characters>
  <Lines>0</Lines>
  <Paragraphs>0</Paragraphs>
  <TotalTime>11</TotalTime>
  <ScaleCrop>false</ScaleCrop>
  <LinksUpToDate>false</LinksUpToDate>
  <CharactersWithSpaces>427</CharactersWithSpaces>
  <Application>WPS Office_12.1.0.24657_F1E327BC-269C-435d-A152-05C5408002CA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Administrator</dc:creator>
  <cp:lastModifiedBy>Eʟɪᴀᴜᴋ</cp:lastModifiedBy>
  <cp:lastPrinted>2020-11-05T01:36:00Z</cp:lastPrinted>
  <dcterms:modified xsi:type="dcterms:W3CDTF">2026-02-28T08:06:13Z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2052-12.1.0.24657</vt:lpwstr>
  </property>
  <property fmtid="{D5CDD505-2E9C-101B-9397-08002B2CF9AE}" pid="3" name="ICV">
    <vt:lpwstr>D1F4BD2C970043DC8ADE4593BA79D9F1</vt:lpwstr>
  </property>
  <property fmtid="{D5CDD505-2E9C-101B-9397-08002B2CF9AE}" pid="4" name="KSOTemplateDocerSaveRecord">
    <vt:lpwstr>eyJoZGlkIjoiMjNlYTdkZGE0YzYwZTQyMmY4OGQxOTcwZWFiNTU0ZGEiLCJ1c2VySWQiOiIxMDYwNjQwODI0In0=</vt:lpwstr>
  </property>
</Properties>
</file>