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560385">
      <w:pPr>
        <w:bidi w:val="0"/>
      </w:pPr>
    </w:p>
    <w:p w14:paraId="10ED03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eastAsia="zh-CN"/>
        </w:rPr>
      </w:pPr>
    </w:p>
    <w:p w14:paraId="00FD14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eastAsia="zh-CN"/>
        </w:rPr>
      </w:pPr>
    </w:p>
    <w:p w14:paraId="3C7BE5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eastAsia="zh-CN"/>
        </w:rPr>
      </w:pPr>
    </w:p>
    <w:p w14:paraId="3C35CF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宁晋县抗震减灾专项规划</w:t>
      </w:r>
    </w:p>
    <w:p w14:paraId="4070FE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（2024-2035年）</w:t>
      </w:r>
    </w:p>
    <w:p w14:paraId="79F40B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公示稿</w:t>
      </w:r>
    </w:p>
    <w:p w14:paraId="5D3ED4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34DDE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65473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785D0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007F88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7B9C03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0B04AE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39E26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6F0221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03CF42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1AA45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44"/>
          <w:szCs w:val="44"/>
          <w:lang w:val="en-US" w:eastAsia="zh-CN"/>
        </w:rPr>
      </w:pPr>
    </w:p>
    <w:p w14:paraId="6A60E1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宁晋县应急管理局</w:t>
      </w:r>
    </w:p>
    <w:p w14:paraId="6346FE7E">
      <w:pPr>
        <w:bidi w:val="0"/>
        <w:jc w:val="center"/>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2025年01月</w:t>
      </w:r>
    </w:p>
    <w:p w14:paraId="6E1B3745">
      <w:pPr>
        <w:bidi w:val="0"/>
        <w:jc w:val="center"/>
        <w:rPr>
          <w:lang w:val="en-US" w:eastAsia="zh-CN"/>
        </w:rPr>
        <w:sectPr>
          <w:headerReference r:id="rId5" w:type="default"/>
          <w:pgSz w:w="11906" w:h="16838"/>
          <w:pgMar w:top="1440" w:right="1800" w:bottom="1440" w:left="1800" w:header="851" w:footer="992" w:gutter="0"/>
          <w:pgNumType w:fmt="upperRoman"/>
          <w:cols w:space="425" w:num="1"/>
          <w:docGrid w:type="lines" w:linePitch="312" w:charSpace="0"/>
        </w:sectPr>
      </w:pPr>
    </w:p>
    <w:sdt>
      <w:sdtPr>
        <w:rPr>
          <w:lang w:val="en-US" w:eastAsia="zh-CN"/>
        </w:rPr>
        <w:id w:val="147451959"/>
        <w15:color w:val="DBDBDB"/>
        <w:docPartObj>
          <w:docPartGallery w:val="Table of Contents"/>
          <w:docPartUnique/>
        </w:docPartObj>
      </w:sdtPr>
      <w:sdtEndPr>
        <w:rPr>
          <w:rFonts w:ascii="宋体" w:hAnsi="宋体" w:eastAsia="宋体" w:cstheme="minorBidi"/>
          <w:b/>
          <w:kern w:val="2"/>
          <w:sz w:val="21"/>
          <w:szCs w:val="22"/>
          <w:lang w:val="en-US" w:eastAsia="zh-CN" w:bidi="ar-SA"/>
        </w:rPr>
      </w:sdtEndPr>
      <w:sdtContent>
        <w:p w14:paraId="2A922FEB">
          <w:pPr>
            <w:bidi w:val="0"/>
            <w:jc w:val="center"/>
          </w:pPr>
          <w:r>
            <w:t>目录</w:t>
          </w:r>
        </w:p>
        <w:p w14:paraId="2AD67474">
          <w:pPr>
            <w:pStyle w:val="17"/>
            <w:tabs>
              <w:tab w:val="right" w:leader="dot" w:pos="8306"/>
              <w:tab w:val="clear" w:pos="8296"/>
            </w:tabs>
          </w:pPr>
          <w:r>
            <w:fldChar w:fldCharType="begin"/>
          </w:r>
          <w:r>
            <w:instrText xml:space="preserve">TOC \o "1-2" \h \u </w:instrText>
          </w:r>
          <w:r>
            <w:fldChar w:fldCharType="separate"/>
          </w:r>
          <w:r>
            <w:fldChar w:fldCharType="begin"/>
          </w:r>
          <w:r>
            <w:instrText xml:space="preserve"> HYPERLINK \l _Toc16443 </w:instrText>
          </w:r>
          <w:r>
            <w:fldChar w:fldCharType="separate"/>
          </w:r>
          <w:r>
            <w:rPr>
              <w:rFonts w:hint="eastAsia" w:ascii="黑体" w:eastAsia="黑体"/>
              <w:szCs w:val="32"/>
              <w:lang w:val="zh-CN" w:eastAsia="zh-CN"/>
            </w:rPr>
            <w:t>第一章总则</w:t>
          </w:r>
          <w:r>
            <w:tab/>
          </w:r>
          <w:r>
            <w:fldChar w:fldCharType="begin"/>
          </w:r>
          <w:r>
            <w:instrText xml:space="preserve"> PAGEREF _Toc16443 \h </w:instrText>
          </w:r>
          <w:r>
            <w:fldChar w:fldCharType="separate"/>
          </w:r>
          <w:r>
            <w:t>1</w:t>
          </w:r>
          <w:r>
            <w:fldChar w:fldCharType="end"/>
          </w:r>
          <w:r>
            <w:fldChar w:fldCharType="end"/>
          </w:r>
        </w:p>
        <w:p w14:paraId="6241613F">
          <w:pPr>
            <w:pStyle w:val="17"/>
            <w:tabs>
              <w:tab w:val="right" w:leader="dot" w:pos="8306"/>
              <w:tab w:val="clear" w:pos="8296"/>
            </w:tabs>
          </w:pPr>
          <w:r>
            <w:fldChar w:fldCharType="begin"/>
          </w:r>
          <w:r>
            <w:instrText xml:space="preserve"> HYPERLINK \l _Toc16418 </w:instrText>
          </w:r>
          <w:r>
            <w:fldChar w:fldCharType="separate"/>
          </w:r>
          <w:r>
            <w:rPr>
              <w:rFonts w:hint="eastAsia" w:ascii="黑体" w:eastAsia="黑体"/>
              <w:szCs w:val="32"/>
              <w:lang w:val="zh-CN" w:eastAsia="zh-CN"/>
            </w:rPr>
            <w:t>第二章地震抗震性能评价</w:t>
          </w:r>
          <w:r>
            <w:tab/>
          </w:r>
          <w:r>
            <w:fldChar w:fldCharType="begin"/>
          </w:r>
          <w:r>
            <w:instrText xml:space="preserve"> PAGEREF _Toc16418 \h </w:instrText>
          </w:r>
          <w:r>
            <w:fldChar w:fldCharType="separate"/>
          </w:r>
          <w:r>
            <w:t>2</w:t>
          </w:r>
          <w:r>
            <w:fldChar w:fldCharType="end"/>
          </w:r>
          <w:r>
            <w:fldChar w:fldCharType="end"/>
          </w:r>
        </w:p>
        <w:p w14:paraId="7D69994A">
          <w:pPr>
            <w:pStyle w:val="17"/>
            <w:tabs>
              <w:tab w:val="right" w:leader="dot" w:pos="8306"/>
              <w:tab w:val="clear" w:pos="8296"/>
            </w:tabs>
          </w:pPr>
          <w:r>
            <w:fldChar w:fldCharType="begin"/>
          </w:r>
          <w:r>
            <w:instrText xml:space="preserve"> HYPERLINK \l _Toc1804 </w:instrText>
          </w:r>
          <w:r>
            <w:fldChar w:fldCharType="separate"/>
          </w:r>
          <w:r>
            <w:rPr>
              <w:rFonts w:hint="eastAsia" w:ascii="黑体" w:eastAsia="黑体"/>
              <w:szCs w:val="32"/>
              <w:lang w:val="zh-CN" w:eastAsia="zh-CN"/>
            </w:rPr>
            <w:t>第三章城市建筑抗震规划</w:t>
          </w:r>
          <w:r>
            <w:tab/>
          </w:r>
          <w:r>
            <w:fldChar w:fldCharType="begin"/>
          </w:r>
          <w:r>
            <w:instrText xml:space="preserve"> PAGEREF _Toc1804 \h </w:instrText>
          </w:r>
          <w:r>
            <w:fldChar w:fldCharType="separate"/>
          </w:r>
          <w:r>
            <w:t>3</w:t>
          </w:r>
          <w:r>
            <w:fldChar w:fldCharType="end"/>
          </w:r>
          <w:r>
            <w:fldChar w:fldCharType="end"/>
          </w:r>
        </w:p>
        <w:p w14:paraId="41950E65">
          <w:pPr>
            <w:pStyle w:val="20"/>
            <w:tabs>
              <w:tab w:val="right" w:leader="dot" w:pos="8306"/>
            </w:tabs>
          </w:pPr>
          <w:r>
            <w:fldChar w:fldCharType="begin"/>
          </w:r>
          <w:r>
            <w:instrText xml:space="preserve"> HYPERLINK \l _Toc7455 </w:instrText>
          </w:r>
          <w:r>
            <w:fldChar w:fldCharType="separate"/>
          </w:r>
          <w:r>
            <w:rPr>
              <w:rFonts w:hint="eastAsia"/>
              <w:lang w:val="en-US" w:eastAsia="zh-CN"/>
            </w:rPr>
            <w:t>第一节建筑抗震性能评价</w:t>
          </w:r>
          <w:r>
            <w:tab/>
          </w:r>
          <w:r>
            <w:fldChar w:fldCharType="begin"/>
          </w:r>
          <w:r>
            <w:instrText xml:space="preserve"> PAGEREF _Toc7455 \h </w:instrText>
          </w:r>
          <w:r>
            <w:fldChar w:fldCharType="separate"/>
          </w:r>
          <w:r>
            <w:t>3</w:t>
          </w:r>
          <w:r>
            <w:fldChar w:fldCharType="end"/>
          </w:r>
          <w:r>
            <w:fldChar w:fldCharType="end"/>
          </w:r>
        </w:p>
        <w:p w14:paraId="375F2368">
          <w:pPr>
            <w:pStyle w:val="20"/>
            <w:tabs>
              <w:tab w:val="right" w:leader="dot" w:pos="8306"/>
            </w:tabs>
          </w:pPr>
          <w:r>
            <w:fldChar w:fldCharType="begin"/>
          </w:r>
          <w:r>
            <w:instrText xml:space="preserve"> HYPERLINK \l _Toc7780 </w:instrText>
          </w:r>
          <w:r>
            <w:fldChar w:fldCharType="separate"/>
          </w:r>
          <w:r>
            <w:rPr>
              <w:rFonts w:hint="eastAsia"/>
              <w:lang w:val="en-US" w:eastAsia="zh-CN"/>
            </w:rPr>
            <w:t>第二节建筑抗震规划要求</w:t>
          </w:r>
          <w:r>
            <w:tab/>
          </w:r>
          <w:r>
            <w:fldChar w:fldCharType="begin"/>
          </w:r>
          <w:r>
            <w:instrText xml:space="preserve"> PAGEREF _Toc7780 \h </w:instrText>
          </w:r>
          <w:r>
            <w:fldChar w:fldCharType="separate"/>
          </w:r>
          <w:r>
            <w:t>3</w:t>
          </w:r>
          <w:r>
            <w:fldChar w:fldCharType="end"/>
          </w:r>
          <w:r>
            <w:fldChar w:fldCharType="end"/>
          </w:r>
        </w:p>
        <w:p w14:paraId="1AC18811">
          <w:pPr>
            <w:pStyle w:val="20"/>
            <w:tabs>
              <w:tab w:val="right" w:leader="dot" w:pos="8306"/>
            </w:tabs>
          </w:pPr>
          <w:r>
            <w:fldChar w:fldCharType="begin"/>
          </w:r>
          <w:r>
            <w:instrText xml:space="preserve"> HYPERLINK \l _Toc1095 </w:instrText>
          </w:r>
          <w:r>
            <w:fldChar w:fldCharType="separate"/>
          </w:r>
          <w:r>
            <w:rPr>
              <w:rFonts w:hint="eastAsia"/>
              <w:lang w:val="en-US" w:eastAsia="zh-CN"/>
            </w:rPr>
            <w:t>第三节建筑物抗震加固和改造策略</w:t>
          </w:r>
          <w:r>
            <w:tab/>
          </w:r>
          <w:r>
            <w:fldChar w:fldCharType="begin"/>
          </w:r>
          <w:r>
            <w:instrText xml:space="preserve"> PAGEREF _Toc1095 \h </w:instrText>
          </w:r>
          <w:r>
            <w:fldChar w:fldCharType="separate"/>
          </w:r>
          <w:r>
            <w:t>5</w:t>
          </w:r>
          <w:r>
            <w:fldChar w:fldCharType="end"/>
          </w:r>
          <w:r>
            <w:fldChar w:fldCharType="end"/>
          </w:r>
        </w:p>
        <w:p w14:paraId="647DFCD4">
          <w:pPr>
            <w:pStyle w:val="17"/>
            <w:tabs>
              <w:tab w:val="right" w:leader="dot" w:pos="8306"/>
              <w:tab w:val="clear" w:pos="8296"/>
            </w:tabs>
          </w:pPr>
          <w:r>
            <w:fldChar w:fldCharType="begin"/>
          </w:r>
          <w:r>
            <w:instrText xml:space="preserve"> HYPERLINK \l _Toc14585 </w:instrText>
          </w:r>
          <w:r>
            <w:fldChar w:fldCharType="separate"/>
          </w:r>
          <w:r>
            <w:rPr>
              <w:rFonts w:hint="eastAsia" w:ascii="黑体" w:eastAsia="黑体"/>
              <w:szCs w:val="32"/>
              <w:lang w:val="zh-CN" w:eastAsia="zh-CN"/>
            </w:rPr>
            <w:t>第四章生命线系统抗震规划</w:t>
          </w:r>
          <w:r>
            <w:tab/>
          </w:r>
          <w:r>
            <w:fldChar w:fldCharType="begin"/>
          </w:r>
          <w:r>
            <w:instrText xml:space="preserve"> PAGEREF _Toc14585 \h </w:instrText>
          </w:r>
          <w:r>
            <w:fldChar w:fldCharType="separate"/>
          </w:r>
          <w:r>
            <w:t>5</w:t>
          </w:r>
          <w:r>
            <w:fldChar w:fldCharType="end"/>
          </w:r>
          <w:r>
            <w:fldChar w:fldCharType="end"/>
          </w:r>
        </w:p>
        <w:p w14:paraId="2C36A216">
          <w:pPr>
            <w:pStyle w:val="17"/>
            <w:tabs>
              <w:tab w:val="right" w:leader="dot" w:pos="8306"/>
              <w:tab w:val="clear" w:pos="8296"/>
            </w:tabs>
          </w:pPr>
          <w:r>
            <w:fldChar w:fldCharType="begin"/>
          </w:r>
          <w:r>
            <w:instrText xml:space="preserve"> HYPERLINK \l _Toc15750 </w:instrText>
          </w:r>
          <w:r>
            <w:fldChar w:fldCharType="separate"/>
          </w:r>
          <w:r>
            <w:rPr>
              <w:rFonts w:hint="eastAsia" w:ascii="黑体" w:eastAsia="黑体"/>
              <w:szCs w:val="32"/>
              <w:lang w:val="zh-CN" w:eastAsia="zh-CN"/>
            </w:rPr>
            <w:t>第五章地震次生灾害防御规划</w:t>
          </w:r>
          <w:r>
            <w:tab/>
          </w:r>
          <w:r>
            <w:fldChar w:fldCharType="begin"/>
          </w:r>
          <w:r>
            <w:instrText xml:space="preserve"> PAGEREF _Toc15750 \h </w:instrText>
          </w:r>
          <w:r>
            <w:fldChar w:fldCharType="separate"/>
          </w:r>
          <w:r>
            <w:t>15</w:t>
          </w:r>
          <w:r>
            <w:fldChar w:fldCharType="end"/>
          </w:r>
          <w:r>
            <w:fldChar w:fldCharType="end"/>
          </w:r>
        </w:p>
        <w:p w14:paraId="1621ECE9">
          <w:pPr>
            <w:pStyle w:val="17"/>
            <w:tabs>
              <w:tab w:val="right" w:leader="dot" w:pos="8306"/>
              <w:tab w:val="clear" w:pos="8296"/>
            </w:tabs>
          </w:pPr>
          <w:r>
            <w:fldChar w:fldCharType="begin"/>
          </w:r>
          <w:r>
            <w:instrText xml:space="preserve"> HYPERLINK \l _Toc1766 </w:instrText>
          </w:r>
          <w:r>
            <w:fldChar w:fldCharType="separate"/>
          </w:r>
          <w:r>
            <w:rPr>
              <w:rFonts w:hint="eastAsia" w:ascii="黑体" w:eastAsia="黑体"/>
              <w:szCs w:val="32"/>
              <w:lang w:val="zh-CN" w:eastAsia="zh-CN"/>
            </w:rPr>
            <w:t>第六章避震疏散规划</w:t>
          </w:r>
          <w:r>
            <w:tab/>
          </w:r>
          <w:r>
            <w:fldChar w:fldCharType="begin"/>
          </w:r>
          <w:r>
            <w:instrText xml:space="preserve"> PAGEREF _Toc1766 \h </w:instrText>
          </w:r>
          <w:r>
            <w:fldChar w:fldCharType="separate"/>
          </w:r>
          <w:r>
            <w:t>17</w:t>
          </w:r>
          <w:r>
            <w:fldChar w:fldCharType="end"/>
          </w:r>
          <w:r>
            <w:fldChar w:fldCharType="end"/>
          </w:r>
        </w:p>
        <w:p w14:paraId="0B41E2D9">
          <w:pPr>
            <w:pStyle w:val="17"/>
            <w:tabs>
              <w:tab w:val="right" w:leader="dot" w:pos="8306"/>
              <w:tab w:val="clear" w:pos="8296"/>
            </w:tabs>
          </w:pPr>
          <w:r>
            <w:fldChar w:fldCharType="begin"/>
          </w:r>
          <w:r>
            <w:instrText xml:space="preserve"> HYPERLINK \l _Toc10465 </w:instrText>
          </w:r>
          <w:r>
            <w:fldChar w:fldCharType="separate"/>
          </w:r>
          <w:r>
            <w:rPr>
              <w:rFonts w:hint="eastAsia" w:ascii="黑体" w:eastAsia="黑体"/>
              <w:szCs w:val="32"/>
              <w:lang w:val="zh-CN" w:eastAsia="zh-CN"/>
            </w:rPr>
            <w:t>第七章应急预案及震后抢险救灾规划</w:t>
          </w:r>
          <w:r>
            <w:tab/>
          </w:r>
          <w:r>
            <w:fldChar w:fldCharType="begin"/>
          </w:r>
          <w:r>
            <w:instrText xml:space="preserve"> PAGEREF _Toc10465 \h </w:instrText>
          </w:r>
          <w:r>
            <w:fldChar w:fldCharType="separate"/>
          </w:r>
          <w:r>
            <w:t>19</w:t>
          </w:r>
          <w:r>
            <w:fldChar w:fldCharType="end"/>
          </w:r>
          <w:r>
            <w:fldChar w:fldCharType="end"/>
          </w:r>
        </w:p>
        <w:p w14:paraId="52C9105B">
          <w:pPr>
            <w:pStyle w:val="17"/>
            <w:tabs>
              <w:tab w:val="right" w:leader="dot" w:pos="8306"/>
              <w:tab w:val="clear" w:pos="8296"/>
            </w:tabs>
          </w:pPr>
          <w:r>
            <w:fldChar w:fldCharType="begin"/>
          </w:r>
          <w:r>
            <w:instrText xml:space="preserve"> HYPERLINK \l _Toc32525 </w:instrText>
          </w:r>
          <w:r>
            <w:fldChar w:fldCharType="separate"/>
          </w:r>
          <w:r>
            <w:rPr>
              <w:rFonts w:hint="eastAsia" w:ascii="黑体" w:eastAsia="黑体"/>
              <w:szCs w:val="32"/>
              <w:lang w:val="zh-CN" w:eastAsia="zh-CN"/>
            </w:rPr>
            <w:t>第八章抗震防灾信息管理系统规划</w:t>
          </w:r>
          <w:r>
            <w:tab/>
          </w:r>
          <w:r>
            <w:fldChar w:fldCharType="begin"/>
          </w:r>
          <w:r>
            <w:instrText xml:space="preserve"> PAGEREF _Toc32525 \h </w:instrText>
          </w:r>
          <w:r>
            <w:fldChar w:fldCharType="separate"/>
          </w:r>
          <w:r>
            <w:t>21</w:t>
          </w:r>
          <w:r>
            <w:fldChar w:fldCharType="end"/>
          </w:r>
          <w:r>
            <w:fldChar w:fldCharType="end"/>
          </w:r>
        </w:p>
        <w:p w14:paraId="66CB500A">
          <w:pPr>
            <w:pStyle w:val="17"/>
            <w:tabs>
              <w:tab w:val="right" w:leader="dot" w:pos="8306"/>
              <w:tab w:val="clear" w:pos="8296"/>
            </w:tabs>
          </w:pPr>
          <w:r>
            <w:fldChar w:fldCharType="begin"/>
          </w:r>
          <w:r>
            <w:instrText xml:space="preserve"> HYPERLINK \l _Toc25819 </w:instrText>
          </w:r>
          <w:r>
            <w:fldChar w:fldCharType="separate"/>
          </w:r>
          <w:r>
            <w:rPr>
              <w:rFonts w:hint="eastAsia" w:ascii="黑体" w:eastAsia="黑体"/>
              <w:szCs w:val="32"/>
              <w:lang w:val="zh-CN" w:eastAsia="zh-CN"/>
            </w:rPr>
            <w:t>第九章近期建设规划</w:t>
          </w:r>
          <w:r>
            <w:tab/>
          </w:r>
          <w:r>
            <w:fldChar w:fldCharType="begin"/>
          </w:r>
          <w:r>
            <w:instrText xml:space="preserve"> PAGEREF _Toc25819 \h </w:instrText>
          </w:r>
          <w:r>
            <w:fldChar w:fldCharType="separate"/>
          </w:r>
          <w:r>
            <w:t>22</w:t>
          </w:r>
          <w:r>
            <w:fldChar w:fldCharType="end"/>
          </w:r>
          <w:r>
            <w:fldChar w:fldCharType="end"/>
          </w:r>
        </w:p>
        <w:p w14:paraId="476F1B84">
          <w:pPr>
            <w:pStyle w:val="17"/>
            <w:tabs>
              <w:tab w:val="right" w:leader="dot" w:pos="8306"/>
              <w:tab w:val="clear" w:pos="8296"/>
            </w:tabs>
          </w:pPr>
          <w:r>
            <w:fldChar w:fldCharType="begin"/>
          </w:r>
          <w:r>
            <w:instrText xml:space="preserve"> HYPERLINK \l _Toc25709 </w:instrText>
          </w:r>
          <w:r>
            <w:fldChar w:fldCharType="separate"/>
          </w:r>
          <w:r>
            <w:rPr>
              <w:rFonts w:hint="eastAsia" w:ascii="黑体" w:eastAsia="黑体"/>
              <w:szCs w:val="32"/>
              <w:lang w:val="zh-CN" w:eastAsia="zh-CN"/>
            </w:rPr>
            <w:t>第十章规划实施保障措施</w:t>
          </w:r>
          <w:r>
            <w:tab/>
          </w:r>
          <w:r>
            <w:fldChar w:fldCharType="begin"/>
          </w:r>
          <w:r>
            <w:instrText xml:space="preserve"> PAGEREF _Toc25709 \h </w:instrText>
          </w:r>
          <w:r>
            <w:fldChar w:fldCharType="separate"/>
          </w:r>
          <w:r>
            <w:t>22</w:t>
          </w:r>
          <w:r>
            <w:fldChar w:fldCharType="end"/>
          </w:r>
          <w:r>
            <w:fldChar w:fldCharType="end"/>
          </w:r>
        </w:p>
        <w:p w14:paraId="0243BB62">
          <w:pPr>
            <w:rPr>
              <w:b/>
            </w:rPr>
          </w:pPr>
          <w:r>
            <w:fldChar w:fldCharType="end"/>
          </w:r>
        </w:p>
      </w:sdtContent>
    </w:sdt>
    <w:p w14:paraId="4158285B">
      <w:pPr>
        <w:pStyle w:val="2"/>
        <w:outlineLvl w:val="9"/>
        <w:rPr>
          <w:rFonts w:ascii="黑体" w:eastAsia="黑体"/>
          <w:b w:val="0"/>
          <w:sz w:val="32"/>
          <w:szCs w:val="32"/>
        </w:rPr>
        <w:sectPr>
          <w:footerReference r:id="rId6" w:type="default"/>
          <w:pgSz w:w="11906" w:h="16838"/>
          <w:pgMar w:top="1440" w:right="1800" w:bottom="1440" w:left="1800" w:header="851" w:footer="992" w:gutter="0"/>
          <w:pgNumType w:fmt="upperRoman" w:start="1"/>
          <w:cols w:space="425" w:num="1"/>
          <w:docGrid w:type="lines" w:linePitch="312" w:charSpace="0"/>
        </w:sectPr>
      </w:pPr>
    </w:p>
    <w:p w14:paraId="3DA83A1A">
      <w:pPr>
        <w:pStyle w:val="2"/>
        <w:jc w:val="center"/>
        <w:rPr>
          <w:rFonts w:hint="eastAsia" w:ascii="黑体" w:eastAsia="黑体"/>
          <w:b w:val="0"/>
          <w:sz w:val="32"/>
          <w:szCs w:val="32"/>
          <w:lang w:val="zh-CN" w:eastAsia="zh-CN"/>
        </w:rPr>
      </w:pPr>
      <w:bookmarkStart w:id="0" w:name="_Toc9129"/>
      <w:bookmarkStart w:id="1" w:name="_Toc16443"/>
      <w:bookmarkStart w:id="2" w:name="_Toc366"/>
      <w:r>
        <w:rPr>
          <w:rFonts w:hint="eastAsia" w:ascii="黑体" w:eastAsia="黑体"/>
          <w:b w:val="0"/>
          <w:sz w:val="32"/>
          <w:szCs w:val="32"/>
          <w:lang w:val="zh-CN" w:eastAsia="zh-CN"/>
        </w:rPr>
        <w:t>第一章总则</w:t>
      </w:r>
      <w:bookmarkEnd w:id="0"/>
      <w:bookmarkEnd w:id="1"/>
    </w:p>
    <w:p w14:paraId="13675A62">
      <w:pPr>
        <w:pStyle w:val="4"/>
        <w:numPr>
          <w:ilvl w:val="0"/>
          <w:numId w:val="0"/>
        </w:numPr>
        <w:bidi w:val="0"/>
        <w:ind w:leftChars="0"/>
        <w:rPr>
          <w:rFonts w:hint="eastAsia"/>
          <w:lang w:val="en-US" w:eastAsia="zh-CN"/>
        </w:rPr>
      </w:pPr>
      <w:r>
        <w:rPr>
          <w:rFonts w:hint="eastAsia"/>
          <w:lang w:val="en-US" w:eastAsia="zh-CN"/>
        </w:rPr>
        <w:t>第一条 规划指导思想</w:t>
      </w:r>
    </w:p>
    <w:p w14:paraId="560F3226">
      <w:pPr>
        <w:bidi w:val="0"/>
      </w:pPr>
      <w:r>
        <w:t>认真落实习近平总书记关于</w:t>
      </w:r>
      <w:r>
        <w:rPr>
          <w:rFonts w:hint="eastAsia"/>
          <w:lang w:eastAsia="zh-CN"/>
        </w:rPr>
        <w:t>防震</w:t>
      </w:r>
      <w:r>
        <w:t>减灾救灾工作重要指示精神，深入推进</w:t>
      </w:r>
      <w:r>
        <w:rPr>
          <w:rFonts w:hint="eastAsia"/>
          <w:lang w:eastAsia="zh-CN"/>
        </w:rPr>
        <w:t>防震</w:t>
      </w:r>
      <w:r>
        <w:t>减灾救灾体制机制改革，加强灾害风险管理，强化灾害综合防范应对，着力加强</w:t>
      </w:r>
      <w:r>
        <w:rPr>
          <w:rFonts w:hint="eastAsia"/>
          <w:lang w:eastAsia="zh-CN"/>
        </w:rPr>
        <w:t>抗震</w:t>
      </w:r>
      <w:r>
        <w:t>减灾工程建设，全面提升全社会抵御自然灾害的综合防范能力</w:t>
      </w:r>
      <w:r>
        <w:rPr>
          <w:rFonts w:hint="eastAsia"/>
          <w:lang w:eastAsia="zh-CN"/>
        </w:rPr>
        <w:t>。</w:t>
      </w:r>
      <w:r>
        <w:rPr>
          <w:lang w:val="en-US" w:eastAsia="zh-CN"/>
        </w:rPr>
        <w:t>要坚持以防为主、防抗救相结合，坚持常态减灾和非常态救灾相统一，努力实现从注重灾后救助向注重灾前预防转变，从应对单一灾种向综合减灾转变，从减少灾害损失向减轻灾害风险转变</w:t>
      </w:r>
      <w:r>
        <w:rPr>
          <w:rFonts w:hint="eastAsia"/>
          <w:lang w:val="en-US" w:eastAsia="zh-CN"/>
        </w:rPr>
        <w:t>的思想。</w:t>
      </w:r>
    </w:p>
    <w:p w14:paraId="4F07C7EB">
      <w:pPr>
        <w:pStyle w:val="4"/>
        <w:numPr>
          <w:ilvl w:val="0"/>
          <w:numId w:val="0"/>
        </w:numPr>
        <w:bidi w:val="0"/>
        <w:ind w:leftChars="0"/>
        <w:rPr>
          <w:rFonts w:hint="eastAsia"/>
          <w:lang w:val="en-US" w:eastAsia="zh-CN"/>
        </w:rPr>
      </w:pPr>
      <w:r>
        <w:rPr>
          <w:rFonts w:hint="eastAsia"/>
          <w:lang w:val="en-US" w:eastAsia="zh-CN"/>
        </w:rPr>
        <w:t>第二条 规划目标</w:t>
      </w:r>
    </w:p>
    <w:p w14:paraId="42495B14">
      <w:pPr>
        <w:bidi w:val="0"/>
      </w:pPr>
      <w:r>
        <w:rPr>
          <w:rFonts w:hint="eastAsia"/>
          <w:lang w:val="en-US" w:eastAsia="zh-CN"/>
        </w:rPr>
        <w:t>1</w:t>
      </w:r>
      <w:r>
        <w:rPr>
          <w:rFonts w:hint="eastAsia"/>
        </w:rPr>
        <w:t>、当遭遇相当于本地区地震烈度的地震影响时，城市生命线系统和重要设施基本正常，一般建设工程可能发生破坏但基本不影响城市整体功能，重要工矿企业能很快恢复生产或运营；</w:t>
      </w:r>
    </w:p>
    <w:p w14:paraId="628FF9DC">
      <w:pPr>
        <w:bidi w:val="0"/>
      </w:pPr>
      <w:r>
        <w:rPr>
          <w:rFonts w:hint="eastAsia"/>
          <w:lang w:val="en-US" w:eastAsia="zh-CN"/>
        </w:rPr>
        <w:t>2</w:t>
      </w:r>
      <w:r>
        <w:rPr>
          <w:rFonts w:hint="eastAsia"/>
        </w:rPr>
        <w:t>、当遭受罕遇地震影响时，城市功能基本不瘫痪，要害系统、生命线系统和重要工程设施</w:t>
      </w:r>
      <w:r>
        <w:rPr>
          <w:rFonts w:hint="eastAsia"/>
          <w:lang w:eastAsia="zh-CN"/>
        </w:rPr>
        <w:t>不</w:t>
      </w:r>
      <w:r>
        <w:rPr>
          <w:rFonts w:hint="eastAsia"/>
        </w:rPr>
        <w:t>遭受严重破坏，无重大人员伤亡，不发生严重的次生灾害。</w:t>
      </w:r>
    </w:p>
    <w:p w14:paraId="602CB5AD">
      <w:pPr>
        <w:pStyle w:val="4"/>
        <w:numPr>
          <w:ilvl w:val="0"/>
          <w:numId w:val="0"/>
        </w:numPr>
        <w:bidi w:val="0"/>
        <w:ind w:leftChars="0"/>
        <w:rPr>
          <w:rFonts w:hint="eastAsia"/>
          <w:lang w:val="en-US" w:eastAsia="zh-CN"/>
        </w:rPr>
      </w:pPr>
      <w:r>
        <w:rPr>
          <w:rFonts w:hint="eastAsia"/>
          <w:lang w:val="en-US" w:eastAsia="zh-CN"/>
        </w:rPr>
        <w:t>第三条 规划范围</w:t>
      </w:r>
    </w:p>
    <w:p w14:paraId="7C29AF11">
      <w:pPr>
        <w:bidi w:val="0"/>
      </w:pPr>
      <w:r>
        <w:rPr>
          <w:lang w:val="zh-CN"/>
        </w:rPr>
        <w:t>规划范围</w:t>
      </w:r>
      <w:r>
        <w:rPr>
          <w:rFonts w:hint="eastAsia"/>
          <w:lang w:val="zh-CN"/>
        </w:rPr>
        <w:t>与</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val="zh-CN"/>
        </w:rPr>
        <w:t>规划范围保持一致。县域为宁晋县行政辖区。中心城区包括凤凰镇全域，宁北街道全域及换马店镇武家桥村、西村和楼底村村域，面积127.38平方千米。</w:t>
      </w:r>
    </w:p>
    <w:p w14:paraId="6A56A61C">
      <w:pPr>
        <w:pStyle w:val="4"/>
        <w:numPr>
          <w:ilvl w:val="0"/>
          <w:numId w:val="0"/>
        </w:numPr>
        <w:bidi w:val="0"/>
        <w:ind w:leftChars="0"/>
        <w:rPr>
          <w:rFonts w:hint="eastAsia"/>
          <w:lang w:val="en-US" w:eastAsia="zh-CN"/>
        </w:rPr>
      </w:pPr>
      <w:r>
        <w:rPr>
          <w:rFonts w:hint="eastAsia"/>
          <w:lang w:val="en-US" w:eastAsia="zh-CN"/>
        </w:rPr>
        <w:t>第四条 规划期限</w:t>
      </w:r>
    </w:p>
    <w:p w14:paraId="41D4B027">
      <w:pPr>
        <w:bidi w:val="0"/>
      </w:pPr>
      <w:r>
        <w:t>近期为20</w:t>
      </w:r>
      <w:r>
        <w:rPr>
          <w:rFonts w:hint="eastAsia"/>
          <w:lang w:val="en-US" w:eastAsia="zh-CN"/>
        </w:rPr>
        <w:t>24</w:t>
      </w:r>
      <w:r>
        <w:t>——20</w:t>
      </w:r>
      <w:r>
        <w:rPr>
          <w:rFonts w:hint="eastAsia"/>
        </w:rPr>
        <w:t>2</w:t>
      </w:r>
      <w:r>
        <w:rPr>
          <w:rFonts w:hint="eastAsia"/>
          <w:lang w:val="en-US" w:eastAsia="zh-CN"/>
        </w:rPr>
        <w:t>5</w:t>
      </w:r>
      <w:r>
        <w:t>年</w:t>
      </w:r>
      <w:r>
        <w:rPr>
          <w:rFonts w:hint="eastAsia"/>
        </w:rPr>
        <w:t>；</w:t>
      </w:r>
    </w:p>
    <w:p w14:paraId="2C85BC73">
      <w:pPr>
        <w:bidi w:val="0"/>
      </w:pPr>
      <w:r>
        <w:t>远期为20</w:t>
      </w:r>
      <w:r>
        <w:rPr>
          <w:rFonts w:hint="eastAsia"/>
          <w:lang w:val="en-US" w:eastAsia="zh-CN"/>
        </w:rPr>
        <w:t>26</w:t>
      </w:r>
      <w:r>
        <w:t>——20</w:t>
      </w:r>
      <w:r>
        <w:rPr>
          <w:rFonts w:hint="eastAsia"/>
          <w:lang w:val="en-US" w:eastAsia="zh-CN"/>
        </w:rPr>
        <w:t>35</w:t>
      </w:r>
      <w:r>
        <w:t>年。</w:t>
      </w:r>
    </w:p>
    <w:bookmarkEnd w:id="2"/>
    <w:p w14:paraId="2F085647">
      <w:pPr>
        <w:pStyle w:val="2"/>
        <w:jc w:val="center"/>
        <w:rPr>
          <w:rFonts w:hint="eastAsia" w:ascii="黑体" w:eastAsia="黑体"/>
          <w:b w:val="0"/>
          <w:sz w:val="32"/>
          <w:szCs w:val="32"/>
          <w:lang w:val="zh-CN" w:eastAsia="zh-CN"/>
        </w:rPr>
      </w:pPr>
      <w:bookmarkStart w:id="3" w:name="_Toc16418"/>
      <w:bookmarkStart w:id="4" w:name="_Toc12358"/>
      <w:r>
        <w:rPr>
          <w:rFonts w:hint="eastAsia" w:ascii="黑体" w:eastAsia="黑体"/>
          <w:b w:val="0"/>
          <w:sz w:val="32"/>
          <w:szCs w:val="32"/>
          <w:lang w:val="zh-CN" w:eastAsia="zh-CN"/>
        </w:rPr>
        <w:t>第二章地震抗震性能评价</w:t>
      </w:r>
      <w:bookmarkEnd w:id="3"/>
      <w:bookmarkEnd w:id="4"/>
    </w:p>
    <w:p w14:paraId="45543B6A">
      <w:pPr>
        <w:pStyle w:val="4"/>
        <w:numPr>
          <w:ilvl w:val="0"/>
          <w:numId w:val="0"/>
        </w:numPr>
        <w:bidi w:val="0"/>
        <w:ind w:leftChars="0"/>
        <w:rPr>
          <w:rFonts w:hint="eastAsia"/>
          <w:lang w:val="en-US" w:eastAsia="zh-CN"/>
        </w:rPr>
      </w:pPr>
      <w:r>
        <w:rPr>
          <w:rFonts w:hint="eastAsia"/>
          <w:lang w:val="en-US" w:eastAsia="zh-CN"/>
        </w:rPr>
        <w:t>第五条 城市用地抗震防灾类型分区</w:t>
      </w:r>
    </w:p>
    <w:p w14:paraId="26B7D165">
      <w:pPr>
        <w:bidi w:val="0"/>
        <w:rPr>
          <w:b w:val="0"/>
          <w:bCs w:val="0"/>
          <w:u w:val="none"/>
        </w:rPr>
      </w:pPr>
      <w:r>
        <w:rPr>
          <w:b w:val="0"/>
          <w:bCs w:val="0"/>
          <w:u w:val="none"/>
        </w:rPr>
        <w:t>用地抗震类型分区以二类工作区为主。根据地形地貌特征、工程地质、水文地质条件及历史震害经验等因素，对场地进行了建设用地抗震综合评价。</w:t>
      </w:r>
    </w:p>
    <w:p w14:paraId="09AB9A93">
      <w:pPr>
        <w:bidi w:val="0"/>
        <w:rPr>
          <w:rFonts w:hint="eastAsia"/>
          <w:lang w:eastAsia="zh-CN"/>
        </w:rPr>
      </w:pPr>
      <w:r>
        <w:rPr>
          <w:rFonts w:hint="eastAsia"/>
          <w:b w:val="0"/>
          <w:bCs w:val="0"/>
          <w:u w:val="none"/>
        </w:rPr>
        <w:t>综合叠加地质图及相关钻孔资料，根据图</w:t>
      </w:r>
      <w:r>
        <w:rPr>
          <w:rFonts w:hint="eastAsia"/>
        </w:rPr>
        <w:t>层剪切波速测试结果，场地图层等效剪切波速在</w:t>
      </w:r>
      <w:r>
        <w:rPr>
          <w:rFonts w:hint="eastAsia"/>
          <w:lang w:val="en-US" w:eastAsia="zh-CN"/>
        </w:rPr>
        <w:t>250-500</w:t>
      </w:r>
      <w:r>
        <w:rPr>
          <w:rFonts w:hint="eastAsia"/>
        </w:rPr>
        <w:t>m/s之间，规划区土类型为</w:t>
      </w:r>
      <w:r>
        <w:rPr>
          <w:rFonts w:hint="eastAsia"/>
          <w:lang w:eastAsia="zh-CN"/>
        </w:rPr>
        <w:t>中硬场地土</w:t>
      </w:r>
      <w:r>
        <w:rPr>
          <w:rFonts w:hint="eastAsia"/>
        </w:rPr>
        <w:t>，认定全区域工程地质情况较好，属于</w:t>
      </w:r>
      <w:r>
        <w:rPr>
          <w:rFonts w:hint="eastAsia"/>
          <w:lang w:eastAsia="zh-CN"/>
        </w:rPr>
        <w:t>二</w:t>
      </w:r>
      <w:r>
        <w:rPr>
          <w:rFonts w:hint="eastAsia"/>
        </w:rPr>
        <w:t>类场地。</w:t>
      </w:r>
    </w:p>
    <w:p w14:paraId="7450BD06">
      <w:pPr>
        <w:pStyle w:val="4"/>
        <w:numPr>
          <w:ilvl w:val="0"/>
          <w:numId w:val="0"/>
        </w:numPr>
        <w:bidi w:val="0"/>
        <w:ind w:leftChars="0"/>
        <w:rPr>
          <w:rFonts w:hint="eastAsia"/>
          <w:lang w:val="en-US" w:eastAsia="zh-CN"/>
        </w:rPr>
      </w:pPr>
      <w:bookmarkStart w:id="5" w:name="_Toc408406801"/>
      <w:r>
        <w:rPr>
          <w:rFonts w:hint="eastAsia"/>
          <w:lang w:val="en-US" w:eastAsia="zh-CN"/>
        </w:rPr>
        <w:t>第六条 地震破坏及不利地形影响估计</w:t>
      </w:r>
      <w:bookmarkEnd w:id="5"/>
    </w:p>
    <w:p w14:paraId="2B1DC408">
      <w:pPr>
        <w:bidi w:val="0"/>
        <w:rPr>
          <w:rFonts w:hint="eastAsia"/>
        </w:rPr>
      </w:pPr>
      <w:r>
        <w:rPr>
          <w:rFonts w:hint="eastAsia"/>
          <w:lang w:val="en-US" w:eastAsia="zh-CN"/>
        </w:rPr>
        <w:t>1、</w:t>
      </w:r>
      <w:r>
        <w:rPr>
          <w:rFonts w:hint="eastAsia"/>
          <w:lang w:eastAsia="zh-CN"/>
        </w:rPr>
        <w:t>规划</w:t>
      </w:r>
      <w:r>
        <w:rPr>
          <w:rFonts w:hint="eastAsia"/>
        </w:rPr>
        <w:t>区不存在岩体崩塌、开裂、滑坡和土体边坡失稳等造成的地震地质灾害问题。</w:t>
      </w:r>
    </w:p>
    <w:p w14:paraId="0A962905">
      <w:pPr>
        <w:bidi w:val="0"/>
        <w:rPr>
          <w:rFonts w:hint="eastAsia"/>
          <w:lang w:eastAsia="zh-CN"/>
        </w:rPr>
      </w:pPr>
      <w:r>
        <w:rPr>
          <w:rFonts w:hint="eastAsia"/>
          <w:lang w:val="en-US" w:eastAsia="zh-CN"/>
        </w:rPr>
        <w:t>2、</w:t>
      </w:r>
      <w:r>
        <w:rPr>
          <w:rFonts w:hint="eastAsia"/>
          <w:lang w:eastAsia="zh-CN"/>
        </w:rPr>
        <w:t>规划区内存在沙土液化现象，存在地裂缝。</w:t>
      </w:r>
    </w:p>
    <w:p w14:paraId="41D977A5">
      <w:pPr>
        <w:bidi w:val="0"/>
        <w:rPr>
          <w:rFonts w:hint="default"/>
          <w:lang w:eastAsia="zh-CN"/>
        </w:rPr>
      </w:pPr>
      <w:r>
        <w:rPr>
          <w:rFonts w:hint="eastAsia"/>
          <w:lang w:val="en-US" w:eastAsia="zh-CN"/>
        </w:rPr>
        <w:t>3、</w:t>
      </w:r>
      <w:r>
        <w:rPr>
          <w:rFonts w:hint="eastAsia"/>
          <w:lang w:eastAsia="zh-CN"/>
        </w:rPr>
        <w:t>地面沉降：</w:t>
      </w:r>
      <w:r>
        <w:rPr>
          <w:rFonts w:hint="default"/>
          <w:lang w:eastAsia="zh-CN"/>
        </w:rPr>
        <w:t>长期大量超采地下水是形成地面沉降的主要原因。</w:t>
      </w:r>
    </w:p>
    <w:p w14:paraId="7E7B3981">
      <w:pPr>
        <w:bidi w:val="0"/>
        <w:rPr>
          <w:rFonts w:hint="eastAsia"/>
          <w:lang w:eastAsia="zh-CN"/>
        </w:rPr>
      </w:pPr>
      <w:r>
        <w:rPr>
          <w:rFonts w:hint="eastAsia"/>
          <w:lang w:val="en-US" w:eastAsia="zh-CN"/>
        </w:rPr>
        <w:t>4、</w:t>
      </w:r>
      <w:r>
        <w:rPr>
          <w:rFonts w:hint="eastAsia"/>
          <w:lang w:eastAsia="zh-CN"/>
        </w:rPr>
        <w:t>地震断裂带对临近地段的影响</w:t>
      </w:r>
    </w:p>
    <w:p w14:paraId="02DAEC06">
      <w:pPr>
        <w:bidi w:val="0"/>
        <w:rPr>
          <w:rFonts w:hint="default"/>
          <w:lang w:eastAsia="zh-CN"/>
        </w:rPr>
      </w:pPr>
      <w:r>
        <w:rPr>
          <w:rFonts w:hint="eastAsia"/>
          <w:lang w:eastAsia="zh-CN"/>
        </w:rPr>
        <w:t>（</w:t>
      </w:r>
      <w:r>
        <w:rPr>
          <w:rFonts w:hint="eastAsia"/>
          <w:lang w:val="en-US" w:eastAsia="zh-CN"/>
        </w:rPr>
        <w:t>1</w:t>
      </w:r>
      <w:r>
        <w:rPr>
          <w:rFonts w:hint="eastAsia"/>
          <w:lang w:eastAsia="zh-CN"/>
        </w:rPr>
        <w:t>）影响范围</w:t>
      </w:r>
    </w:p>
    <w:p w14:paraId="1583EC53">
      <w:pPr>
        <w:bidi w:val="0"/>
        <w:rPr>
          <w:rFonts w:hint="default"/>
          <w:lang w:eastAsia="zh-CN"/>
        </w:rPr>
      </w:pPr>
      <w:r>
        <w:rPr>
          <w:rFonts w:hint="default"/>
          <w:lang w:eastAsia="zh-CN"/>
        </w:rPr>
        <w:t>《建筑抗震设计规范》</w:t>
      </w:r>
      <w:r>
        <w:rPr>
          <w:rFonts w:hint="eastAsia"/>
          <w:lang w:eastAsia="zh-CN"/>
        </w:rPr>
        <w:t>（</w:t>
      </w:r>
      <w:r>
        <w:rPr>
          <w:rFonts w:hint="default"/>
          <w:lang w:eastAsia="zh-CN"/>
        </w:rPr>
        <w:t>GB50011-2010</w:t>
      </w:r>
      <w:r>
        <w:rPr>
          <w:rFonts w:hint="eastAsia"/>
          <w:lang w:eastAsia="zh-CN"/>
        </w:rPr>
        <w:t>）</w:t>
      </w:r>
      <w:r>
        <w:rPr>
          <w:rFonts w:hint="default"/>
          <w:lang w:eastAsia="zh-CN"/>
        </w:rPr>
        <w:t>规定，对于处于</w:t>
      </w:r>
      <w:r>
        <w:rPr>
          <w:rFonts w:hint="eastAsia"/>
          <w:lang w:eastAsia="zh-CN"/>
        </w:rPr>
        <w:t>地震</w:t>
      </w:r>
      <w:r>
        <w:rPr>
          <w:rFonts w:hint="default"/>
          <w:lang w:eastAsia="zh-CN"/>
        </w:rPr>
        <w:t>断裂两侧10km以内的结构，地震动参数应计入近场影响，5km以内宜乘以增大系数1.5，5km以外宜乘以不小于1.25的增大系数。</w:t>
      </w:r>
    </w:p>
    <w:p w14:paraId="13413BCD">
      <w:pPr>
        <w:bidi w:val="0"/>
        <w:rPr>
          <w:rFonts w:hint="default"/>
          <w:lang w:eastAsia="zh-CN"/>
        </w:rPr>
      </w:pPr>
      <w:r>
        <w:rPr>
          <w:rFonts w:hint="eastAsia"/>
          <w:lang w:eastAsia="zh-CN"/>
        </w:rPr>
        <w:t>（</w:t>
      </w:r>
      <w:r>
        <w:rPr>
          <w:rFonts w:hint="eastAsia"/>
          <w:lang w:val="en-US" w:eastAsia="zh-CN"/>
        </w:rPr>
        <w:t>2</w:t>
      </w:r>
      <w:r>
        <w:rPr>
          <w:rFonts w:hint="eastAsia"/>
          <w:lang w:eastAsia="zh-CN"/>
        </w:rPr>
        <w:t>）</w:t>
      </w:r>
      <w:r>
        <w:rPr>
          <w:rFonts w:hint="default"/>
          <w:lang w:eastAsia="zh-CN"/>
        </w:rPr>
        <w:t>处理措施</w:t>
      </w:r>
    </w:p>
    <w:p w14:paraId="7D634D83">
      <w:pPr>
        <w:bidi w:val="0"/>
        <w:rPr>
          <w:rFonts w:hint="default"/>
          <w:lang w:eastAsia="zh-CN"/>
        </w:rPr>
      </w:pPr>
      <w:r>
        <w:rPr>
          <w:rFonts w:hint="default"/>
          <w:lang w:eastAsia="zh-CN"/>
        </w:rPr>
        <w:t>在建筑设计时，应考虑地震破裂带附近的地面运动强度放大效应，特别是对于处于</w:t>
      </w:r>
      <w:r>
        <w:rPr>
          <w:rFonts w:hint="eastAsia"/>
          <w:lang w:eastAsia="zh-CN"/>
        </w:rPr>
        <w:t>地震</w:t>
      </w:r>
      <w:r>
        <w:rPr>
          <w:rFonts w:hint="default"/>
          <w:lang w:eastAsia="zh-CN"/>
        </w:rPr>
        <w:t>断裂两侧10km以内的结构，需要根据《建筑抗震设计规范》进行地震动参数的调整与控制。</w:t>
      </w:r>
    </w:p>
    <w:p w14:paraId="0D84DD6E">
      <w:pPr>
        <w:bidi w:val="0"/>
      </w:pPr>
      <w:r>
        <w:rPr>
          <w:rFonts w:hint="default"/>
          <w:lang w:eastAsia="zh-CN"/>
        </w:rPr>
        <w:t>在大地震发生时，应将汽车靠路边停车，管制区域禁止行驶，以避免妨碍避难疏散的人和紧急车辆的通行</w:t>
      </w:r>
      <w:r>
        <w:rPr>
          <w:rFonts w:hint="default"/>
        </w:rPr>
        <w:t>。</w:t>
      </w:r>
    </w:p>
    <w:p w14:paraId="50F4299D">
      <w:pPr>
        <w:pStyle w:val="4"/>
        <w:numPr>
          <w:ilvl w:val="0"/>
          <w:numId w:val="0"/>
        </w:numPr>
        <w:bidi w:val="0"/>
        <w:ind w:leftChars="0"/>
        <w:rPr>
          <w:rFonts w:hint="eastAsia"/>
          <w:lang w:val="en-US" w:eastAsia="zh-CN"/>
        </w:rPr>
      </w:pPr>
      <w:r>
        <w:rPr>
          <w:rFonts w:hint="eastAsia"/>
          <w:lang w:val="en-US" w:eastAsia="zh-CN"/>
        </w:rPr>
        <w:t>第七条 抗震适宜性评价</w:t>
      </w:r>
    </w:p>
    <w:p w14:paraId="7FE7A0C7">
      <w:pPr>
        <w:bidi w:val="0"/>
      </w:pPr>
      <w:r>
        <w:rPr>
          <w:rFonts w:hint="eastAsia"/>
        </w:rPr>
        <w:t>规划建设用地大部分为适宜和有条件适宜建设用地，仅有少量受</w:t>
      </w:r>
      <w:r>
        <w:rPr>
          <w:rFonts w:hint="eastAsia"/>
          <w:lang w:eastAsia="zh-CN"/>
        </w:rPr>
        <w:t>地震断裂带</w:t>
      </w:r>
      <w:r>
        <w:rPr>
          <w:rFonts w:hint="eastAsia"/>
        </w:rPr>
        <w:t>影响为</w:t>
      </w:r>
      <w:r>
        <w:rPr>
          <w:rFonts w:hint="eastAsia"/>
          <w:lang w:eastAsia="zh-CN"/>
        </w:rPr>
        <w:t>不适宜</w:t>
      </w:r>
      <w:r>
        <w:rPr>
          <w:rFonts w:hint="eastAsia"/>
        </w:rPr>
        <w:t>，但不影响整体用地抗震能力。</w:t>
      </w:r>
    </w:p>
    <w:p w14:paraId="60E94513">
      <w:pPr>
        <w:bidi w:val="0"/>
      </w:pPr>
      <w:r>
        <w:rPr>
          <w:rFonts w:hint="eastAsia"/>
          <w:lang w:eastAsia="zh-CN"/>
        </w:rPr>
        <w:t>不适宜</w:t>
      </w:r>
      <w:r>
        <w:rPr>
          <w:rFonts w:hint="eastAsia"/>
        </w:rPr>
        <w:t>建设用地主要受</w:t>
      </w:r>
      <w:r>
        <w:rPr>
          <w:rFonts w:hint="eastAsia"/>
          <w:lang w:eastAsia="zh-CN"/>
        </w:rPr>
        <w:t>地震断裂带</w:t>
      </w:r>
      <w:r>
        <w:rPr>
          <w:rFonts w:hint="eastAsia"/>
        </w:rPr>
        <w:t>影响，该区域建设工程应完成岩土工程勘探和结果分析，采取必要的工程治理措施和加强措施。</w:t>
      </w:r>
    </w:p>
    <w:p w14:paraId="5679CE12">
      <w:pPr>
        <w:pStyle w:val="2"/>
        <w:jc w:val="center"/>
        <w:rPr>
          <w:rFonts w:hint="eastAsia" w:ascii="黑体" w:eastAsia="黑体"/>
          <w:b w:val="0"/>
          <w:sz w:val="32"/>
          <w:szCs w:val="32"/>
          <w:lang w:val="zh-CN" w:eastAsia="zh-CN"/>
        </w:rPr>
      </w:pPr>
      <w:bookmarkStart w:id="6" w:name="_Toc1804"/>
      <w:bookmarkStart w:id="7" w:name="_Toc2676"/>
      <w:r>
        <w:rPr>
          <w:rFonts w:hint="eastAsia" w:ascii="黑体" w:eastAsia="黑体"/>
          <w:b w:val="0"/>
          <w:sz w:val="32"/>
          <w:szCs w:val="32"/>
          <w:lang w:val="zh-CN" w:eastAsia="zh-CN"/>
        </w:rPr>
        <w:t>第三章城市建筑抗震规划</w:t>
      </w:r>
      <w:bookmarkEnd w:id="6"/>
      <w:bookmarkEnd w:id="7"/>
    </w:p>
    <w:p w14:paraId="52514AFF">
      <w:pPr>
        <w:pStyle w:val="3"/>
        <w:bidi w:val="0"/>
        <w:rPr>
          <w:rFonts w:hint="eastAsia"/>
          <w:lang w:val="en-US" w:eastAsia="zh-CN"/>
        </w:rPr>
      </w:pPr>
      <w:bookmarkStart w:id="8" w:name="_Toc7455"/>
      <w:r>
        <w:rPr>
          <w:rFonts w:hint="eastAsia"/>
          <w:lang w:val="en-US" w:eastAsia="zh-CN"/>
        </w:rPr>
        <w:t>第一节建筑抗震性能评价</w:t>
      </w:r>
      <w:bookmarkEnd w:id="8"/>
    </w:p>
    <w:p w14:paraId="4367278C">
      <w:pPr>
        <w:pStyle w:val="4"/>
        <w:numPr>
          <w:ilvl w:val="0"/>
          <w:numId w:val="0"/>
        </w:numPr>
        <w:bidi w:val="0"/>
        <w:ind w:leftChars="0"/>
        <w:rPr>
          <w:rFonts w:hint="eastAsia"/>
          <w:lang w:val="en-US" w:eastAsia="zh-CN"/>
        </w:rPr>
      </w:pPr>
      <w:bookmarkStart w:id="9" w:name="_Toc261421050"/>
      <w:bookmarkStart w:id="10" w:name="_Toc244662106"/>
      <w:bookmarkStart w:id="11" w:name="_Toc244227095"/>
      <w:r>
        <w:rPr>
          <w:rFonts w:hint="eastAsia"/>
          <w:lang w:val="en-US" w:eastAsia="zh-CN"/>
        </w:rPr>
        <w:t>第八条 城市重要建筑抗震性能评价</w:t>
      </w:r>
      <w:bookmarkEnd w:id="9"/>
      <w:bookmarkEnd w:id="10"/>
      <w:bookmarkEnd w:id="11"/>
    </w:p>
    <w:p w14:paraId="3DFDAA84">
      <w:pPr>
        <w:bidi w:val="0"/>
      </w:pPr>
      <w:r>
        <w:rPr>
          <w:rFonts w:hint="eastAsia"/>
        </w:rPr>
        <w:t>通过对现状重点建筑调查分析，现状重点建筑抗震设防烈度</w:t>
      </w:r>
      <w:r>
        <w:rPr>
          <w:rFonts w:hint="eastAsia"/>
          <w:lang w:eastAsia="zh-CN"/>
        </w:rPr>
        <w:t>按照七度</w:t>
      </w:r>
      <w:r>
        <w:rPr>
          <w:rFonts w:hint="eastAsia"/>
        </w:rPr>
        <w:t>设防</w:t>
      </w:r>
      <w:r>
        <w:rPr>
          <w:rFonts w:hint="eastAsia"/>
          <w:lang w:eastAsia="zh-CN"/>
        </w:rPr>
        <w:t>，</w:t>
      </w:r>
      <w:r>
        <w:rPr>
          <w:rFonts w:hint="eastAsia"/>
        </w:rPr>
        <w:t>不满足重点建筑应按照提高一度的设防标准要求。只有少数近年新建建筑达到</w:t>
      </w:r>
      <w:r>
        <w:rPr>
          <w:rFonts w:hint="eastAsia"/>
          <w:lang w:eastAsia="zh-CN"/>
        </w:rPr>
        <w:t>八度</w:t>
      </w:r>
      <w:r>
        <w:rPr>
          <w:rFonts w:hint="eastAsia"/>
        </w:rPr>
        <w:t>及以上的设防标准。</w:t>
      </w:r>
    </w:p>
    <w:p w14:paraId="110A5A28">
      <w:pPr>
        <w:pStyle w:val="4"/>
        <w:numPr>
          <w:ilvl w:val="0"/>
          <w:numId w:val="0"/>
        </w:numPr>
        <w:bidi w:val="0"/>
        <w:ind w:leftChars="0"/>
        <w:rPr>
          <w:rFonts w:hint="eastAsia"/>
          <w:lang w:val="en-US" w:eastAsia="zh-CN"/>
        </w:rPr>
      </w:pPr>
      <w:r>
        <w:rPr>
          <w:rFonts w:hint="eastAsia"/>
          <w:lang w:val="en-US" w:eastAsia="zh-CN"/>
        </w:rPr>
        <w:t>第九条 中小学校建筑抗震性能评价</w:t>
      </w:r>
    </w:p>
    <w:p w14:paraId="209EFB89">
      <w:pPr>
        <w:bidi w:val="0"/>
      </w:pPr>
      <w:r>
        <w:rPr>
          <w:rFonts w:hint="eastAsia"/>
        </w:rPr>
        <w:t>根据调查结果，</w:t>
      </w:r>
      <w:r>
        <w:rPr>
          <w:rFonts w:hint="eastAsia"/>
          <w:lang w:eastAsia="zh-CN"/>
        </w:rPr>
        <w:t>宁晋县县域大多数</w:t>
      </w:r>
      <w:r>
        <w:rPr>
          <w:rFonts w:hint="eastAsia"/>
        </w:rPr>
        <w:t>中小学建筑属于砖混结构，</w:t>
      </w:r>
      <w:r>
        <w:rPr>
          <w:rFonts w:hint="eastAsia"/>
          <w:lang w:eastAsia="zh-CN"/>
        </w:rPr>
        <w:t>位于</w:t>
      </w:r>
      <w:r>
        <w:rPr>
          <w:rFonts w:hint="eastAsia"/>
        </w:rPr>
        <w:t>凤凰镇、宁北街道、河渠镇、北河庄镇、大陆村镇、换马店镇、苏家庄镇、唐邱镇、北鱼乡、大曹庄镇</w:t>
      </w:r>
      <w:r>
        <w:rPr>
          <w:rFonts w:hint="eastAsia"/>
          <w:lang w:eastAsia="zh-CN"/>
        </w:rPr>
        <w:t>按照</w:t>
      </w:r>
      <w:r>
        <w:rPr>
          <w:rFonts w:hint="eastAsia"/>
        </w:rPr>
        <w:t>抗震设防烈度</w:t>
      </w:r>
      <w:r>
        <w:rPr>
          <w:rFonts w:hint="eastAsia"/>
          <w:lang w:eastAsia="zh-CN"/>
        </w:rPr>
        <w:t>七</w:t>
      </w:r>
      <w:r>
        <w:rPr>
          <w:rFonts w:hint="eastAsia"/>
        </w:rPr>
        <w:t>度设防</w:t>
      </w:r>
      <w:r>
        <w:rPr>
          <w:rFonts w:hint="eastAsia"/>
          <w:lang w:eastAsia="zh-CN"/>
        </w:rPr>
        <w:t>；位于</w:t>
      </w:r>
      <w:r>
        <w:rPr>
          <w:rFonts w:hint="eastAsia"/>
        </w:rPr>
        <w:t>耿庄</w:t>
      </w:r>
      <w:r>
        <w:rPr>
          <w:rFonts w:hint="eastAsia"/>
          <w:lang w:eastAsia="zh-CN"/>
        </w:rPr>
        <w:t>桥镇、</w:t>
      </w:r>
      <w:r>
        <w:rPr>
          <w:rFonts w:hint="eastAsia"/>
        </w:rPr>
        <w:t>贾家口镇、四芝兰镇、侯口镇、纪昌庄镇、东汪镇、</w:t>
      </w:r>
      <w:r>
        <w:rPr>
          <w:rFonts w:hint="eastAsia"/>
          <w:lang w:eastAsia="zh-CN"/>
        </w:rPr>
        <w:t>徐家河乡</w:t>
      </w:r>
      <w:r>
        <w:rPr>
          <w:rFonts w:hint="eastAsia"/>
        </w:rPr>
        <w:t>按抗震设防烈度</w:t>
      </w:r>
      <w:r>
        <w:rPr>
          <w:rFonts w:hint="eastAsia"/>
          <w:lang w:eastAsia="zh-CN"/>
        </w:rPr>
        <w:t>八</w:t>
      </w:r>
      <w:r>
        <w:rPr>
          <w:rFonts w:hint="eastAsia"/>
        </w:rPr>
        <w:t>度设防</w:t>
      </w:r>
      <w:r>
        <w:rPr>
          <w:rFonts w:hint="eastAsia"/>
          <w:lang w:eastAsia="zh-CN"/>
        </w:rPr>
        <w:t>，</w:t>
      </w:r>
      <w:r>
        <w:rPr>
          <w:rFonts w:hint="eastAsia"/>
        </w:rPr>
        <w:t>不满足重点建筑应按照提高一度的设防标准进行设防的要求。只有少数新建学校建筑满足要求。</w:t>
      </w:r>
    </w:p>
    <w:p w14:paraId="5A15AE34">
      <w:pPr>
        <w:pStyle w:val="3"/>
        <w:bidi w:val="0"/>
        <w:rPr>
          <w:rFonts w:hint="eastAsia"/>
          <w:lang w:val="en-US" w:eastAsia="zh-CN"/>
        </w:rPr>
      </w:pPr>
      <w:bookmarkStart w:id="12" w:name="_Toc7780"/>
      <w:r>
        <w:rPr>
          <w:rFonts w:hint="eastAsia"/>
          <w:lang w:val="en-US" w:eastAsia="zh-CN"/>
        </w:rPr>
        <w:t>第二节建筑抗震规划要求</w:t>
      </w:r>
      <w:bookmarkEnd w:id="12"/>
    </w:p>
    <w:p w14:paraId="1EAAB528">
      <w:pPr>
        <w:pStyle w:val="4"/>
        <w:numPr>
          <w:ilvl w:val="0"/>
          <w:numId w:val="0"/>
        </w:numPr>
        <w:bidi w:val="0"/>
        <w:ind w:leftChars="0"/>
        <w:rPr>
          <w:rFonts w:hint="eastAsia"/>
          <w:lang w:val="en-US" w:eastAsia="zh-CN"/>
        </w:rPr>
      </w:pPr>
      <w:bookmarkStart w:id="13" w:name="_Toc261421054"/>
      <w:bookmarkStart w:id="14" w:name="_Toc244662110"/>
      <w:r>
        <w:rPr>
          <w:rFonts w:hint="eastAsia"/>
          <w:lang w:val="en-US" w:eastAsia="zh-CN"/>
        </w:rPr>
        <w:t>第十条 城市重要建筑抗震规划要求</w:t>
      </w:r>
      <w:bookmarkEnd w:id="13"/>
      <w:bookmarkEnd w:id="14"/>
    </w:p>
    <w:p w14:paraId="20AA6DCA">
      <w:pPr>
        <w:bidi w:val="0"/>
      </w:pPr>
      <w:r>
        <w:rPr>
          <w:rFonts w:hint="eastAsia"/>
        </w:rPr>
        <w:t>1、</w:t>
      </w:r>
      <w:r>
        <w:t>重点建筑抗震规划要求</w:t>
      </w:r>
    </w:p>
    <w:p w14:paraId="1D3D3977">
      <w:pPr>
        <w:bidi w:val="0"/>
      </w:pPr>
      <w:r>
        <w:t>严格按照《建筑抗震设防分类标准》（GB50223—2008）对列入特殊设防类和重点设防类建筑进行建筑抗震质量控制，立即启动该部分建筑抗震设防性能评价，确定各建筑抗震设防能力，甄别加固建筑、拆除重建建筑类别，提高城市综合抗灾救灾能力。</w:t>
      </w:r>
    </w:p>
    <w:p w14:paraId="17D28121">
      <w:pPr>
        <w:bidi w:val="0"/>
      </w:pPr>
      <w:r>
        <w:t>2</w:t>
      </w:r>
      <w:r>
        <w:rPr>
          <w:rFonts w:hint="eastAsia"/>
        </w:rPr>
        <w:t>、</w:t>
      </w:r>
      <w:r>
        <w:t>中小学校抗震规划要求</w:t>
      </w:r>
    </w:p>
    <w:p w14:paraId="2A74F512">
      <w:pPr>
        <w:bidi w:val="0"/>
        <w:rPr>
          <w:rFonts w:hint="eastAsia"/>
          <w:lang w:eastAsia="zh-CN"/>
        </w:rPr>
      </w:pPr>
      <w:r>
        <w:t>从评价结果可以看出，</w:t>
      </w:r>
      <w:r>
        <w:rPr>
          <w:rFonts w:hint="eastAsia"/>
          <w:lang w:eastAsia="zh-CN"/>
        </w:rPr>
        <w:t>县域内</w:t>
      </w:r>
      <w:r>
        <w:t>中小学校建筑多为砖混结构，</w:t>
      </w:r>
      <w:r>
        <w:rPr>
          <w:rFonts w:hint="eastAsia"/>
          <w:lang w:eastAsia="zh-CN"/>
        </w:rPr>
        <w:t>位于</w:t>
      </w:r>
      <w:r>
        <w:rPr>
          <w:rFonts w:hint="eastAsia"/>
        </w:rPr>
        <w:t>凤凰镇、宁北街道、河渠镇、北河庄镇、大陆村镇、换马店镇、苏家庄镇、唐邱镇、北鱼乡、大曹庄镇</w:t>
      </w:r>
      <w:r>
        <w:rPr>
          <w:rFonts w:hint="eastAsia"/>
          <w:lang w:eastAsia="zh-CN"/>
        </w:rPr>
        <w:t>按照</w:t>
      </w:r>
      <w:r>
        <w:rPr>
          <w:rFonts w:hint="eastAsia"/>
        </w:rPr>
        <w:t>抗震设防烈度</w:t>
      </w:r>
      <w:r>
        <w:rPr>
          <w:rFonts w:hint="eastAsia"/>
          <w:lang w:eastAsia="zh-CN"/>
        </w:rPr>
        <w:t>七</w:t>
      </w:r>
      <w:r>
        <w:rPr>
          <w:rFonts w:hint="eastAsia"/>
        </w:rPr>
        <w:t>度设防</w:t>
      </w:r>
      <w:r>
        <w:rPr>
          <w:rFonts w:hint="eastAsia"/>
          <w:lang w:eastAsia="zh-CN"/>
        </w:rPr>
        <w:t>；位于</w:t>
      </w:r>
      <w:r>
        <w:rPr>
          <w:rFonts w:hint="eastAsia"/>
        </w:rPr>
        <w:t>耿庄</w:t>
      </w:r>
      <w:r>
        <w:rPr>
          <w:rFonts w:hint="eastAsia"/>
          <w:lang w:eastAsia="zh-CN"/>
        </w:rPr>
        <w:t>桥镇、</w:t>
      </w:r>
      <w:r>
        <w:rPr>
          <w:rFonts w:hint="eastAsia"/>
        </w:rPr>
        <w:t>贾家口镇、四芝兰镇、侯口镇、纪昌庄镇、</w:t>
      </w:r>
      <w:r>
        <w:rPr>
          <w:rFonts w:hint="eastAsia"/>
          <w:lang w:eastAsia="zh-CN"/>
        </w:rPr>
        <w:t>耿庄</w:t>
      </w:r>
      <w:r>
        <w:rPr>
          <w:rFonts w:hint="eastAsia"/>
        </w:rPr>
        <w:t>桥镇、东汪镇、</w:t>
      </w:r>
      <w:r>
        <w:rPr>
          <w:rFonts w:hint="eastAsia"/>
          <w:lang w:eastAsia="zh-CN"/>
        </w:rPr>
        <w:t>徐家河乡</w:t>
      </w:r>
      <w:r>
        <w:rPr>
          <w:rFonts w:hint="eastAsia"/>
        </w:rPr>
        <w:t>按抗震设防烈度</w:t>
      </w:r>
      <w:r>
        <w:rPr>
          <w:rFonts w:hint="eastAsia"/>
          <w:lang w:eastAsia="zh-CN"/>
        </w:rPr>
        <w:t>八</w:t>
      </w:r>
      <w:r>
        <w:rPr>
          <w:rFonts w:hint="eastAsia"/>
        </w:rPr>
        <w:t>度设防</w:t>
      </w:r>
      <w:r>
        <w:rPr>
          <w:rFonts w:hint="eastAsia"/>
          <w:lang w:eastAsia="zh-CN"/>
        </w:rPr>
        <w:t>。</w:t>
      </w:r>
    </w:p>
    <w:p w14:paraId="40501292">
      <w:pPr>
        <w:pStyle w:val="4"/>
        <w:numPr>
          <w:ilvl w:val="0"/>
          <w:numId w:val="0"/>
        </w:numPr>
        <w:bidi w:val="0"/>
        <w:ind w:leftChars="0"/>
        <w:rPr>
          <w:rFonts w:hint="eastAsia"/>
          <w:lang w:val="en-US" w:eastAsia="zh-CN"/>
        </w:rPr>
      </w:pPr>
      <w:bookmarkStart w:id="15" w:name="_Toc261421055"/>
      <w:bookmarkStart w:id="16" w:name="_Toc244662111"/>
      <w:r>
        <w:rPr>
          <w:rFonts w:hint="eastAsia"/>
          <w:lang w:val="en-US" w:eastAsia="zh-CN"/>
        </w:rPr>
        <w:t>第十一条 标准设防及适度设防类建筑抗震规划要求</w:t>
      </w:r>
      <w:bookmarkEnd w:id="15"/>
      <w:bookmarkEnd w:id="16"/>
    </w:p>
    <w:p w14:paraId="3F7FCC55">
      <w:pPr>
        <w:bidi w:val="0"/>
      </w:pPr>
      <w:r>
        <w:rPr>
          <w:rFonts w:hint="eastAsia"/>
        </w:rPr>
        <w:t>1、</w:t>
      </w:r>
      <w:r>
        <w:t>工程建设必须选择对抗震有利的建筑场地。在工程建设中应尽可能避开地质结构的断层</w:t>
      </w:r>
      <w:r>
        <w:rPr>
          <w:rFonts w:hint="eastAsia"/>
          <w:lang w:eastAsia="zh-CN"/>
        </w:rPr>
        <w:t>（</w:t>
      </w:r>
      <w:r>
        <w:t>断裂带</w:t>
      </w:r>
      <w:r>
        <w:rPr>
          <w:rFonts w:hint="eastAsia"/>
          <w:lang w:eastAsia="zh-CN"/>
        </w:rPr>
        <w:t>）</w:t>
      </w:r>
      <w:r>
        <w:t>和沙土液化区域。</w:t>
      </w:r>
    </w:p>
    <w:p w14:paraId="1EDBD280">
      <w:pPr>
        <w:bidi w:val="0"/>
      </w:pPr>
      <w:r>
        <w:rPr>
          <w:rFonts w:hint="eastAsia"/>
        </w:rPr>
        <w:t>2、</w:t>
      </w:r>
      <w:r>
        <w:t>工程设计、施工、验收必须严格执行抗震设计施工验收规范等建筑法规。</w:t>
      </w:r>
    </w:p>
    <w:p w14:paraId="18538917">
      <w:pPr>
        <w:bidi w:val="0"/>
      </w:pPr>
      <w:r>
        <w:rPr>
          <w:rFonts w:hint="eastAsia"/>
        </w:rPr>
        <w:t>3、</w:t>
      </w:r>
      <w:r>
        <w:t>建筑设计必须避免出现不规则平面和一层不要设计成廊柱式或</w:t>
      </w:r>
      <w:r>
        <w:rPr>
          <w:rFonts w:hint="eastAsia"/>
        </w:rPr>
        <w:t>玻璃</w:t>
      </w:r>
      <w:r>
        <w:t>橱窗式商店。</w:t>
      </w:r>
    </w:p>
    <w:p w14:paraId="57F90576">
      <w:pPr>
        <w:bidi w:val="0"/>
      </w:pPr>
      <w:r>
        <w:rPr>
          <w:rFonts w:hint="eastAsia"/>
        </w:rPr>
        <w:t>4、</w:t>
      </w:r>
      <w:r>
        <w:t>采用低层建筑物和先进的工程抗震技术是减少地震灾害的有效措施。</w:t>
      </w:r>
    </w:p>
    <w:p w14:paraId="7AC37E7A">
      <w:pPr>
        <w:pStyle w:val="4"/>
        <w:numPr>
          <w:ilvl w:val="0"/>
          <w:numId w:val="0"/>
        </w:numPr>
        <w:bidi w:val="0"/>
        <w:ind w:leftChars="0"/>
        <w:rPr>
          <w:rFonts w:hint="eastAsia"/>
          <w:lang w:val="en-US" w:eastAsia="zh-CN"/>
        </w:rPr>
      </w:pPr>
      <w:bookmarkStart w:id="17" w:name="_Toc244662113"/>
      <w:bookmarkStart w:id="18" w:name="_Toc261421057"/>
      <w:r>
        <w:rPr>
          <w:rFonts w:hint="eastAsia"/>
          <w:lang w:val="en-US" w:eastAsia="zh-CN"/>
        </w:rPr>
        <w:t>第十二条 新建建筑抗震规划要求</w:t>
      </w:r>
      <w:bookmarkEnd w:id="17"/>
      <w:bookmarkEnd w:id="18"/>
    </w:p>
    <w:p w14:paraId="3A16EDED">
      <w:pPr>
        <w:bidi w:val="0"/>
      </w:pPr>
      <w:r>
        <w:rPr>
          <w:rFonts w:hint="eastAsia"/>
        </w:rPr>
        <w:t>1、</w:t>
      </w:r>
      <w:r>
        <w:t>新建工程的选址定点必须符合城市规划的要求，选择有利于抗震的场地条件，并根据工程需要和有关勘察设计规范的要求进行详细的勘察、试验，确定场地土质情况和性质。</w:t>
      </w:r>
    </w:p>
    <w:p w14:paraId="362478FE">
      <w:pPr>
        <w:bidi w:val="0"/>
      </w:pPr>
      <w:r>
        <w:rPr>
          <w:rFonts w:hint="eastAsia"/>
        </w:rPr>
        <w:t>2、</w:t>
      </w:r>
      <w:r>
        <w:t>新建建筑的抗震设计应严格执行《建筑抗震设计规范》（GB50011-2001）的规定和有关技术标准、规程要求。</w:t>
      </w:r>
    </w:p>
    <w:p w14:paraId="331CA11B">
      <w:pPr>
        <w:bidi w:val="0"/>
      </w:pPr>
      <w:r>
        <w:rPr>
          <w:rFonts w:hint="eastAsia"/>
        </w:rPr>
        <w:t>3、</w:t>
      </w:r>
      <w:r>
        <w:t>一般建筑物应符合</w:t>
      </w:r>
      <w:r>
        <w:rPr>
          <w:rFonts w:hint="eastAsia"/>
          <w:lang w:eastAsia="zh-CN"/>
        </w:rPr>
        <w:t>位于</w:t>
      </w:r>
      <w:r>
        <w:rPr>
          <w:rFonts w:hint="eastAsia"/>
        </w:rPr>
        <w:t>凤凰镇、宁北街道、河渠镇、北河庄镇、大陆村镇、换马店镇、苏家庄镇、唐邱镇、北鱼乡、大曹庄镇抗震设防烈度</w:t>
      </w:r>
      <w:r>
        <w:rPr>
          <w:rFonts w:hint="eastAsia"/>
          <w:lang w:eastAsia="zh-CN"/>
        </w:rPr>
        <w:t>七</w:t>
      </w:r>
      <w:r>
        <w:rPr>
          <w:rFonts w:hint="eastAsia"/>
        </w:rPr>
        <w:t>度设防；耿庄桥镇、贾家口镇、四芝兰镇、侯口镇、纪昌庄镇、东汪镇、徐家河乡按抗震设防烈度</w:t>
      </w:r>
      <w:r>
        <w:rPr>
          <w:rFonts w:hint="eastAsia"/>
          <w:lang w:eastAsia="zh-CN"/>
        </w:rPr>
        <w:t>八</w:t>
      </w:r>
      <w:r>
        <w:rPr>
          <w:rFonts w:hint="eastAsia"/>
        </w:rPr>
        <w:t>度设防</w:t>
      </w:r>
      <w:r>
        <w:t>的要求。特别重要的建设工程，应按照有关规定进行场地地震安全性评价工作。</w:t>
      </w:r>
    </w:p>
    <w:p w14:paraId="311CDC18">
      <w:pPr>
        <w:bidi w:val="0"/>
      </w:pPr>
      <w:r>
        <w:rPr>
          <w:rFonts w:hint="eastAsia"/>
        </w:rPr>
        <w:t>4、</w:t>
      </w:r>
      <w:r>
        <w:t>重要建筑物及生命线工程，应按照《建筑物抗震设防分类标准》（GB50223—2008）要求，采取相应提高抗震能力的措施。</w:t>
      </w:r>
    </w:p>
    <w:p w14:paraId="5F5B114A">
      <w:pPr>
        <w:bidi w:val="0"/>
      </w:pPr>
      <w:r>
        <w:rPr>
          <w:rFonts w:hint="eastAsia"/>
        </w:rPr>
        <w:t>5、</w:t>
      </w:r>
      <w:r>
        <w:t>高度超过160m的高层建筑，应设置地震反应观测系统，建筑设计应留有观测仪器和线路的位置。</w:t>
      </w:r>
    </w:p>
    <w:p w14:paraId="724398F2">
      <w:pPr>
        <w:bidi w:val="0"/>
      </w:pPr>
      <w:r>
        <w:rPr>
          <w:rFonts w:hint="eastAsia"/>
        </w:rPr>
        <w:t>6、</w:t>
      </w:r>
      <w:r>
        <w:t>应严格执行国家的基本建设程序，强化施工许可和竣工验收备案制度，确保工程质量</w:t>
      </w:r>
      <w:r>
        <w:rPr>
          <w:rFonts w:hint="eastAsia"/>
        </w:rPr>
        <w:t>。</w:t>
      </w:r>
    </w:p>
    <w:p w14:paraId="6CB67589">
      <w:pPr>
        <w:pStyle w:val="3"/>
        <w:bidi w:val="0"/>
        <w:rPr>
          <w:rFonts w:hint="eastAsia"/>
          <w:lang w:val="en-US" w:eastAsia="zh-CN"/>
        </w:rPr>
      </w:pPr>
      <w:bookmarkStart w:id="19" w:name="_Toc244227098"/>
      <w:bookmarkStart w:id="20" w:name="_Toc244662114"/>
      <w:bookmarkStart w:id="21" w:name="_Toc1095"/>
      <w:bookmarkStart w:id="22" w:name="_Toc261421058"/>
      <w:r>
        <w:rPr>
          <w:rFonts w:hint="eastAsia"/>
          <w:lang w:val="en-US" w:eastAsia="zh-CN"/>
        </w:rPr>
        <w:t>第三节建筑物抗震加固和改造策略</w:t>
      </w:r>
      <w:bookmarkEnd w:id="19"/>
      <w:bookmarkEnd w:id="20"/>
      <w:bookmarkEnd w:id="21"/>
      <w:bookmarkEnd w:id="22"/>
    </w:p>
    <w:p w14:paraId="3B198F4B">
      <w:pPr>
        <w:pStyle w:val="4"/>
        <w:numPr>
          <w:ilvl w:val="0"/>
          <w:numId w:val="0"/>
        </w:numPr>
        <w:bidi w:val="0"/>
        <w:ind w:leftChars="0"/>
        <w:rPr>
          <w:rFonts w:hint="eastAsia"/>
          <w:lang w:val="en-US" w:eastAsia="zh-CN"/>
        </w:rPr>
      </w:pPr>
      <w:r>
        <w:rPr>
          <w:rFonts w:hint="eastAsia"/>
          <w:lang w:val="en-US" w:eastAsia="zh-CN"/>
        </w:rPr>
        <w:t>第十三条</w:t>
      </w:r>
    </w:p>
    <w:p w14:paraId="73701ED4">
      <w:pPr>
        <w:bidi w:val="0"/>
        <w:rPr>
          <w:rFonts w:hint="eastAsia"/>
          <w:lang w:val="en-US" w:eastAsia="zh-CN"/>
        </w:rPr>
      </w:pPr>
      <w:r>
        <w:rPr>
          <w:rFonts w:hint="eastAsia"/>
          <w:lang w:val="en-US" w:eastAsia="zh-CN"/>
        </w:rPr>
        <w:t>对城市单体建筑物和区域震害预测的薄弱环节可以按以下原则采取抗震加固和改造的策略：</w:t>
      </w:r>
    </w:p>
    <w:p w14:paraId="07DCF9C1">
      <w:pPr>
        <w:bidi w:val="0"/>
      </w:pPr>
      <w:r>
        <w:rPr>
          <w:rFonts w:hint="eastAsia"/>
        </w:rPr>
        <w:t>1、“</w:t>
      </w:r>
      <w:r>
        <w:t>先重点后一般</w:t>
      </w:r>
      <w:r>
        <w:rPr>
          <w:rFonts w:hint="eastAsia"/>
        </w:rPr>
        <w:t>”</w:t>
      </w:r>
      <w:r>
        <w:t>的原则。</w:t>
      </w:r>
    </w:p>
    <w:p w14:paraId="29559661">
      <w:pPr>
        <w:bidi w:val="0"/>
      </w:pPr>
      <w:r>
        <w:rPr>
          <w:rFonts w:hint="eastAsia"/>
        </w:rPr>
        <w:t>2、“</w:t>
      </w:r>
      <w:r>
        <w:t>与</w:t>
      </w:r>
      <w:r>
        <w:rPr>
          <w:rFonts w:hint="eastAsia"/>
          <w:lang w:eastAsia="zh-CN"/>
        </w:rPr>
        <w:t>宁晋县国土空间总体规划</w:t>
      </w:r>
      <w:r>
        <w:t>相结合</w:t>
      </w:r>
      <w:r>
        <w:rPr>
          <w:rFonts w:hint="eastAsia"/>
        </w:rPr>
        <w:t>”</w:t>
      </w:r>
      <w:r>
        <w:t>原则。</w:t>
      </w:r>
    </w:p>
    <w:p w14:paraId="2C5F975F">
      <w:pPr>
        <w:bidi w:val="0"/>
      </w:pPr>
      <w:r>
        <w:rPr>
          <w:rFonts w:hint="eastAsia"/>
        </w:rPr>
        <w:t>3、“</w:t>
      </w:r>
      <w:r>
        <w:t>旧城改造与加固相结合</w:t>
      </w:r>
      <w:r>
        <w:rPr>
          <w:rFonts w:hint="eastAsia"/>
        </w:rPr>
        <w:t>”</w:t>
      </w:r>
      <w:r>
        <w:t>原则。</w:t>
      </w:r>
    </w:p>
    <w:p w14:paraId="64E631B9">
      <w:pPr>
        <w:bidi w:val="0"/>
      </w:pPr>
      <w:r>
        <w:rPr>
          <w:rFonts w:hint="eastAsia"/>
        </w:rPr>
        <w:t>4、“</w:t>
      </w:r>
      <w:r>
        <w:t>以人为本</w:t>
      </w:r>
      <w:r>
        <w:rPr>
          <w:rFonts w:hint="eastAsia"/>
        </w:rPr>
        <w:t>”</w:t>
      </w:r>
      <w:r>
        <w:t>原则。</w:t>
      </w:r>
    </w:p>
    <w:p w14:paraId="227D6370">
      <w:pPr>
        <w:bidi w:val="0"/>
      </w:pPr>
      <w:r>
        <w:rPr>
          <w:rFonts w:hint="eastAsia"/>
        </w:rPr>
        <w:t>5、“</w:t>
      </w:r>
      <w:r>
        <w:t>政府支持，居民参与</w:t>
      </w:r>
      <w:r>
        <w:rPr>
          <w:rFonts w:hint="eastAsia"/>
        </w:rPr>
        <w:t>”</w:t>
      </w:r>
      <w:r>
        <w:t>原则。</w:t>
      </w:r>
    </w:p>
    <w:p w14:paraId="58B82F03">
      <w:pPr>
        <w:pStyle w:val="2"/>
        <w:jc w:val="center"/>
        <w:rPr>
          <w:rFonts w:hint="eastAsia" w:ascii="黑体" w:eastAsia="黑体"/>
          <w:b w:val="0"/>
          <w:sz w:val="32"/>
          <w:szCs w:val="32"/>
          <w:lang w:val="zh-CN" w:eastAsia="zh-CN"/>
        </w:rPr>
      </w:pPr>
      <w:bookmarkStart w:id="23" w:name="_Toc14585"/>
      <w:bookmarkStart w:id="24" w:name="_Toc11784"/>
      <w:r>
        <w:rPr>
          <w:rFonts w:hint="eastAsia" w:ascii="黑体" w:eastAsia="黑体"/>
          <w:b w:val="0"/>
          <w:sz w:val="32"/>
          <w:szCs w:val="32"/>
          <w:lang w:val="zh-CN" w:eastAsia="zh-CN"/>
        </w:rPr>
        <w:t>第四章生命线系统抗震规划</w:t>
      </w:r>
      <w:bookmarkEnd w:id="23"/>
      <w:bookmarkEnd w:id="24"/>
    </w:p>
    <w:p w14:paraId="6AFD3033">
      <w:pPr>
        <w:pStyle w:val="4"/>
        <w:numPr>
          <w:ilvl w:val="0"/>
          <w:numId w:val="0"/>
        </w:numPr>
        <w:bidi w:val="0"/>
        <w:ind w:leftChars="0"/>
        <w:rPr>
          <w:rFonts w:hint="eastAsia"/>
          <w:lang w:val="en-US" w:eastAsia="zh-CN"/>
        </w:rPr>
      </w:pPr>
      <w:r>
        <w:rPr>
          <w:rFonts w:hint="eastAsia"/>
          <w:lang w:val="en-US" w:eastAsia="zh-CN"/>
        </w:rPr>
        <w:t>第十四条 县域道路交通抗震规划</w:t>
      </w:r>
    </w:p>
    <w:p w14:paraId="2C6780BA">
      <w:pPr>
        <w:bidi w:val="0"/>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，规划城市</w:t>
      </w:r>
      <w:r>
        <w:rPr>
          <w:rFonts w:hint="eastAsia"/>
        </w:rPr>
        <w:t>对外公路交通主要是</w:t>
      </w:r>
      <w:r>
        <w:rPr>
          <w:rFonts w:hint="eastAsia"/>
          <w:lang w:eastAsia="zh-CN"/>
        </w:rPr>
        <w:t>青银高速公路、京武高速公路（宁晋段）、德晋高速公路、国道</w:t>
      </w:r>
      <w:r>
        <w:rPr>
          <w:rFonts w:hint="eastAsia"/>
          <w:lang w:val="en-US" w:eastAsia="zh-CN"/>
        </w:rPr>
        <w:t>G515、国道G308</w:t>
      </w:r>
      <w:r>
        <w:rPr>
          <w:rFonts w:hint="eastAsia"/>
        </w:rPr>
        <w:t>。</w:t>
      </w:r>
    </w:p>
    <w:p w14:paraId="4D707D34">
      <w:pPr>
        <w:bidi w:val="0"/>
        <w:rPr>
          <w:rFonts w:hint="eastAsia"/>
          <w:lang w:eastAsia="zh-CN"/>
        </w:rPr>
      </w:pPr>
      <w:r>
        <w:rPr>
          <w:rFonts w:hint="eastAsia"/>
          <w:lang w:eastAsia="zh-CN"/>
        </w:rPr>
        <w:t>主要出入口是青银高速的两个互通下道口。</w:t>
      </w:r>
    </w:p>
    <w:p w14:paraId="02062A95">
      <w:pPr>
        <w:bidi w:val="0"/>
        <w:rPr>
          <w:rFonts w:hint="eastAsia"/>
          <w:lang w:eastAsia="zh-CN"/>
        </w:rPr>
      </w:pPr>
      <w:r>
        <w:rPr>
          <w:rFonts w:hint="eastAsia"/>
        </w:rPr>
        <w:t>对现状</w:t>
      </w:r>
      <w:r>
        <w:rPr>
          <w:rFonts w:hint="eastAsia"/>
          <w:lang w:eastAsia="zh-CN"/>
        </w:rPr>
        <w:t>宁晋县域</w:t>
      </w:r>
      <w:r>
        <w:rPr>
          <w:rFonts w:hint="eastAsia"/>
        </w:rPr>
        <w:t>客运站进行提升，抗震设防类别应划为重点设防类，</w:t>
      </w:r>
      <w:r>
        <w:rPr>
          <w:rFonts w:hint="eastAsia"/>
          <w:lang w:eastAsia="zh-CN"/>
        </w:rPr>
        <w:t>虽现状客运站满足重点建筑物应提高一度设防标准要求，但客运站仍需</w:t>
      </w:r>
      <w:r>
        <w:rPr>
          <w:rFonts w:hint="eastAsia"/>
        </w:rPr>
        <w:t>进行加固改造。</w:t>
      </w:r>
    </w:p>
    <w:p w14:paraId="55670537">
      <w:pPr>
        <w:bidi w:val="0"/>
        <w:rPr>
          <w:rFonts w:hint="eastAsia"/>
          <w:lang w:eastAsia="zh-CN"/>
        </w:rPr>
      </w:pPr>
      <w:r>
        <w:rPr>
          <w:rFonts w:hint="eastAsia"/>
        </w:rPr>
        <w:t>将城市主干路作为震后抗震抢险救灾主干道。</w:t>
      </w:r>
    </w:p>
    <w:p w14:paraId="1E0CBCCD">
      <w:pPr>
        <w:bidi w:val="0"/>
        <w:rPr>
          <w:rFonts w:hint="eastAsia"/>
          <w:lang w:eastAsia="zh-CN"/>
        </w:rPr>
      </w:pPr>
      <w:r>
        <w:rPr>
          <w:rFonts w:hint="eastAsia"/>
        </w:rPr>
        <w:t>新建桥梁按照抗震级别</w:t>
      </w:r>
      <w:r>
        <w:rPr>
          <w:rFonts w:hint="eastAsia"/>
          <w:lang w:eastAsia="zh-CN"/>
        </w:rPr>
        <w:t>九度</w:t>
      </w:r>
      <w:r>
        <w:rPr>
          <w:rFonts w:hint="eastAsia"/>
        </w:rPr>
        <w:t>以上的要求设防。</w:t>
      </w:r>
    </w:p>
    <w:p w14:paraId="647596B4">
      <w:pPr>
        <w:bidi w:val="0"/>
        <w:rPr>
          <w:rFonts w:hint="eastAsia"/>
          <w:lang w:eastAsia="zh-CN"/>
        </w:rPr>
      </w:pPr>
      <w:r>
        <w:rPr>
          <w:rFonts w:hint="eastAsia"/>
        </w:rPr>
        <w:t>抢险救灾疏散通道两侧主要建筑进行限高，多层建筑退道路红线10M，高层建筑退道路红线15M，以防建筑物倒塌阻碍交通</w:t>
      </w:r>
      <w:r>
        <w:rPr>
          <w:rFonts w:hint="eastAsia"/>
          <w:lang w:eastAsia="zh-CN"/>
        </w:rPr>
        <w:t>。</w:t>
      </w:r>
    </w:p>
    <w:p w14:paraId="3F2C1430">
      <w:pPr>
        <w:bidi w:val="0"/>
        <w:rPr>
          <w:rFonts w:hint="eastAsia"/>
          <w:lang w:eastAsia="zh-CN"/>
        </w:rPr>
      </w:pPr>
      <w:r>
        <w:rPr>
          <w:rFonts w:hint="eastAsia"/>
          <w:lang w:eastAsia="zh-CN"/>
        </w:rPr>
        <w:t>针对中心城区的地道桥、天桥等建筑物，由于</w:t>
      </w:r>
      <w:r>
        <w:rPr>
          <w:rFonts w:hint="eastAsia"/>
        </w:rPr>
        <w:t>地震可能导致地道桥和天桥的结构损伤或破坏，影响其结构的完整性和稳定性</w:t>
      </w:r>
      <w:r>
        <w:rPr>
          <w:rFonts w:hint="eastAsia"/>
          <w:lang w:eastAsia="zh-CN"/>
        </w:rPr>
        <w:t>，因此在灾害发生时，应避免使用地道桥、天桥等建筑物，并同时提高地道桥、天桥的抗震设防标准。</w:t>
      </w:r>
    </w:p>
    <w:p w14:paraId="252C744C">
      <w:pPr>
        <w:bidi w:val="0"/>
        <w:rPr>
          <w:rFonts w:hint="eastAsia"/>
          <w:lang w:eastAsia="zh-CN"/>
        </w:rPr>
      </w:pPr>
      <w:r>
        <w:rPr>
          <w:rFonts w:hint="eastAsia"/>
          <w:lang w:eastAsia="zh-CN"/>
        </w:rPr>
        <w:t>县域范围内的桥梁等建筑物，在发现灾害时，同时也应避免在桥面路过，并将桥梁等建筑物提高一度设防标准。</w:t>
      </w:r>
    </w:p>
    <w:p w14:paraId="6EFB273B">
      <w:pPr>
        <w:pStyle w:val="4"/>
        <w:numPr>
          <w:ilvl w:val="0"/>
          <w:numId w:val="0"/>
        </w:numPr>
        <w:bidi w:val="0"/>
        <w:ind w:leftChars="0"/>
        <w:rPr>
          <w:rFonts w:hint="eastAsia"/>
          <w:lang w:val="en-US" w:eastAsia="zh-CN"/>
        </w:rPr>
      </w:pPr>
      <w:r>
        <w:rPr>
          <w:rFonts w:hint="eastAsia"/>
          <w:lang w:val="en-US" w:eastAsia="zh-CN"/>
        </w:rPr>
        <w:t>第十五条 县域供水系统抗震规划</w:t>
      </w:r>
    </w:p>
    <w:p w14:paraId="50336D3A">
      <w:pPr>
        <w:bidi w:val="0"/>
      </w:pPr>
      <w:r>
        <w:rPr>
          <w:rFonts w:hint="eastAsia"/>
        </w:rPr>
        <w:t>规划对新建给水系统的建（构）筑物、配水井、送水泵房、加氯间或氯库作为运行中枢机构的控制室及水质化验室加强设防，使达到</w:t>
      </w:r>
      <w:r>
        <w:rPr>
          <w:rFonts w:hint="eastAsia"/>
          <w:lang w:eastAsia="zh-CN"/>
        </w:rPr>
        <w:t>位于凤凰镇、宁北街道、河渠镇、北河庄镇、大陆村镇、换马店镇、苏家庄镇、唐邱镇、北鱼乡、大曹庄镇八度烈度；位于耿庄桥镇、贾家口镇、四芝兰镇、侯口镇、纪昌庄镇、东汪镇、徐家河乡九度烈度设防的要求</w:t>
      </w:r>
      <w:r>
        <w:rPr>
          <w:rFonts w:hint="eastAsia"/>
        </w:rPr>
        <w:t>。</w:t>
      </w:r>
    </w:p>
    <w:p w14:paraId="3A896262">
      <w:pPr>
        <w:bidi w:val="0"/>
      </w:pPr>
      <w:r>
        <w:rPr>
          <w:rFonts w:hint="eastAsia"/>
        </w:rPr>
        <w:t>结合城市供水现状和</w:t>
      </w:r>
      <w:r>
        <w:rPr>
          <w:rFonts w:hint="eastAsia"/>
          <w:lang w:eastAsia="zh-CN"/>
        </w:rPr>
        <w:t>宁晋县国土空间</w:t>
      </w:r>
      <w:r>
        <w:rPr>
          <w:rFonts w:hint="eastAsia"/>
        </w:rPr>
        <w:t>总体规划（20</w:t>
      </w:r>
      <w:r>
        <w:rPr>
          <w:rFonts w:hint="eastAsia"/>
          <w:lang w:val="en-US" w:eastAsia="zh-CN"/>
        </w:rPr>
        <w:t>21</w:t>
      </w:r>
      <w:r>
        <w:rPr>
          <w:rFonts w:hint="eastAsia"/>
        </w:rPr>
        <w:t>-20</w:t>
      </w:r>
      <w:r>
        <w:rPr>
          <w:rFonts w:hint="eastAsia"/>
          <w:lang w:val="en-US" w:eastAsia="zh-CN"/>
        </w:rPr>
        <w:t>35</w:t>
      </w:r>
      <w:r>
        <w:rPr>
          <w:rFonts w:hint="eastAsia"/>
        </w:rPr>
        <w:t>年）以及道路交通现状和道路交通抗震防灾规划，确定供水主干管网位置。供水主干管网沿主干路道路呈环状敷设，并增加阀门控制，便于遭受震害后分割、抢修。</w:t>
      </w:r>
    </w:p>
    <w:p w14:paraId="7714A8B5">
      <w:pPr>
        <w:pStyle w:val="4"/>
        <w:numPr>
          <w:ilvl w:val="0"/>
          <w:numId w:val="0"/>
        </w:numPr>
        <w:bidi w:val="0"/>
        <w:ind w:leftChars="0"/>
        <w:rPr>
          <w:rFonts w:hint="eastAsia"/>
          <w:lang w:val="en-US" w:eastAsia="zh-CN"/>
        </w:rPr>
      </w:pPr>
      <w:r>
        <w:rPr>
          <w:rFonts w:hint="eastAsia"/>
          <w:lang w:val="en-US" w:eastAsia="zh-CN"/>
        </w:rPr>
        <w:t>第十六条 县域污水系统抗震规划</w:t>
      </w:r>
    </w:p>
    <w:p w14:paraId="141AD1D8">
      <w:pPr>
        <w:bidi w:val="0"/>
        <w:rPr>
          <w:rFonts w:hint="eastAsia"/>
          <w:lang w:eastAsia="zh-CN"/>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，保留</w:t>
      </w:r>
      <w:r>
        <w:rPr>
          <w:rFonts w:hint="eastAsia"/>
          <w:lang w:eastAsia="zh-CN"/>
        </w:rPr>
        <w:t>现状</w:t>
      </w:r>
      <w:r>
        <w:rPr>
          <w:rFonts w:hint="eastAsia"/>
        </w:rPr>
        <w:t>6座污水处理厂，新建北部新区污水处理厂和宁晋县再生水厂，各乡镇至少规划一座污水处理站，其他农村社区污水则由小型一体化污水处理站进行处理</w:t>
      </w:r>
      <w:r>
        <w:rPr>
          <w:rFonts w:hint="eastAsia"/>
          <w:lang w:eastAsia="zh-CN"/>
        </w:rPr>
        <w:t>，规划</w:t>
      </w:r>
      <w:r>
        <w:rPr>
          <w:rFonts w:hint="eastAsia"/>
        </w:rPr>
        <w:t>新建重要建筑物和构筑物</w:t>
      </w:r>
      <w:r>
        <w:rPr>
          <w:rFonts w:hint="eastAsia"/>
          <w:lang w:eastAsia="zh-CN"/>
        </w:rPr>
        <w:t>应根据位于</w:t>
      </w:r>
      <w:r>
        <w:rPr>
          <w:rFonts w:hint="eastAsia"/>
        </w:rPr>
        <w:t>凤凰镇、宁北街道、河渠镇、北河庄镇、大陆村镇、换马店镇、苏家庄镇、唐邱镇、北鱼乡、大曹庄镇</w:t>
      </w:r>
      <w:r>
        <w:rPr>
          <w:rFonts w:hint="eastAsia"/>
          <w:lang w:eastAsia="zh-CN"/>
        </w:rPr>
        <w:t>按照</w:t>
      </w:r>
      <w:r>
        <w:rPr>
          <w:rFonts w:hint="eastAsia"/>
        </w:rPr>
        <w:t>抗震设防烈度</w:t>
      </w:r>
      <w:r>
        <w:rPr>
          <w:rFonts w:hint="eastAsia"/>
          <w:lang w:eastAsia="zh-CN"/>
        </w:rPr>
        <w:t>七</w:t>
      </w:r>
      <w:r>
        <w:rPr>
          <w:rFonts w:hint="eastAsia"/>
        </w:rPr>
        <w:t>度设防；</w:t>
      </w:r>
      <w:r>
        <w:rPr>
          <w:rFonts w:hint="eastAsia"/>
          <w:lang w:eastAsia="zh-CN"/>
        </w:rPr>
        <w:t>位于</w:t>
      </w:r>
      <w:r>
        <w:rPr>
          <w:rFonts w:hint="eastAsia"/>
        </w:rPr>
        <w:t>耿庄桥镇、贾家口镇、四芝兰镇、侯口镇、纪昌庄镇、东汪镇、徐家河乡按抗震设防烈度</w:t>
      </w:r>
      <w:r>
        <w:rPr>
          <w:rFonts w:hint="eastAsia"/>
          <w:lang w:eastAsia="zh-CN"/>
        </w:rPr>
        <w:t>八</w:t>
      </w:r>
      <w:r>
        <w:rPr>
          <w:rFonts w:hint="eastAsia"/>
        </w:rPr>
        <w:t>度设防</w:t>
      </w:r>
      <w:r>
        <w:rPr>
          <w:rFonts w:hint="eastAsia"/>
          <w:lang w:eastAsia="zh-CN"/>
        </w:rPr>
        <w:t>。</w:t>
      </w:r>
    </w:p>
    <w:p w14:paraId="7B629AC6">
      <w:pPr>
        <w:pStyle w:val="4"/>
        <w:numPr>
          <w:ilvl w:val="0"/>
          <w:numId w:val="0"/>
        </w:numPr>
        <w:bidi w:val="0"/>
        <w:ind w:leftChars="0"/>
        <w:rPr>
          <w:rFonts w:hint="eastAsia"/>
          <w:lang w:val="en-US" w:eastAsia="zh-CN"/>
        </w:rPr>
      </w:pPr>
      <w:r>
        <w:rPr>
          <w:rFonts w:hint="eastAsia"/>
          <w:lang w:val="en-US" w:eastAsia="zh-CN"/>
        </w:rPr>
        <w:t>第十七条 县域供电系统抗震规划</w:t>
      </w:r>
    </w:p>
    <w:p w14:paraId="1A2BCDB9">
      <w:pPr>
        <w:bidi w:val="0"/>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规划新建500千伏变电站一座，规划220千伏变电站5座，其中，保留现状高口站，增容现状宁晋站、户营站，新建宁晋南站和郝庄站；规划110千伏变电站21座，其中保留现状3座，增容现状8座，新建10座。同时保留刘路、九河光伏电站，</w:t>
      </w:r>
      <w:r>
        <w:rPr>
          <w:rFonts w:hint="eastAsia"/>
          <w:lang w:eastAsia="zh-CN"/>
        </w:rPr>
        <w:t>规划</w:t>
      </w:r>
      <w:r>
        <w:rPr>
          <w:rFonts w:hint="eastAsia"/>
        </w:rPr>
        <w:t>对新建变电站主要建筑按照</w:t>
      </w:r>
      <w:r>
        <w:rPr>
          <w:rFonts w:hint="eastAsia"/>
          <w:lang w:eastAsia="zh-CN"/>
        </w:rPr>
        <w:t>位于凤凰镇、宁北街道、河渠镇、北河庄镇、大陆村镇、换马店镇、苏家庄镇、唐邱镇、北鱼乡、大曹庄镇按照抗震设防烈度八度设防；位于耿庄桥镇、贾家口镇、四芝兰镇、侯口镇、纪昌庄镇、东汪镇、徐家河乡按抗震设防烈度九度设防</w:t>
      </w:r>
      <w:r>
        <w:rPr>
          <w:rFonts w:hint="eastAsia"/>
        </w:rPr>
        <w:t>。</w:t>
      </w:r>
    </w:p>
    <w:p w14:paraId="4A1E68CD">
      <w:pPr>
        <w:bidi w:val="0"/>
      </w:pPr>
      <w:r>
        <w:rPr>
          <w:rFonts w:hint="eastAsia"/>
        </w:rPr>
        <w:t>10kv线路在城市主干道及城市重点地段采用地下电缆，以利城市景观和供电安全性。</w:t>
      </w:r>
    </w:p>
    <w:p w14:paraId="0713BC3F">
      <w:pPr>
        <w:bidi w:val="0"/>
        <w:rPr>
          <w:rFonts w:hint="eastAsia"/>
          <w:lang w:eastAsia="zh-CN"/>
        </w:rPr>
      </w:pPr>
      <w:r>
        <w:rPr>
          <w:rFonts w:hint="eastAsia"/>
        </w:rPr>
        <w:t>规划对消防单位、医疗单位、供水单位、通信单位等重点单位和城市避难疏散场地，新建一套应急供电系统，供电线路采用</w:t>
      </w:r>
      <w:r>
        <w:rPr>
          <w:rFonts w:hint="eastAsia"/>
          <w:lang w:eastAsia="zh-CN"/>
        </w:rPr>
        <w:t>地埋</w:t>
      </w:r>
      <w:r>
        <w:rPr>
          <w:rFonts w:hint="eastAsia"/>
        </w:rPr>
        <w:t>敷设方式，各个构筑物</w:t>
      </w:r>
      <w:r>
        <w:rPr>
          <w:rFonts w:hint="eastAsia"/>
          <w:lang w:eastAsia="zh-CN"/>
        </w:rPr>
        <w:t>根据位于</w:t>
      </w:r>
      <w:r>
        <w:rPr>
          <w:rFonts w:hint="eastAsia"/>
        </w:rPr>
        <w:t>凤凰镇、宁北街道、河渠镇、北河庄镇、大陆村镇、换马店镇、苏家庄镇、唐邱镇、北鱼乡、大曹庄镇</w:t>
      </w:r>
      <w:r>
        <w:rPr>
          <w:rFonts w:hint="eastAsia"/>
          <w:lang w:eastAsia="zh-CN"/>
        </w:rPr>
        <w:t>按照</w:t>
      </w:r>
      <w:r>
        <w:rPr>
          <w:rFonts w:hint="eastAsia"/>
        </w:rPr>
        <w:t>抗震设防烈度</w:t>
      </w:r>
      <w:r>
        <w:rPr>
          <w:rFonts w:hint="eastAsia"/>
          <w:lang w:eastAsia="zh-CN"/>
        </w:rPr>
        <w:t>八</w:t>
      </w:r>
      <w:r>
        <w:rPr>
          <w:rFonts w:hint="eastAsia"/>
        </w:rPr>
        <w:t>度设防；</w:t>
      </w:r>
      <w:r>
        <w:rPr>
          <w:rFonts w:hint="eastAsia"/>
          <w:lang w:eastAsia="zh-CN"/>
        </w:rPr>
        <w:t>位于</w:t>
      </w:r>
      <w:r>
        <w:rPr>
          <w:rFonts w:hint="eastAsia"/>
        </w:rPr>
        <w:t>耿庄桥镇、贾家口镇、四芝兰镇、侯口镇、纪昌庄镇、东汪镇、徐家河乡按抗震设防烈度</w:t>
      </w:r>
      <w:r>
        <w:rPr>
          <w:rFonts w:hint="eastAsia"/>
          <w:lang w:eastAsia="zh-CN"/>
        </w:rPr>
        <w:t>九</w:t>
      </w:r>
      <w:r>
        <w:rPr>
          <w:rFonts w:hint="eastAsia"/>
        </w:rPr>
        <w:t>度设防，要求重点单位必须为双电源供电，必须具备自备电源。</w:t>
      </w:r>
    </w:p>
    <w:p w14:paraId="220A2ABE">
      <w:pPr>
        <w:pStyle w:val="4"/>
        <w:numPr>
          <w:ilvl w:val="0"/>
          <w:numId w:val="0"/>
        </w:numPr>
        <w:bidi w:val="0"/>
        <w:ind w:leftChars="0"/>
        <w:rPr>
          <w:rFonts w:hint="eastAsia"/>
          <w:lang w:val="en-US" w:eastAsia="zh-CN"/>
        </w:rPr>
      </w:pPr>
      <w:r>
        <w:rPr>
          <w:rFonts w:hint="eastAsia"/>
          <w:lang w:val="en-US" w:eastAsia="zh-CN"/>
        </w:rPr>
        <w:t>第十八条 县域通信系统抗震规划</w:t>
      </w:r>
    </w:p>
    <w:p w14:paraId="0A800681">
      <w:pPr>
        <w:bidi w:val="0"/>
      </w:pPr>
      <w:r>
        <w:rPr>
          <w:rFonts w:hint="eastAsia"/>
        </w:rPr>
        <w:t>1、</w:t>
      </w:r>
      <w:r>
        <w:t>通信节点</w:t>
      </w:r>
    </w:p>
    <w:p w14:paraId="13B67488">
      <w:pPr>
        <w:bidi w:val="0"/>
      </w:pPr>
      <w:r>
        <w:t>通信关键节点，包括各通信服务单位数据处理中心，基站，机房，政府机关、抗震指挥中心、消防、供水、燃气、医疗系统以及各个避震疏散场所。</w:t>
      </w:r>
    </w:p>
    <w:p w14:paraId="338E8B59">
      <w:pPr>
        <w:bidi w:val="0"/>
      </w:pPr>
      <w:r>
        <w:rPr>
          <w:rFonts w:hint="eastAsia"/>
        </w:rPr>
        <w:t>2、</w:t>
      </w:r>
      <w:r>
        <w:t>通信服务单位和通信设备</w:t>
      </w:r>
    </w:p>
    <w:p w14:paraId="3254F53D">
      <w:pPr>
        <w:bidi w:val="0"/>
      </w:pPr>
      <w:r>
        <w:t>规划对现状</w:t>
      </w:r>
      <w:r>
        <w:rPr>
          <w:rFonts w:hint="eastAsia"/>
          <w:lang w:eastAsia="zh-CN"/>
        </w:rPr>
        <w:t>位于</w:t>
      </w:r>
      <w:r>
        <w:rPr>
          <w:rFonts w:hint="eastAsia"/>
        </w:rPr>
        <w:t>凤凰镇、宁北街道、河渠镇、北河庄镇、大陆村镇、换马店镇、苏家庄镇、唐邱镇、北鱼乡、大曹庄镇</w:t>
      </w:r>
      <w:r>
        <w:rPr>
          <w:rFonts w:hint="eastAsia"/>
          <w:lang w:eastAsia="zh-CN"/>
        </w:rPr>
        <w:t>不按照</w:t>
      </w:r>
      <w:r>
        <w:rPr>
          <w:rFonts w:hint="eastAsia"/>
        </w:rPr>
        <w:t>抗震设防烈度</w:t>
      </w:r>
      <w:r>
        <w:rPr>
          <w:rFonts w:hint="eastAsia"/>
          <w:lang w:eastAsia="zh-CN"/>
        </w:rPr>
        <w:t>七</w:t>
      </w:r>
      <w:r>
        <w:rPr>
          <w:rFonts w:hint="eastAsia"/>
        </w:rPr>
        <w:t>度设防；</w:t>
      </w:r>
      <w:r>
        <w:rPr>
          <w:rFonts w:hint="eastAsia"/>
          <w:lang w:eastAsia="zh-CN"/>
        </w:rPr>
        <w:t>位于</w:t>
      </w:r>
      <w:r>
        <w:rPr>
          <w:rFonts w:hint="eastAsia"/>
        </w:rPr>
        <w:t>耿庄桥镇、贾家口镇、四芝兰镇、侯口镇、纪昌庄镇、东汪镇、徐家河乡</w:t>
      </w:r>
      <w:r>
        <w:rPr>
          <w:rFonts w:hint="eastAsia"/>
          <w:lang w:eastAsia="zh-CN"/>
        </w:rPr>
        <w:t>不按照</w:t>
      </w:r>
      <w:r>
        <w:rPr>
          <w:rFonts w:hint="eastAsia"/>
        </w:rPr>
        <w:t>抗震设防烈度</w:t>
      </w:r>
      <w:r>
        <w:rPr>
          <w:rFonts w:hint="eastAsia"/>
          <w:lang w:eastAsia="zh-CN"/>
        </w:rPr>
        <w:t>八</w:t>
      </w:r>
      <w:r>
        <w:rPr>
          <w:rFonts w:hint="eastAsia"/>
        </w:rPr>
        <w:t>度设防</w:t>
      </w:r>
      <w:r>
        <w:t>要求的办公建筑和自建机房按照</w:t>
      </w:r>
      <w:r>
        <w:rPr>
          <w:rFonts w:hint="eastAsia"/>
        </w:rPr>
        <w:t>《</w:t>
      </w:r>
      <w:r>
        <w:t>电信设备安装抗震设计规范</w:t>
      </w:r>
      <w:r>
        <w:rPr>
          <w:rFonts w:hint="eastAsia"/>
        </w:rPr>
        <w:t>》（YD5059-2005）</w:t>
      </w:r>
      <w:r>
        <w:t>进行加固和改造。</w:t>
      </w:r>
    </w:p>
    <w:p w14:paraId="73F7A965">
      <w:pPr>
        <w:bidi w:val="0"/>
      </w:pPr>
      <w:r>
        <w:rPr>
          <w:rFonts w:hint="eastAsia"/>
        </w:rPr>
        <w:t>3、</w:t>
      </w:r>
      <w:r>
        <w:t>通信线路</w:t>
      </w:r>
    </w:p>
    <w:p w14:paraId="36281E38">
      <w:pPr>
        <w:bidi w:val="0"/>
      </w:pPr>
      <w:r>
        <w:t>规划对现状架空敷设的管道尽量改造为地埋敷设。规划新架管线一律采用地埋敷设方式，以增强抗震性能。</w:t>
      </w:r>
    </w:p>
    <w:p w14:paraId="45403C53">
      <w:pPr>
        <w:bidi w:val="0"/>
      </w:pPr>
      <w:r>
        <w:rPr>
          <w:rFonts w:hint="eastAsia"/>
        </w:rPr>
        <w:t>4、</w:t>
      </w:r>
      <w:r>
        <w:t>应急通信</w:t>
      </w:r>
    </w:p>
    <w:p w14:paraId="10FF0E14">
      <w:pPr>
        <w:bidi w:val="0"/>
      </w:pPr>
      <w:r>
        <w:rPr>
          <w:rFonts w:hint="eastAsia"/>
        </w:rPr>
        <w:t>电信、联通、移动、邮电等单位，</w:t>
      </w:r>
      <w:r>
        <w:rPr>
          <w:rFonts w:hint="eastAsia"/>
          <w:lang w:eastAsia="zh-CN"/>
        </w:rPr>
        <w:t>建议</w:t>
      </w:r>
      <w:r>
        <w:rPr>
          <w:rFonts w:hint="eastAsia"/>
        </w:rPr>
        <w:t>按照本规划的要求编制本部门的抗震防灾应急预案，制定抗震防灾措施，确保</w:t>
      </w:r>
      <w:r>
        <w:t>震时城市通信节点的通信畅通</w:t>
      </w:r>
      <w:r>
        <w:rPr>
          <w:rFonts w:hint="eastAsia"/>
        </w:rPr>
        <w:t>。</w:t>
      </w:r>
    </w:p>
    <w:p w14:paraId="57F5A4CF">
      <w:pPr>
        <w:pStyle w:val="4"/>
        <w:numPr>
          <w:ilvl w:val="0"/>
          <w:numId w:val="0"/>
        </w:numPr>
        <w:bidi w:val="0"/>
        <w:ind w:leftChars="0"/>
        <w:rPr>
          <w:rFonts w:hint="eastAsia"/>
          <w:lang w:val="en-US" w:eastAsia="zh-CN"/>
        </w:rPr>
      </w:pPr>
      <w:r>
        <w:rPr>
          <w:rFonts w:hint="eastAsia"/>
          <w:lang w:val="en-US" w:eastAsia="zh-CN"/>
        </w:rPr>
        <w:t>第十九条 县域燃气系统抗震规划</w:t>
      </w:r>
    </w:p>
    <w:p w14:paraId="652D65D1">
      <w:pPr>
        <w:bidi w:val="0"/>
      </w:pPr>
      <w:r>
        <w:rPr>
          <w:rFonts w:hint="eastAsia"/>
        </w:rPr>
        <w:t>规划对</w:t>
      </w:r>
      <w:r>
        <w:rPr>
          <w:rFonts w:hint="eastAsia"/>
          <w:lang w:eastAsia="zh-CN"/>
        </w:rPr>
        <w:t>宁晋县县域</w:t>
      </w:r>
      <w:r>
        <w:rPr>
          <w:rFonts w:hint="eastAsia"/>
        </w:rPr>
        <w:t>燃气厂的主厂房、贮气罐等主要建筑以及高压和次高压输配气管道等主要设施以及燃气储备站和各主要燃气厂站根据</w:t>
      </w:r>
      <w:r>
        <w:t>《建筑抗震设计规范》（征求意见稿）和《建筑抗震加固技术规程》（JGJ116-2009）</w:t>
      </w:r>
      <w:r>
        <w:rPr>
          <w:rFonts w:hint="eastAsia"/>
        </w:rPr>
        <w:t>进行加固，提高其抗震能力。</w:t>
      </w:r>
    </w:p>
    <w:p w14:paraId="52B415CF">
      <w:pPr>
        <w:bidi w:val="0"/>
      </w:pPr>
      <w:r>
        <w:rPr>
          <w:rFonts w:hint="eastAsia"/>
        </w:rPr>
        <w:t>新建的燃气厂房、设备和燃气管道应按</w:t>
      </w:r>
      <w:r>
        <w:rPr>
          <w:rFonts w:hint="eastAsia"/>
          <w:lang w:eastAsia="zh-CN"/>
        </w:rPr>
        <w:t>位于凤凰镇、宁北街道、河渠镇、北河庄镇、大陆村镇、换马店镇、苏家庄镇、唐邱镇、北鱼乡、大曹庄镇抗震设防烈度七度设防；位于耿庄桥镇、贾家口镇、四芝兰镇、侯口镇、纪昌庄镇、东汪镇、徐家河乡按抗震设防烈度八度设防</w:t>
      </w:r>
      <w:r>
        <w:rPr>
          <w:rFonts w:hint="eastAsia"/>
        </w:rPr>
        <w:t>。新建主干管网选用抗震性能好的管材；逐步淘汰小管径刚性接口的管材，积极推广采用钢管或PE管，并采用抗震性好的柔性连接方式。</w:t>
      </w:r>
    </w:p>
    <w:p w14:paraId="1E08BE72">
      <w:pPr>
        <w:bidi w:val="0"/>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w:t>
      </w:r>
      <w:r>
        <w:rPr>
          <w:rFonts w:hint="eastAsia"/>
        </w:rPr>
        <w:t>以</w:t>
      </w:r>
      <w:r>
        <w:rPr>
          <w:rFonts w:hint="eastAsia"/>
          <w:lang w:eastAsia="zh-CN"/>
        </w:rPr>
        <w:t>盐穴地下储备库</w:t>
      </w:r>
      <w:r>
        <w:rPr>
          <w:rFonts w:hint="eastAsia"/>
        </w:rPr>
        <w:t>作为气源点，采用运输的方式运输到</w:t>
      </w:r>
      <w:r>
        <w:rPr>
          <w:rFonts w:hint="eastAsia"/>
          <w:lang w:eastAsia="zh-CN"/>
        </w:rPr>
        <w:t>宁晋县县域</w:t>
      </w:r>
      <w:r>
        <w:rPr>
          <w:rFonts w:hint="eastAsia"/>
        </w:rPr>
        <w:t>储气站。</w:t>
      </w:r>
    </w:p>
    <w:p w14:paraId="49E95489">
      <w:pPr>
        <w:pStyle w:val="4"/>
        <w:numPr>
          <w:ilvl w:val="0"/>
          <w:numId w:val="0"/>
        </w:numPr>
        <w:bidi w:val="0"/>
        <w:ind w:leftChars="0"/>
        <w:rPr>
          <w:rFonts w:hint="eastAsia"/>
          <w:lang w:val="en-US" w:eastAsia="zh-CN"/>
        </w:rPr>
      </w:pPr>
      <w:r>
        <w:rPr>
          <w:rFonts w:hint="eastAsia"/>
          <w:lang w:val="en-US" w:eastAsia="zh-CN"/>
        </w:rPr>
        <w:t>第二十条 县域供热系统抗震规划</w:t>
      </w:r>
    </w:p>
    <w:p w14:paraId="67021B43">
      <w:pPr>
        <w:bidi w:val="0"/>
        <w:rPr>
          <w:rFonts w:hint="eastAsia"/>
          <w:lang w:eastAsia="zh-CN"/>
        </w:rPr>
      </w:pPr>
      <w:r>
        <w:rPr>
          <w:rFonts w:hint="eastAsia"/>
          <w:lang w:eastAsia="zh-CN"/>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规划保留现状玉锋集团热电一厂、热电二厂和宁纺热电厂、中电投热电厂、三川化工供热站，新建三处地热供热站，新建的供热厂房、设备和管道应按位于凤凰镇、宁北街道、河渠镇、北河庄镇、大陆村镇、换马店镇、苏家庄镇、唐邱镇、北鱼乡、大曹庄镇抗震设防烈度八度设防；位于耿庄桥镇、贾家口镇、四芝兰镇、侯口镇、纪昌庄镇、东汪镇、徐家河乡按抗震设防烈度九度设防</w:t>
      </w:r>
      <w:r>
        <w:rPr>
          <w:rFonts w:hint="eastAsia"/>
        </w:rPr>
        <w:t>。供热管道穿越建（构）筑物的墙时，应采取适当的加固措施。供热管道应布置成多回路、环状管网，以便多向供应，方便抢修。</w:t>
      </w:r>
    </w:p>
    <w:p w14:paraId="7FF2B9E4">
      <w:pPr>
        <w:bidi w:val="0"/>
        <w:rPr>
          <w:rFonts w:hint="eastAsia"/>
          <w:lang w:eastAsia="zh-CN"/>
        </w:rPr>
      </w:pPr>
      <w:r>
        <w:rPr>
          <w:rFonts w:hint="eastAsia"/>
        </w:rPr>
        <w:t>接口采用柔性接口。</w:t>
      </w:r>
    </w:p>
    <w:p w14:paraId="0633005C">
      <w:pPr>
        <w:bidi w:val="0"/>
      </w:pPr>
      <w:r>
        <w:rPr>
          <w:rFonts w:hint="eastAsia"/>
        </w:rPr>
        <w:t>规划地下管道在穿过公路和铁路以及闸门、井壁时，应使用套管和防震材料加以保护。</w:t>
      </w:r>
    </w:p>
    <w:p w14:paraId="0A57CFB3">
      <w:pPr>
        <w:bidi w:val="0"/>
      </w:pPr>
      <w:r>
        <w:rPr>
          <w:rFonts w:hint="eastAsia"/>
        </w:rPr>
        <w:t>制定应急预案。</w:t>
      </w:r>
    </w:p>
    <w:p w14:paraId="42329BBC">
      <w:pPr>
        <w:pStyle w:val="4"/>
        <w:numPr>
          <w:ilvl w:val="0"/>
          <w:numId w:val="0"/>
        </w:numPr>
        <w:bidi w:val="0"/>
        <w:ind w:leftChars="0"/>
        <w:rPr>
          <w:rFonts w:hint="eastAsia"/>
          <w:lang w:val="en-US" w:eastAsia="zh-CN"/>
        </w:rPr>
      </w:pPr>
      <w:r>
        <w:rPr>
          <w:rFonts w:hint="eastAsia"/>
          <w:lang w:val="en-US" w:eastAsia="zh-CN"/>
        </w:rPr>
        <w:t>第二十一条 县域医疗卫生系统抗震规划</w:t>
      </w:r>
    </w:p>
    <w:p w14:paraId="55CC2690">
      <w:pPr>
        <w:bidi w:val="0"/>
      </w:pPr>
      <w:r>
        <w:rPr>
          <w:rFonts w:hint="eastAsia"/>
        </w:rPr>
        <w:t>规划提出充分利用县城内现有医疗卫生设施</w:t>
      </w:r>
      <w:r>
        <w:rPr>
          <w:rFonts w:hint="eastAsia"/>
          <w:lang w:eastAsia="zh-CN"/>
        </w:rPr>
        <w:t>，</w:t>
      </w:r>
      <w:r>
        <w:rPr>
          <w:rFonts w:hint="eastAsia"/>
        </w:rPr>
        <w:t>积极培育社区卫生服务体系，以街道、</w:t>
      </w:r>
      <w:r>
        <w:rPr>
          <w:rFonts w:hint="eastAsia"/>
          <w:lang w:eastAsia="zh-CN"/>
        </w:rPr>
        <w:t>居委会</w:t>
      </w:r>
      <w:r>
        <w:rPr>
          <w:rFonts w:hint="eastAsia"/>
        </w:rPr>
        <w:t>为单位，全面建设社区卫生服务中心（站），成为居民医疗卫生服务的基本网点。卫生服务人员以每500—1000居民配备1名卫生技术人员，以每2000个居民配备1名全科医生，并以居住区为单位配备必要的医疗设施。</w:t>
      </w:r>
    </w:p>
    <w:p w14:paraId="41C693E9">
      <w:pPr>
        <w:bidi w:val="0"/>
        <w:rPr>
          <w:rFonts w:hint="eastAsia"/>
          <w:lang w:eastAsia="zh-CN"/>
        </w:rPr>
      </w:pPr>
      <w:r>
        <w:rPr>
          <w:rFonts w:hint="eastAsia"/>
        </w:rPr>
        <w:t>规划新建医疗机构严格按照</w:t>
      </w:r>
      <w:r>
        <w:rPr>
          <w:rFonts w:hint="eastAsia"/>
          <w:lang w:eastAsia="zh-CN"/>
        </w:rPr>
        <w:t>位于凤凰镇、宁北街道、河渠镇、北河庄镇、大陆村镇、换马店镇、苏家庄镇、唐邱镇、北鱼乡、大曹庄镇抗震设防烈度八度设防；位于耿庄桥镇、贾家口镇、四芝兰镇、侯口镇、纪昌庄镇、东汪镇、徐家河乡按抗震设防烈度九度设防</w:t>
      </w:r>
      <w:r>
        <w:rPr>
          <w:rFonts w:hint="eastAsia"/>
        </w:rPr>
        <w:t>。</w:t>
      </w:r>
    </w:p>
    <w:p w14:paraId="09C1C900">
      <w:pPr>
        <w:bidi w:val="0"/>
        <w:rPr>
          <w:rFonts w:hint="eastAsia"/>
          <w:lang w:eastAsia="zh-CN"/>
        </w:rPr>
      </w:pPr>
      <w:r>
        <w:rPr>
          <w:rFonts w:hint="eastAsia"/>
        </w:rPr>
        <w:t>医院部分建筑不满足抗震设防要求，规划对保留的医疗机构严格按照</w:t>
      </w:r>
      <w:r>
        <w:rPr>
          <w:rFonts w:hint="eastAsia"/>
          <w:lang w:eastAsia="zh-CN"/>
        </w:rPr>
        <w:t>位于凤凰镇、宁北街道、河渠镇、北河庄镇、大陆村镇、换马店镇、苏家庄镇、唐邱镇、北鱼乡、大曹庄镇抗震设防烈度八度设防；位于耿庄桥镇、贾家口镇、四芝兰镇、侯口镇、纪昌庄镇、东汪镇、徐家河乡按抗震设防烈度九度设防，</w:t>
      </w:r>
      <w:r>
        <w:rPr>
          <w:rFonts w:hint="eastAsia"/>
        </w:rPr>
        <w:t>要求进行加固。</w:t>
      </w:r>
    </w:p>
    <w:p w14:paraId="6160E589">
      <w:pPr>
        <w:bidi w:val="0"/>
      </w:pPr>
      <w:r>
        <w:rPr>
          <w:rFonts w:hint="eastAsia"/>
        </w:rPr>
        <w:t>医院需配备各种药品、器械、交通工具、医用照明电源等，准备野外工作，整装待命；储备一定数量药品、器械，并定期上报药品、医疗器械、医用物资储备情况。</w:t>
      </w:r>
    </w:p>
    <w:p w14:paraId="6BF0D5A5">
      <w:pPr>
        <w:bidi w:val="0"/>
      </w:pPr>
      <w:r>
        <w:rPr>
          <w:rFonts w:hint="eastAsia"/>
        </w:rPr>
        <w:t>地震发生后，各医疗救护应急分队在接到指令后应紧急出动，在当地群众自救工作的基础上立即展开现场救治。</w:t>
      </w:r>
    </w:p>
    <w:p w14:paraId="26E05BEF">
      <w:pPr>
        <w:pStyle w:val="4"/>
        <w:numPr>
          <w:ilvl w:val="0"/>
          <w:numId w:val="0"/>
        </w:numPr>
        <w:bidi w:val="0"/>
        <w:ind w:leftChars="0"/>
        <w:rPr>
          <w:rFonts w:hint="eastAsia"/>
          <w:lang w:val="en-US" w:eastAsia="zh-CN"/>
        </w:rPr>
      </w:pPr>
      <w:r>
        <w:rPr>
          <w:rFonts w:hint="eastAsia"/>
          <w:lang w:val="en-US" w:eastAsia="zh-CN"/>
        </w:rPr>
        <w:t>第二十二条 县域消防系统抗震规划</w:t>
      </w:r>
    </w:p>
    <w:p w14:paraId="655EECE0">
      <w:pPr>
        <w:bidi w:val="0"/>
        <w:rPr>
          <w:rFonts w:hint="eastAsia"/>
          <w:lang w:eastAsia="zh-CN"/>
        </w:rPr>
      </w:pPr>
      <w:r>
        <w:rPr>
          <w:rFonts w:hint="eastAsia"/>
          <w:lang w:eastAsia="zh-CN"/>
        </w:rPr>
        <w:t>规划</w:t>
      </w:r>
      <w:r>
        <w:rPr>
          <w:rFonts w:hint="eastAsia"/>
        </w:rPr>
        <w:t>城市消防用水由城市给水管网、天然水源和消防水池供给</w:t>
      </w:r>
      <w:r>
        <w:rPr>
          <w:rFonts w:hint="eastAsia"/>
          <w:lang w:eastAsia="zh-CN"/>
        </w:rPr>
        <w:t>。</w:t>
      </w:r>
      <w:r>
        <w:rPr>
          <w:rFonts w:hint="eastAsia"/>
        </w:rPr>
        <w:t>充分利用河流等天然水源作为消防备用水源，建设取水台和加压设施。对</w:t>
      </w:r>
      <w:r>
        <w:rPr>
          <w:rFonts w:hint="eastAsia"/>
          <w:lang w:eastAsia="zh-CN"/>
        </w:rPr>
        <w:t>县域</w:t>
      </w:r>
      <w:r>
        <w:rPr>
          <w:rFonts w:hint="eastAsia"/>
        </w:rPr>
        <w:t>高位水池、消火栓和消防水鹤进行抗震能力普查，强化消防设备抗震能力。</w:t>
      </w:r>
    </w:p>
    <w:p w14:paraId="16E020F5">
      <w:pPr>
        <w:bidi w:val="0"/>
        <w:rPr>
          <w:rFonts w:hint="eastAsia"/>
          <w:lang w:eastAsia="zh-CN"/>
        </w:rPr>
      </w:pPr>
      <w:r>
        <w:rPr>
          <w:rFonts w:hint="eastAsia"/>
        </w:rPr>
        <w:t>结合避震疏散场地的设置，</w:t>
      </w:r>
      <w:r>
        <w:rPr>
          <w:rFonts w:hint="eastAsia"/>
          <w:lang w:eastAsia="zh-CN"/>
        </w:rPr>
        <w:t>规划中心城区共设置消防站6座，宁晋盐化工园区规划设置1座特勤消防站。各乡镇均需设置消防站或消防队。各村庄均设置消防值班室</w:t>
      </w:r>
      <w:r>
        <w:rPr>
          <w:rFonts w:hint="eastAsia"/>
        </w:rPr>
        <w:t>。消防站车库及其值班用房，抗震设防类别划为重点设防类，消防指挥中心按重点设防类进行设防。重点设防类建筑应按</w:t>
      </w:r>
      <w:r>
        <w:rPr>
          <w:rFonts w:hint="eastAsia"/>
          <w:lang w:eastAsia="zh-CN"/>
        </w:rPr>
        <w:t>位于</w:t>
      </w:r>
      <w:r>
        <w:rPr>
          <w:rFonts w:hint="eastAsia"/>
        </w:rPr>
        <w:t>凤凰镇、宁北街道、河渠镇、北河庄镇、大陆村镇、换马店镇、苏家庄镇、唐邱镇、北鱼乡、大曹庄镇抗震设防烈度</w:t>
      </w:r>
      <w:r>
        <w:rPr>
          <w:rFonts w:hint="eastAsia"/>
          <w:lang w:eastAsia="zh-CN"/>
        </w:rPr>
        <w:t>八</w:t>
      </w:r>
      <w:r>
        <w:rPr>
          <w:rFonts w:hint="eastAsia"/>
        </w:rPr>
        <w:t>度设防；</w:t>
      </w:r>
      <w:r>
        <w:rPr>
          <w:rFonts w:hint="eastAsia"/>
          <w:lang w:eastAsia="zh-CN"/>
        </w:rPr>
        <w:t>位于</w:t>
      </w:r>
      <w:r>
        <w:rPr>
          <w:rFonts w:hint="eastAsia"/>
        </w:rPr>
        <w:t>耿庄桥镇、贾家口镇、四芝兰镇、侯口镇、纪昌庄镇、东汪镇、徐家河乡按抗震设防烈度</w:t>
      </w:r>
      <w:r>
        <w:rPr>
          <w:rFonts w:hint="eastAsia"/>
          <w:lang w:eastAsia="zh-CN"/>
        </w:rPr>
        <w:t>九</w:t>
      </w:r>
      <w:r>
        <w:rPr>
          <w:rFonts w:hint="eastAsia"/>
        </w:rPr>
        <w:t>度设防。</w:t>
      </w:r>
    </w:p>
    <w:p w14:paraId="6D399FAB">
      <w:pPr>
        <w:bidi w:val="0"/>
      </w:pPr>
      <w:r>
        <w:rPr>
          <w:rFonts w:hint="eastAsia"/>
          <w:lang w:eastAsia="zh-CN"/>
        </w:rPr>
        <w:t>规划</w:t>
      </w:r>
      <w:r>
        <w:rPr>
          <w:rFonts w:hint="eastAsia"/>
        </w:rPr>
        <w:t>消防车通道依托县域道路系统，由城乡各级道路、居民区和企事业单位内部道路、建筑物消防车通道以及用于自然或人工水源取水的消防车通道等组成</w:t>
      </w:r>
      <w:r>
        <w:rPr>
          <w:rFonts w:hint="eastAsia"/>
          <w:lang w:eastAsia="zh-CN"/>
        </w:rPr>
        <w:t>。</w:t>
      </w:r>
      <w:r>
        <w:rPr>
          <w:rFonts w:hint="eastAsia"/>
        </w:rPr>
        <w:t>城市快速路和城市主干路作为消防通道的主体部分；城市次干路及居住区内部道路作为消防通道支网。特殊的建筑、场地、用地必须按规定设置环行消防通道。尽头式消防通道必须设回车道。</w:t>
      </w:r>
    </w:p>
    <w:p w14:paraId="623A7D68">
      <w:pPr>
        <w:pStyle w:val="4"/>
        <w:numPr>
          <w:ilvl w:val="0"/>
          <w:numId w:val="0"/>
        </w:numPr>
        <w:bidi w:val="0"/>
        <w:ind w:leftChars="0"/>
        <w:rPr>
          <w:rFonts w:hint="eastAsia"/>
          <w:lang w:val="en-US" w:eastAsia="zh-CN"/>
        </w:rPr>
      </w:pPr>
      <w:r>
        <w:rPr>
          <w:rFonts w:hint="eastAsia"/>
          <w:lang w:val="en-US" w:eastAsia="zh-CN"/>
        </w:rPr>
        <w:t>第二十三条 粮食系统抗震规划</w:t>
      </w:r>
    </w:p>
    <w:p w14:paraId="606FE1F9">
      <w:pPr>
        <w:bidi w:val="0"/>
        <w:rPr>
          <w:rFonts w:hint="eastAsia"/>
          <w:lang w:eastAsia="zh-CN"/>
        </w:rPr>
      </w:pPr>
      <w:r>
        <w:rPr>
          <w:rFonts w:hint="eastAsia"/>
        </w:rPr>
        <w:t>存储量不足的单位和仓库，必须存足粮食和食品，同时要具备自备电源，以保证震后食品生产和供应。</w:t>
      </w:r>
    </w:p>
    <w:p w14:paraId="3A2C5CCF">
      <w:pPr>
        <w:bidi w:val="0"/>
      </w:pPr>
      <w:r>
        <w:rPr>
          <w:rFonts w:hint="eastAsia"/>
        </w:rPr>
        <w:t>粮油系统指挥机关、粮食局办公大楼作为抗震防灾重要建筑，建议按</w:t>
      </w:r>
      <w:r>
        <w:rPr>
          <w:rFonts w:hint="eastAsia"/>
          <w:lang w:eastAsia="zh-CN"/>
        </w:rPr>
        <w:t>八度</w:t>
      </w:r>
      <w:r>
        <w:rPr>
          <w:rFonts w:hint="eastAsia"/>
        </w:rPr>
        <w:t>设防标准将其加固。</w:t>
      </w:r>
    </w:p>
    <w:p w14:paraId="58B6B9B2">
      <w:pPr>
        <w:bidi w:val="0"/>
      </w:pPr>
      <w:r>
        <w:rPr>
          <w:rFonts w:hint="eastAsia"/>
        </w:rPr>
        <w:t>规划对建设年代较早的粮库、厂房进行抗震鉴定，采取必要的抗震加固措施。面粉厂、粮油食品公司的厂房和设备抗震能力达不到抗震要求必须对其进行加固。</w:t>
      </w:r>
    </w:p>
    <w:p w14:paraId="7FC0F1A9">
      <w:pPr>
        <w:pStyle w:val="4"/>
        <w:numPr>
          <w:ilvl w:val="0"/>
          <w:numId w:val="0"/>
        </w:numPr>
        <w:bidi w:val="0"/>
        <w:ind w:leftChars="0"/>
        <w:rPr>
          <w:rFonts w:hint="eastAsia"/>
          <w:lang w:val="en-US" w:eastAsia="zh-CN"/>
        </w:rPr>
      </w:pPr>
      <w:r>
        <w:rPr>
          <w:rFonts w:hint="eastAsia"/>
          <w:lang w:val="en-US" w:eastAsia="zh-CN"/>
        </w:rPr>
        <w:t>第二十四条 物资储备系统抗震规划</w:t>
      </w:r>
    </w:p>
    <w:p w14:paraId="32F48BCE">
      <w:pPr>
        <w:bidi w:val="0"/>
      </w:pPr>
      <w:r>
        <w:rPr>
          <w:rFonts w:hint="eastAsia"/>
        </w:rPr>
        <w:t>发改局、民政局、商务局、工业和信息化局、食品药品监督管理局、供销合作社、粮食局等部门按照国家和省政府有关规定储备抗震救灾物资，建立健全应急物资储备网络和生产、调拨及紧急配送体系，保障地震灾害应急工作所需生活救助物资、医疗器械和药品等的生产供应。</w:t>
      </w:r>
    </w:p>
    <w:p w14:paraId="1A3FB7E2">
      <w:pPr>
        <w:bidi w:val="0"/>
      </w:pPr>
      <w:r>
        <w:rPr>
          <w:rFonts w:hint="eastAsia"/>
        </w:rPr>
        <w:t>震时由民政局牵头接受各地区的物资支援，并第一时间发放到灾民手中；保证震时灾区速食方便食品、瓶装水、食盐等食品的供应。</w:t>
      </w:r>
    </w:p>
    <w:p w14:paraId="66BF4EA9">
      <w:pPr>
        <w:bidi w:val="0"/>
        <w:rPr>
          <w:rFonts w:hint="eastAsia"/>
        </w:rPr>
      </w:pPr>
      <w:r>
        <w:rPr>
          <w:rFonts w:hint="eastAsia"/>
        </w:rPr>
        <w:t>保障震后物资运输通道的畅通。</w:t>
      </w:r>
    </w:p>
    <w:p w14:paraId="4F24B6B5">
      <w:pPr>
        <w:pStyle w:val="4"/>
        <w:numPr>
          <w:ilvl w:val="0"/>
          <w:numId w:val="0"/>
        </w:numPr>
        <w:bidi w:val="0"/>
        <w:ind w:leftChars="0"/>
        <w:rPr>
          <w:rFonts w:hint="eastAsia"/>
          <w:lang w:val="en-US" w:eastAsia="zh-CN"/>
        </w:rPr>
      </w:pPr>
      <w:r>
        <w:rPr>
          <w:rFonts w:hint="eastAsia"/>
          <w:lang w:val="en-US" w:eastAsia="zh-CN"/>
        </w:rPr>
        <w:t>第二十五条 中心城区道路交通抗震规划</w:t>
      </w:r>
    </w:p>
    <w:p w14:paraId="4A38CBFF">
      <w:pPr>
        <w:bidi w:val="0"/>
        <w:rPr>
          <w:rFonts w:hint="eastAsia"/>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要求规划</w:t>
      </w:r>
      <w:r>
        <w:rPr>
          <w:rFonts w:hint="eastAsia"/>
        </w:rPr>
        <w:t>中心城区道路网系统采用方格网和环路相结合的形式，主干路网骨架为</w:t>
      </w:r>
      <w:r>
        <w:rPr>
          <w:rFonts w:hint="eastAsia"/>
          <w:lang w:eastAsia="zh-CN"/>
        </w:rPr>
        <w:t>“</w:t>
      </w:r>
      <w:r>
        <w:rPr>
          <w:rFonts w:hint="eastAsia"/>
        </w:rPr>
        <w:t>一环五横七纵</w:t>
      </w:r>
      <w:r>
        <w:rPr>
          <w:rFonts w:hint="eastAsia"/>
          <w:lang w:eastAsia="zh-CN"/>
        </w:rPr>
        <w:t>”</w:t>
      </w:r>
      <w:r>
        <w:rPr>
          <w:rFonts w:hint="eastAsia"/>
        </w:rPr>
        <w:t>。</w:t>
      </w:r>
      <w:r>
        <w:rPr>
          <w:rFonts w:hint="eastAsia"/>
          <w:lang w:eastAsia="zh-CN"/>
        </w:rPr>
        <w:t>“</w:t>
      </w:r>
      <w:r>
        <w:rPr>
          <w:rFonts w:hint="eastAsia"/>
        </w:rPr>
        <w:t>一环</w:t>
      </w:r>
      <w:r>
        <w:rPr>
          <w:rFonts w:hint="eastAsia"/>
          <w:lang w:eastAsia="zh-CN"/>
        </w:rPr>
        <w:t>”</w:t>
      </w:r>
      <w:r>
        <w:rPr>
          <w:rFonts w:hint="eastAsia"/>
        </w:rPr>
        <w:t>为沿中心城区外围形成的快速环状路网，由北环路、西环路、洨河路、南环路、宁纺路围合而成。</w:t>
      </w:r>
      <w:r>
        <w:rPr>
          <w:rFonts w:hint="eastAsia"/>
          <w:lang w:eastAsia="zh-CN"/>
        </w:rPr>
        <w:t>“</w:t>
      </w:r>
      <w:r>
        <w:rPr>
          <w:rFonts w:hint="eastAsia"/>
        </w:rPr>
        <w:t>五横</w:t>
      </w:r>
      <w:r>
        <w:rPr>
          <w:rFonts w:hint="eastAsia"/>
          <w:lang w:eastAsia="zh-CN"/>
        </w:rPr>
        <w:t>”</w:t>
      </w:r>
      <w:r>
        <w:rPr>
          <w:rFonts w:hint="eastAsia"/>
        </w:rPr>
        <w:t>为东西向五条城市主干路，分别为和平大街、友谊大街、晶龙街、天宝街和鼓楼街。</w:t>
      </w:r>
      <w:r>
        <w:rPr>
          <w:rFonts w:hint="eastAsia"/>
          <w:lang w:eastAsia="zh-CN"/>
        </w:rPr>
        <w:t>“</w:t>
      </w:r>
      <w:r>
        <w:rPr>
          <w:rFonts w:hint="eastAsia"/>
        </w:rPr>
        <w:t>七纵</w:t>
      </w:r>
      <w:r>
        <w:rPr>
          <w:rFonts w:hint="eastAsia"/>
          <w:lang w:eastAsia="zh-CN"/>
        </w:rPr>
        <w:t>”</w:t>
      </w:r>
      <w:r>
        <w:rPr>
          <w:rFonts w:hint="eastAsia"/>
        </w:rPr>
        <w:t>为南北向形成的七条主干路，分别为西华路、西仓路、新兴路、凤凰路、平安路、新建路和东阳路。</w:t>
      </w:r>
    </w:p>
    <w:p w14:paraId="7B8967FC">
      <w:pPr>
        <w:bidi w:val="0"/>
        <w:rPr>
          <w:rFonts w:hint="eastAsia"/>
        </w:rPr>
      </w:pPr>
      <w:r>
        <w:rPr>
          <w:rFonts w:hint="eastAsia"/>
        </w:rPr>
        <w:t>主要出入口是</w:t>
      </w:r>
      <w:r>
        <w:rPr>
          <w:rFonts w:hint="eastAsia"/>
          <w:lang w:eastAsia="zh-CN"/>
        </w:rPr>
        <w:t>青银高速的两个互通下道口</w:t>
      </w:r>
      <w:r>
        <w:rPr>
          <w:rFonts w:hint="eastAsia"/>
        </w:rPr>
        <w:t>。</w:t>
      </w:r>
    </w:p>
    <w:p w14:paraId="782F9BBC">
      <w:pPr>
        <w:bidi w:val="0"/>
        <w:rPr>
          <w:rFonts w:hint="eastAsia"/>
          <w:lang w:eastAsia="zh-CN"/>
        </w:rPr>
      </w:pPr>
      <w:r>
        <w:rPr>
          <w:rFonts w:hint="eastAsia"/>
        </w:rPr>
        <w:t>对现状</w:t>
      </w:r>
      <w:r>
        <w:rPr>
          <w:rFonts w:hint="eastAsia"/>
          <w:lang w:eastAsia="zh-CN"/>
        </w:rPr>
        <w:t>宁晋县域</w:t>
      </w:r>
      <w:r>
        <w:rPr>
          <w:rFonts w:hint="eastAsia"/>
        </w:rPr>
        <w:t>客运站进行提升，抗震设防类别应划为重点设防类，按抗震设防烈度</w:t>
      </w:r>
      <w:r>
        <w:rPr>
          <w:rFonts w:hint="eastAsia"/>
          <w:lang w:eastAsia="zh-CN"/>
        </w:rPr>
        <w:t>八度</w:t>
      </w:r>
      <w:r>
        <w:rPr>
          <w:rFonts w:hint="eastAsia"/>
        </w:rPr>
        <w:t>的要求进行加固改造。</w:t>
      </w:r>
    </w:p>
    <w:p w14:paraId="3937ECF7">
      <w:pPr>
        <w:bidi w:val="0"/>
        <w:rPr>
          <w:rFonts w:hint="eastAsia"/>
          <w:lang w:eastAsia="zh-CN"/>
        </w:rPr>
      </w:pPr>
      <w:r>
        <w:rPr>
          <w:rFonts w:hint="eastAsia"/>
        </w:rPr>
        <w:t>将城市主干路作为震后抗震抢险救灾主干道。</w:t>
      </w:r>
    </w:p>
    <w:p w14:paraId="6BE4BECE">
      <w:pPr>
        <w:bidi w:val="0"/>
        <w:rPr>
          <w:rFonts w:hint="eastAsia"/>
          <w:lang w:eastAsia="zh-CN"/>
        </w:rPr>
      </w:pPr>
      <w:r>
        <w:rPr>
          <w:rFonts w:hint="eastAsia"/>
        </w:rPr>
        <w:t>新建桥梁按照抗震级别</w:t>
      </w:r>
      <w:r>
        <w:rPr>
          <w:rFonts w:hint="eastAsia"/>
          <w:lang w:eastAsia="zh-CN"/>
        </w:rPr>
        <w:t>八度</w:t>
      </w:r>
      <w:r>
        <w:rPr>
          <w:rFonts w:hint="eastAsia"/>
        </w:rPr>
        <w:t>以上的要求设防。</w:t>
      </w:r>
    </w:p>
    <w:p w14:paraId="1F4D21EA">
      <w:pPr>
        <w:bidi w:val="0"/>
        <w:rPr>
          <w:rFonts w:hint="eastAsia"/>
          <w:lang w:eastAsia="zh-CN"/>
        </w:rPr>
      </w:pPr>
      <w:r>
        <w:rPr>
          <w:rFonts w:hint="eastAsia"/>
        </w:rPr>
        <w:t>抢险救灾疏散通道两侧主要建筑进行限高，多层建筑退道路红线10M，高层建筑退道路红线15M，以防建筑物倒塌阻碍交通</w:t>
      </w:r>
      <w:r>
        <w:rPr>
          <w:rFonts w:hint="eastAsia"/>
          <w:lang w:eastAsia="zh-CN"/>
        </w:rPr>
        <w:t>。</w:t>
      </w:r>
    </w:p>
    <w:p w14:paraId="56E29437">
      <w:pPr>
        <w:pStyle w:val="4"/>
        <w:numPr>
          <w:ilvl w:val="0"/>
          <w:numId w:val="0"/>
        </w:numPr>
        <w:bidi w:val="0"/>
        <w:ind w:leftChars="0"/>
        <w:rPr>
          <w:rFonts w:hint="eastAsia"/>
          <w:lang w:val="en-US" w:eastAsia="zh-CN"/>
        </w:rPr>
      </w:pPr>
      <w:r>
        <w:rPr>
          <w:rFonts w:hint="eastAsia"/>
          <w:lang w:val="en-US" w:eastAsia="zh-CN"/>
        </w:rPr>
        <w:t>第二十六条 中心城区供水系统抗震规划</w:t>
      </w:r>
    </w:p>
    <w:p w14:paraId="1D16E7BB">
      <w:pPr>
        <w:bidi w:val="0"/>
        <w:rPr>
          <w:rFonts w:hint="eastAsia"/>
          <w:lang w:eastAsia="zh-CN"/>
        </w:rPr>
      </w:pPr>
      <w:r>
        <w:rPr>
          <w:rFonts w:hint="eastAsia"/>
        </w:rPr>
        <w:t>扩建现状南水北调地表水厂，供水能力达到4.5万</w:t>
      </w:r>
      <w:r>
        <w:rPr>
          <w:rFonts w:hint="eastAsia"/>
          <w:lang w:val="en-US" w:eastAsia="zh-CN"/>
        </w:rPr>
        <w:t>m³</w:t>
      </w:r>
      <w:r>
        <w:rPr>
          <w:rFonts w:hint="eastAsia"/>
        </w:rPr>
        <w:t>/d</w:t>
      </w:r>
      <w:r>
        <w:rPr>
          <w:rFonts w:hint="eastAsia"/>
          <w:lang w:eastAsia="zh-CN"/>
        </w:rPr>
        <w:t>。</w:t>
      </w:r>
    </w:p>
    <w:p w14:paraId="3F8031A6">
      <w:pPr>
        <w:bidi w:val="0"/>
      </w:pPr>
      <w:r>
        <w:t>城市用水主要指维系人类基本的生产生活所涉及的工业用水、生活用水、医疗机构用水、消防用水等，但大震来袭后绝大多数的工业生产部门已停止生产，而此时主要的用水就是生活用水，医疗机构用水以及消防用水。</w:t>
      </w:r>
    </w:p>
    <w:p w14:paraId="52533336">
      <w:pPr>
        <w:bidi w:val="0"/>
      </w:pPr>
      <w:r>
        <w:rPr>
          <w:rFonts w:hint="eastAsia"/>
        </w:rPr>
        <w:t>规划对新建给水系统的建（构）筑物、配水井、送水泵房、加氯间或氯库作为运行中枢机构的控制室及水质化验室加强设防，使达到</w:t>
      </w:r>
      <w:r>
        <w:rPr>
          <w:rFonts w:hint="eastAsia"/>
          <w:lang w:eastAsia="zh-CN"/>
        </w:rPr>
        <w:t>八度</w:t>
      </w:r>
      <w:r>
        <w:rPr>
          <w:rFonts w:hint="eastAsia"/>
        </w:rPr>
        <w:t>的抗震烈度。</w:t>
      </w:r>
    </w:p>
    <w:p w14:paraId="0C69908D">
      <w:pPr>
        <w:bidi w:val="0"/>
      </w:pPr>
      <w:r>
        <w:rPr>
          <w:rFonts w:hint="eastAsia"/>
        </w:rPr>
        <w:t>结合城市供水现状和</w:t>
      </w:r>
      <w:r>
        <w:rPr>
          <w:rFonts w:hint="eastAsia"/>
          <w:lang w:eastAsia="zh-CN"/>
        </w:rPr>
        <w:t>宁晋县国土空间</w:t>
      </w:r>
      <w:r>
        <w:rPr>
          <w:rFonts w:hint="eastAsia"/>
        </w:rPr>
        <w:t>总体规划（20</w:t>
      </w:r>
      <w:r>
        <w:rPr>
          <w:rFonts w:hint="eastAsia"/>
          <w:lang w:val="en-US" w:eastAsia="zh-CN"/>
        </w:rPr>
        <w:t>21</w:t>
      </w:r>
      <w:r>
        <w:rPr>
          <w:rFonts w:hint="eastAsia"/>
        </w:rPr>
        <w:t>-20</w:t>
      </w:r>
      <w:r>
        <w:rPr>
          <w:rFonts w:hint="eastAsia"/>
          <w:lang w:val="en-US" w:eastAsia="zh-CN"/>
        </w:rPr>
        <w:t>35</w:t>
      </w:r>
      <w:r>
        <w:rPr>
          <w:rFonts w:hint="eastAsia"/>
        </w:rPr>
        <w:t>年）以及道路交通现状和道路交通抗震防灾规划，确定供水主干管网位置。供水主干管网沿主干路道路呈环状敷设，并增加阀门控制，便于遭受震害后分割、抢修。</w:t>
      </w:r>
    </w:p>
    <w:p w14:paraId="22F73C87">
      <w:pPr>
        <w:bidi w:val="0"/>
      </w:pPr>
      <w:r>
        <w:t>建议组织进行专门的研究，建立相关模型，对供水建</w:t>
      </w:r>
      <w:r>
        <w:rPr>
          <w:rFonts w:hint="eastAsia"/>
          <w:lang w:eastAsia="zh-CN"/>
        </w:rPr>
        <w:t>（</w:t>
      </w:r>
      <w:r>
        <w:t>构</w:t>
      </w:r>
      <w:r>
        <w:rPr>
          <w:rFonts w:hint="eastAsia"/>
          <w:lang w:eastAsia="zh-CN"/>
        </w:rPr>
        <w:t>）</w:t>
      </w:r>
      <w:r>
        <w:t>筑物和供水管网系统进行抗震预测，并对各个供水管段进行可靠度分析，针对实际结果进行加固和改造。</w:t>
      </w:r>
    </w:p>
    <w:p w14:paraId="68CBF967">
      <w:pPr>
        <w:pStyle w:val="4"/>
        <w:numPr>
          <w:ilvl w:val="0"/>
          <w:numId w:val="0"/>
        </w:numPr>
        <w:bidi w:val="0"/>
        <w:ind w:leftChars="0"/>
        <w:rPr>
          <w:rFonts w:hint="eastAsia"/>
          <w:lang w:val="en-US" w:eastAsia="zh-CN"/>
        </w:rPr>
      </w:pPr>
      <w:r>
        <w:rPr>
          <w:rFonts w:hint="eastAsia"/>
          <w:lang w:val="en-US" w:eastAsia="zh-CN"/>
        </w:rPr>
        <w:t>第二十七条 中心城区污水系统抗震规划</w:t>
      </w:r>
    </w:p>
    <w:p w14:paraId="62B9CF78">
      <w:pPr>
        <w:bidi w:val="0"/>
        <w:rPr>
          <w:rFonts w:hint="eastAsia"/>
          <w:lang w:eastAsia="zh-CN"/>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，规划4座污水处理厂，保留现状碧源</w:t>
      </w:r>
      <w:r>
        <w:rPr>
          <w:rFonts w:hint="eastAsia"/>
          <w:lang w:eastAsia="zh-CN"/>
        </w:rPr>
        <w:t>污水处理厂</w:t>
      </w:r>
      <w:r>
        <w:rPr>
          <w:rFonts w:hint="eastAsia"/>
        </w:rPr>
        <w:t>，扩建西城</w:t>
      </w:r>
      <w:r>
        <w:rPr>
          <w:rFonts w:hint="eastAsia"/>
          <w:lang w:eastAsia="zh-CN"/>
        </w:rPr>
        <w:t>污水处理厂</w:t>
      </w:r>
      <w:r>
        <w:rPr>
          <w:rFonts w:hint="eastAsia"/>
        </w:rPr>
        <w:t>和东城</w:t>
      </w:r>
      <w:r>
        <w:rPr>
          <w:rFonts w:hint="eastAsia"/>
          <w:lang w:eastAsia="zh-CN"/>
        </w:rPr>
        <w:t>污水处理厂</w:t>
      </w:r>
      <w:r>
        <w:rPr>
          <w:rFonts w:hint="eastAsia"/>
        </w:rPr>
        <w:t>，新建北部新区污水处理厂。</w:t>
      </w:r>
    </w:p>
    <w:p w14:paraId="4D6762A2">
      <w:pPr>
        <w:bidi w:val="0"/>
        <w:rPr>
          <w:rFonts w:hint="eastAsia"/>
          <w:lang w:eastAsia="zh-CN"/>
        </w:rPr>
      </w:pPr>
      <w:r>
        <w:rPr>
          <w:rFonts w:hint="eastAsia"/>
        </w:rPr>
        <w:t>设备加固：为了防止建筑物倒塌而砸坏设备，对所有一、二级泵房机泵及其阀门按抗震要求进行加固。对其他设备要充分考虑到震后可能发生的破坏，制定防御措施</w:t>
      </w:r>
      <w:r>
        <w:rPr>
          <w:rFonts w:hint="eastAsia"/>
          <w:lang w:eastAsia="zh-CN"/>
        </w:rPr>
        <w:t>。</w:t>
      </w:r>
    </w:p>
    <w:p w14:paraId="6E4E4975">
      <w:pPr>
        <w:bidi w:val="0"/>
        <w:rPr>
          <w:rFonts w:hint="eastAsia"/>
          <w:lang w:eastAsia="zh-CN"/>
        </w:rPr>
      </w:pPr>
      <w:r>
        <w:rPr>
          <w:rFonts w:hint="eastAsia"/>
        </w:rPr>
        <w:t>管网加固：采用柔性接口，对原有老管道，要逐步进行更换改造，以适应抗震需要。</w:t>
      </w:r>
    </w:p>
    <w:p w14:paraId="38043186">
      <w:pPr>
        <w:pStyle w:val="4"/>
        <w:numPr>
          <w:ilvl w:val="0"/>
          <w:numId w:val="0"/>
        </w:numPr>
        <w:bidi w:val="0"/>
        <w:ind w:leftChars="0"/>
        <w:rPr>
          <w:rFonts w:hint="eastAsia"/>
          <w:lang w:val="en-US" w:eastAsia="zh-CN"/>
        </w:rPr>
      </w:pPr>
      <w:r>
        <w:rPr>
          <w:rFonts w:hint="eastAsia"/>
          <w:lang w:val="en-US" w:eastAsia="zh-CN"/>
        </w:rPr>
        <w:t>第二十八条 中心城区供电系统抗震规划</w:t>
      </w:r>
    </w:p>
    <w:p w14:paraId="7BDE5F53">
      <w:pPr>
        <w:bidi w:val="0"/>
        <w:rPr>
          <w:rFonts w:hint="eastAsia"/>
          <w:lang w:eastAsia="zh-CN"/>
        </w:rPr>
      </w:pPr>
      <w:r>
        <w:rPr>
          <w:rFonts w:hint="eastAsia"/>
        </w:rPr>
        <w:t>规划对现有的变电站的建筑物全部根据《建筑抗震加固技术规程（JGJ116-2009）》进行加固。</w:t>
      </w:r>
    </w:p>
    <w:p w14:paraId="005D1BC4">
      <w:pPr>
        <w:bidi w:val="0"/>
        <w:rPr>
          <w:rFonts w:hint="eastAsia"/>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规划220千伏变电站2座，其中在用地规模不变的情况下，增容现状220千伏宁晋站，新建220千伏郝庄站；规划110千伏变电站6座，其中在用地规模不变的情况下增容现状110千伏凤凰站和110千伏中曹站，保留现状高开站和天宝站，新建宁纺站、大健康</w:t>
      </w:r>
      <w:r>
        <w:rPr>
          <w:rFonts w:hint="eastAsia"/>
          <w:lang w:eastAsia="zh-CN"/>
        </w:rPr>
        <w:t>站</w:t>
      </w:r>
      <w:r>
        <w:rPr>
          <w:rFonts w:hint="eastAsia"/>
        </w:rPr>
        <w:t>，</w:t>
      </w:r>
      <w:r>
        <w:rPr>
          <w:rFonts w:hint="eastAsia"/>
          <w:lang w:eastAsia="zh-CN"/>
        </w:rPr>
        <w:t>规划</w:t>
      </w:r>
      <w:r>
        <w:rPr>
          <w:rFonts w:hint="eastAsia"/>
        </w:rPr>
        <w:t>对新建变电站主要建筑按照</w:t>
      </w:r>
      <w:r>
        <w:rPr>
          <w:rFonts w:hint="eastAsia"/>
          <w:lang w:eastAsia="zh-CN"/>
        </w:rPr>
        <w:t>八</w:t>
      </w:r>
      <w:r>
        <w:rPr>
          <w:rFonts w:hint="eastAsia"/>
        </w:rPr>
        <w:t>级的标准进行抗震设防。</w:t>
      </w:r>
    </w:p>
    <w:p w14:paraId="0D3B237C">
      <w:pPr>
        <w:bidi w:val="0"/>
        <w:rPr>
          <w:rFonts w:hint="eastAsia"/>
        </w:rPr>
      </w:pPr>
      <w:r>
        <w:rPr>
          <w:rFonts w:hint="eastAsia"/>
        </w:rPr>
        <w:t>10kv线路在城市主干道及城市重点地段采用地下电缆，以利城市景观和供电安全性。</w:t>
      </w:r>
    </w:p>
    <w:p w14:paraId="7DA3285B">
      <w:pPr>
        <w:bidi w:val="0"/>
        <w:rPr>
          <w:rFonts w:hint="eastAsia"/>
          <w:lang w:eastAsia="zh-CN"/>
        </w:rPr>
      </w:pPr>
      <w:r>
        <w:rPr>
          <w:rFonts w:hint="eastAsia"/>
        </w:rPr>
        <w:t>规划对消防单位、医疗单位、供水单位、通信单位等重点单位和城市避难疏散场地，新建一套应急供电系统，供电线路采用</w:t>
      </w:r>
      <w:r>
        <w:rPr>
          <w:rFonts w:hint="eastAsia"/>
          <w:lang w:eastAsia="zh-CN"/>
        </w:rPr>
        <w:t>地埋</w:t>
      </w:r>
      <w:r>
        <w:rPr>
          <w:rFonts w:hint="eastAsia"/>
        </w:rPr>
        <w:t>敷设方式，各个构筑物按</w:t>
      </w:r>
      <w:r>
        <w:rPr>
          <w:rFonts w:hint="eastAsia"/>
          <w:lang w:eastAsia="zh-CN"/>
        </w:rPr>
        <w:t>八度</w:t>
      </w:r>
      <w:r>
        <w:rPr>
          <w:rFonts w:hint="eastAsia"/>
        </w:rPr>
        <w:t>进行设防。要求重点单位必须为双电源供电，必须具备自备电源。</w:t>
      </w:r>
    </w:p>
    <w:p w14:paraId="40C45F69">
      <w:pPr>
        <w:bidi w:val="0"/>
        <w:rPr>
          <w:rFonts w:hint="eastAsia"/>
          <w:lang w:eastAsia="zh-CN"/>
        </w:rPr>
      </w:pPr>
      <w:r>
        <w:rPr>
          <w:rFonts w:hint="eastAsia"/>
        </w:rPr>
        <w:t>电缆管沟的建设应满足抗震要求</w:t>
      </w:r>
      <w:r>
        <w:rPr>
          <w:rFonts w:hint="eastAsia"/>
          <w:lang w:eastAsia="zh-CN"/>
        </w:rPr>
        <w:t>。</w:t>
      </w:r>
    </w:p>
    <w:p w14:paraId="3FC19456">
      <w:pPr>
        <w:pStyle w:val="4"/>
        <w:numPr>
          <w:ilvl w:val="0"/>
          <w:numId w:val="0"/>
        </w:numPr>
        <w:bidi w:val="0"/>
        <w:ind w:leftChars="0"/>
        <w:rPr>
          <w:rFonts w:hint="eastAsia"/>
          <w:lang w:val="en-US" w:eastAsia="zh-CN"/>
        </w:rPr>
      </w:pPr>
      <w:r>
        <w:rPr>
          <w:rFonts w:hint="eastAsia"/>
          <w:lang w:val="en-US" w:eastAsia="zh-CN"/>
        </w:rPr>
        <w:t>第二十九条 中心城区通信系统抗震规划</w:t>
      </w:r>
    </w:p>
    <w:p w14:paraId="14F8328F">
      <w:pPr>
        <w:bidi w:val="0"/>
        <w:rPr>
          <w:rFonts w:hint="eastAsia"/>
          <w:lang w:val="en-US" w:eastAsia="zh-CN"/>
        </w:rPr>
      </w:pPr>
      <w:r>
        <w:rPr>
          <w:rFonts w:hint="eastAsia"/>
          <w:lang w:val="en-US" w:eastAsia="zh-CN"/>
        </w:rPr>
        <w:t>1、总体要求</w:t>
      </w:r>
    </w:p>
    <w:p w14:paraId="4275986E">
      <w:pPr>
        <w:bidi w:val="0"/>
        <w:rPr>
          <w:rFonts w:hint="eastAsia"/>
          <w:lang w:eastAsia="zh-CN"/>
        </w:rPr>
      </w:pPr>
      <w:r>
        <w:rPr>
          <w:rFonts w:hint="eastAsia"/>
        </w:rPr>
        <w:t>保留中心城区内现状移动、联通、电信、邮政局所、</w:t>
      </w:r>
      <w:r>
        <w:rPr>
          <w:rFonts w:hint="eastAsia"/>
          <w:lang w:eastAsia="zh-CN"/>
        </w:rPr>
        <w:t>数据</w:t>
      </w:r>
      <w:r>
        <w:rPr>
          <w:rFonts w:hint="eastAsia"/>
        </w:rPr>
        <w:t>处理中心、广电中心等设施</w:t>
      </w:r>
      <w:r>
        <w:rPr>
          <w:rFonts w:hint="eastAsia"/>
          <w:lang w:eastAsia="zh-CN"/>
        </w:rPr>
        <w:t>。</w:t>
      </w:r>
    </w:p>
    <w:p w14:paraId="7A60EF70">
      <w:pPr>
        <w:bidi w:val="0"/>
      </w:pPr>
      <w:r>
        <w:rPr>
          <w:rFonts w:hint="eastAsia"/>
          <w:lang w:val="en-US" w:eastAsia="zh-CN"/>
        </w:rPr>
        <w:t>2</w:t>
      </w:r>
      <w:r>
        <w:rPr>
          <w:rFonts w:hint="eastAsia"/>
        </w:rPr>
        <w:t>、</w:t>
      </w:r>
      <w:r>
        <w:t>通信节点</w:t>
      </w:r>
    </w:p>
    <w:p w14:paraId="4BD8739A">
      <w:pPr>
        <w:bidi w:val="0"/>
      </w:pPr>
      <w:r>
        <w:t>通信关键节点，包括各通信服务单位数据处理中心，基站，机房，政府机关、抗震指挥中心、消防、供水、燃气、医疗系统以及各个避震疏散场所。</w:t>
      </w:r>
    </w:p>
    <w:p w14:paraId="0C6D610F">
      <w:pPr>
        <w:bidi w:val="0"/>
      </w:pPr>
      <w:r>
        <w:rPr>
          <w:rFonts w:hint="eastAsia"/>
          <w:lang w:val="en-US" w:eastAsia="zh-CN"/>
        </w:rPr>
        <w:t>3</w:t>
      </w:r>
      <w:r>
        <w:rPr>
          <w:rFonts w:hint="eastAsia"/>
        </w:rPr>
        <w:t>、</w:t>
      </w:r>
      <w:r>
        <w:t>通信服务单位和通信设备</w:t>
      </w:r>
    </w:p>
    <w:p w14:paraId="08ED3EC9">
      <w:pPr>
        <w:bidi w:val="0"/>
      </w:pPr>
      <w:r>
        <w:t>针对</w:t>
      </w:r>
      <w:r>
        <w:rPr>
          <w:rFonts w:hint="eastAsia"/>
          <w:lang w:eastAsia="zh-CN"/>
        </w:rPr>
        <w:t>宁晋县</w:t>
      </w:r>
      <w:r>
        <w:t>通信系统现状，规划对现状不满足</w:t>
      </w:r>
      <w:r>
        <w:rPr>
          <w:rFonts w:hint="eastAsia"/>
          <w:lang w:eastAsia="zh-CN"/>
        </w:rPr>
        <w:t>七度</w:t>
      </w:r>
      <w:r>
        <w:t>抗震设防要求的办公建筑和自建机房按照</w:t>
      </w:r>
      <w:r>
        <w:rPr>
          <w:rFonts w:hint="eastAsia"/>
        </w:rPr>
        <w:t>《</w:t>
      </w:r>
      <w:r>
        <w:t>电信设备安装抗震设计规范</w:t>
      </w:r>
      <w:r>
        <w:rPr>
          <w:rFonts w:hint="eastAsia"/>
        </w:rPr>
        <w:t>》（YD5059-2005）</w:t>
      </w:r>
      <w:r>
        <w:t>进行加固和改造。</w:t>
      </w:r>
    </w:p>
    <w:p w14:paraId="05B5DE6B">
      <w:pPr>
        <w:bidi w:val="0"/>
      </w:pPr>
      <w:r>
        <w:rPr>
          <w:rFonts w:hint="eastAsia"/>
          <w:lang w:val="en-US" w:eastAsia="zh-CN"/>
        </w:rPr>
        <w:t>4</w:t>
      </w:r>
      <w:r>
        <w:rPr>
          <w:rFonts w:hint="eastAsia"/>
        </w:rPr>
        <w:t>、</w:t>
      </w:r>
      <w:r>
        <w:t>通信线路</w:t>
      </w:r>
    </w:p>
    <w:p w14:paraId="70FBB918">
      <w:pPr>
        <w:bidi w:val="0"/>
      </w:pPr>
      <w:r>
        <w:t>规划对现状架空敷设的管道尽量改造为地埋敷设。规划新架管线一律采用地埋敷设方式，以增强抗震性能。</w:t>
      </w:r>
    </w:p>
    <w:p w14:paraId="035FEDC0">
      <w:pPr>
        <w:bidi w:val="0"/>
      </w:pPr>
      <w:r>
        <w:rPr>
          <w:rFonts w:hint="eastAsia"/>
          <w:lang w:val="en-US" w:eastAsia="zh-CN"/>
        </w:rPr>
        <w:t>5</w:t>
      </w:r>
      <w:r>
        <w:rPr>
          <w:rFonts w:hint="eastAsia"/>
        </w:rPr>
        <w:t>、</w:t>
      </w:r>
      <w:r>
        <w:t>应急通信</w:t>
      </w:r>
    </w:p>
    <w:p w14:paraId="16CAC9BD">
      <w:pPr>
        <w:bidi w:val="0"/>
      </w:pPr>
      <w:r>
        <w:rPr>
          <w:rFonts w:hint="eastAsia"/>
        </w:rPr>
        <w:t>电信、联通、移动、邮电等单位，</w:t>
      </w:r>
      <w:r>
        <w:rPr>
          <w:rFonts w:hint="eastAsia"/>
          <w:lang w:eastAsia="zh-CN"/>
        </w:rPr>
        <w:t>建议</w:t>
      </w:r>
      <w:r>
        <w:rPr>
          <w:rFonts w:hint="eastAsia"/>
        </w:rPr>
        <w:t>按照本规划的要求编制本部门的抗震防灾应急预案，制定抗震防灾措施，确保</w:t>
      </w:r>
      <w:r>
        <w:t>震时城市通信节点的通信畅通</w:t>
      </w:r>
      <w:r>
        <w:rPr>
          <w:rFonts w:hint="eastAsia"/>
        </w:rPr>
        <w:t>。</w:t>
      </w:r>
    </w:p>
    <w:p w14:paraId="6F8EDE8B">
      <w:pPr>
        <w:pStyle w:val="4"/>
        <w:numPr>
          <w:ilvl w:val="0"/>
          <w:numId w:val="0"/>
        </w:numPr>
        <w:bidi w:val="0"/>
        <w:ind w:leftChars="0"/>
        <w:rPr>
          <w:rFonts w:hint="eastAsia"/>
          <w:lang w:val="en-US" w:eastAsia="zh-CN"/>
        </w:rPr>
      </w:pPr>
      <w:r>
        <w:rPr>
          <w:rFonts w:hint="eastAsia"/>
          <w:lang w:val="en-US" w:eastAsia="zh-CN"/>
        </w:rPr>
        <w:t>第三十条 中心城区燃气系统抗震规划</w:t>
      </w:r>
    </w:p>
    <w:p w14:paraId="5E82A44F">
      <w:pPr>
        <w:bidi w:val="0"/>
      </w:pPr>
      <w:r>
        <w:rPr>
          <w:rFonts w:hint="eastAsia"/>
          <w:lang w:eastAsia="zh-CN"/>
        </w:rPr>
        <w:t>根据</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要求，</w:t>
      </w:r>
      <w:r>
        <w:rPr>
          <w:rFonts w:hint="eastAsia"/>
        </w:rPr>
        <w:t>规划保留现状薛庄门站和石柱调压站</w:t>
      </w:r>
      <w:r>
        <w:rPr>
          <w:rFonts w:hint="eastAsia"/>
          <w:lang w:eastAsia="zh-CN"/>
        </w:rPr>
        <w:t>。</w:t>
      </w:r>
      <w:r>
        <w:rPr>
          <w:rFonts w:hint="eastAsia"/>
        </w:rPr>
        <w:t>规划对</w:t>
      </w:r>
      <w:r>
        <w:rPr>
          <w:rFonts w:hint="eastAsia"/>
          <w:lang w:eastAsia="zh-CN"/>
        </w:rPr>
        <w:t>中心城区</w:t>
      </w:r>
      <w:r>
        <w:rPr>
          <w:rFonts w:hint="eastAsia"/>
        </w:rPr>
        <w:t>燃气厂的主厂房、贮气罐等主要建筑以及高压和次高压输配气管道等主要设施以及燃气储备站和各主要燃气厂站根据《建筑抗震设计规范》（征求意见稿）和《建筑抗震加固</w:t>
      </w:r>
      <w:r>
        <w:t>技术规程》（JGJ116-2009）</w:t>
      </w:r>
      <w:r>
        <w:rPr>
          <w:rFonts w:hint="eastAsia"/>
        </w:rPr>
        <w:t>进行加固，提高其抗震能力。</w:t>
      </w:r>
    </w:p>
    <w:p w14:paraId="7DF8E2EA">
      <w:pPr>
        <w:bidi w:val="0"/>
      </w:pPr>
      <w:r>
        <w:rPr>
          <w:rFonts w:hint="eastAsia"/>
        </w:rPr>
        <w:t>新建的燃气厂房、设备和燃气管道应按</w:t>
      </w:r>
      <w:r>
        <w:rPr>
          <w:rFonts w:hint="eastAsia"/>
          <w:lang w:eastAsia="zh-CN"/>
        </w:rPr>
        <w:t>八度</w:t>
      </w:r>
      <w:r>
        <w:rPr>
          <w:rFonts w:hint="eastAsia"/>
        </w:rPr>
        <w:t>进行抗震设防。新建主干管网选用抗震性能好的管材；逐步淘汰小管径刚性接口的管材，积极推广采用钢管或PE管，并采用抗震性好的柔性连接方式。</w:t>
      </w:r>
    </w:p>
    <w:p w14:paraId="199AB33C">
      <w:pPr>
        <w:bidi w:val="0"/>
      </w:pPr>
      <w:r>
        <w:rPr>
          <w:rFonts w:hint="eastAsia"/>
        </w:rPr>
        <w:t>规划采用中压一级供气系统，天然气管道沿城市道路敷设，中压主干管应尽量避免敷设在繁华街道和城市主干道上，以免施工安装和检修过程影响交通。同时应尽量少的穿越公路、沟道和其它大型建筑物，必须穿越时要有一定的防护措施，并且应避免与高压电缆平行敷设。</w:t>
      </w:r>
    </w:p>
    <w:p w14:paraId="3DD38B56">
      <w:pPr>
        <w:pStyle w:val="4"/>
        <w:numPr>
          <w:ilvl w:val="0"/>
          <w:numId w:val="0"/>
        </w:numPr>
        <w:bidi w:val="0"/>
        <w:ind w:leftChars="0"/>
        <w:rPr>
          <w:rFonts w:hint="eastAsia"/>
          <w:lang w:val="en-US" w:eastAsia="zh-CN"/>
        </w:rPr>
      </w:pPr>
      <w:r>
        <w:rPr>
          <w:rFonts w:hint="eastAsia"/>
          <w:lang w:val="en-US" w:eastAsia="zh-CN"/>
        </w:rPr>
        <w:t>第三十一条 中心城区供热系统抗震规划</w:t>
      </w:r>
    </w:p>
    <w:p w14:paraId="6E59F2BF">
      <w:pPr>
        <w:bidi w:val="0"/>
        <w:rPr>
          <w:rFonts w:hint="eastAsia"/>
          <w:lang w:eastAsia="zh-CN"/>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，深入挖潜玉锋集团热电一厂、热电二厂和宁纺热电厂并提高</w:t>
      </w:r>
      <w:r>
        <w:rPr>
          <w:rFonts w:hint="default"/>
        </w:rPr>
        <w:t>供热能力，积极调整供热结构，以清洁、可再生能源供热方式作为供热补充。</w:t>
      </w:r>
      <w:r>
        <w:rPr>
          <w:rFonts w:hint="eastAsia"/>
          <w:lang w:eastAsia="zh-CN"/>
        </w:rPr>
        <w:t>规划</w:t>
      </w:r>
      <w:r>
        <w:rPr>
          <w:rFonts w:hint="eastAsia"/>
        </w:rPr>
        <w:t>新建的供热厂房、设备和管道应按</w:t>
      </w:r>
      <w:r>
        <w:rPr>
          <w:rFonts w:hint="eastAsia"/>
          <w:lang w:eastAsia="zh-CN"/>
        </w:rPr>
        <w:t>八度</w:t>
      </w:r>
      <w:r>
        <w:rPr>
          <w:rFonts w:hint="eastAsia"/>
        </w:rPr>
        <w:t>进行抗震设防。供热管道穿越建（构）筑物的墙时，应采取适当的加固措施。供热管道应布置成多回路、环状管网，以便多向供应，方便抢修。</w:t>
      </w:r>
    </w:p>
    <w:p w14:paraId="7BF700A2">
      <w:pPr>
        <w:bidi w:val="0"/>
        <w:rPr>
          <w:rFonts w:hint="eastAsia"/>
          <w:lang w:eastAsia="zh-CN"/>
        </w:rPr>
      </w:pPr>
      <w:r>
        <w:rPr>
          <w:rFonts w:hint="eastAsia"/>
        </w:rPr>
        <w:t>接口采用柔性接口。</w:t>
      </w:r>
    </w:p>
    <w:p w14:paraId="0AE4FBE0">
      <w:pPr>
        <w:bidi w:val="0"/>
      </w:pPr>
      <w:r>
        <w:rPr>
          <w:rFonts w:hint="eastAsia"/>
        </w:rPr>
        <w:t>规划地下管道在穿过公路和铁路以及闸门、井壁时，应使用套管和防震材料加以保护。</w:t>
      </w:r>
    </w:p>
    <w:p w14:paraId="4B378CE3">
      <w:pPr>
        <w:bidi w:val="0"/>
      </w:pPr>
      <w:r>
        <w:rPr>
          <w:rFonts w:hint="eastAsia"/>
        </w:rPr>
        <w:t>制定应急预案。</w:t>
      </w:r>
    </w:p>
    <w:p w14:paraId="174A8EEE">
      <w:pPr>
        <w:pStyle w:val="4"/>
        <w:numPr>
          <w:ilvl w:val="0"/>
          <w:numId w:val="0"/>
        </w:numPr>
        <w:bidi w:val="0"/>
        <w:ind w:leftChars="0"/>
        <w:rPr>
          <w:rFonts w:hint="eastAsia"/>
          <w:lang w:val="en-US" w:eastAsia="zh-CN"/>
        </w:rPr>
      </w:pPr>
      <w:r>
        <w:rPr>
          <w:rFonts w:hint="eastAsia"/>
          <w:lang w:val="en-US" w:eastAsia="zh-CN"/>
        </w:rPr>
        <w:t>第三十二条 中心城区医疗卫生系统抗震规划</w:t>
      </w:r>
    </w:p>
    <w:p w14:paraId="67360469">
      <w:pPr>
        <w:bidi w:val="0"/>
      </w:pPr>
      <w:r>
        <w:rPr>
          <w:rFonts w:hint="eastAsia"/>
        </w:rPr>
        <w:t>规划提出充分利用县城内现有医疗卫生设施</w:t>
      </w:r>
      <w:r>
        <w:rPr>
          <w:rFonts w:hint="eastAsia"/>
          <w:lang w:eastAsia="zh-CN"/>
        </w:rPr>
        <w:t>，</w:t>
      </w:r>
      <w:r>
        <w:rPr>
          <w:rFonts w:hint="eastAsia"/>
        </w:rPr>
        <w:t>积极培育社区卫生服务体系，以街道、</w:t>
      </w:r>
      <w:r>
        <w:rPr>
          <w:rFonts w:hint="eastAsia"/>
          <w:lang w:eastAsia="zh-CN"/>
        </w:rPr>
        <w:t>居委会</w:t>
      </w:r>
      <w:r>
        <w:rPr>
          <w:rFonts w:hint="eastAsia"/>
        </w:rPr>
        <w:t>为单位，全面建设社区卫生服务中心（站），成为居民医疗卫生服务的基本网点。卫生服务人员以每500—1000居民配备1名卫生技术人员，以每2000个居民配备1名全科医生，并以居住区为单位配备必要的医疗设施。</w:t>
      </w:r>
    </w:p>
    <w:p w14:paraId="55FD1E2D">
      <w:pPr>
        <w:bidi w:val="0"/>
        <w:rPr>
          <w:rFonts w:hint="eastAsia"/>
          <w:lang w:eastAsia="zh-CN"/>
        </w:rPr>
      </w:pPr>
      <w:r>
        <w:rPr>
          <w:rFonts w:hint="eastAsia"/>
        </w:rPr>
        <w:t>规划新建医疗机构严格按照</w:t>
      </w:r>
      <w:r>
        <w:rPr>
          <w:rFonts w:hint="eastAsia"/>
          <w:lang w:eastAsia="zh-CN"/>
        </w:rPr>
        <w:t>八度</w:t>
      </w:r>
      <w:r>
        <w:rPr>
          <w:rFonts w:hint="eastAsia"/>
        </w:rPr>
        <w:t>设防要求建设。</w:t>
      </w:r>
    </w:p>
    <w:p w14:paraId="688D5FFB">
      <w:pPr>
        <w:bidi w:val="0"/>
        <w:rPr>
          <w:rFonts w:hint="eastAsia"/>
          <w:lang w:eastAsia="zh-CN"/>
        </w:rPr>
      </w:pPr>
      <w:r>
        <w:rPr>
          <w:rFonts w:hint="eastAsia"/>
        </w:rPr>
        <w:t>医院部分建筑不满足抗震设防要求，规划对保留的医疗机构严格按照</w:t>
      </w:r>
      <w:r>
        <w:rPr>
          <w:rFonts w:hint="eastAsia"/>
          <w:lang w:eastAsia="zh-CN"/>
        </w:rPr>
        <w:t>八度</w:t>
      </w:r>
      <w:r>
        <w:rPr>
          <w:rFonts w:hint="eastAsia"/>
        </w:rPr>
        <w:t>设防要求进行加固。</w:t>
      </w:r>
    </w:p>
    <w:p w14:paraId="14908E16">
      <w:pPr>
        <w:bidi w:val="0"/>
      </w:pPr>
      <w:r>
        <w:rPr>
          <w:rFonts w:hint="eastAsia"/>
        </w:rPr>
        <w:t>医院需配备各种药品、器械、交通工具、医用照明电源等，准备野外工作，整装待命；储备一定数量药品、器械，并定期上报药品、医疗器械、医用物资储备情况。</w:t>
      </w:r>
    </w:p>
    <w:p w14:paraId="296AF4EA">
      <w:pPr>
        <w:bidi w:val="0"/>
      </w:pPr>
      <w:r>
        <w:rPr>
          <w:rFonts w:hint="eastAsia"/>
        </w:rPr>
        <w:t>地震发生后，各医疗救护应急分队在接到指令后应紧急出动，在当地群众自救工作的基础上立即展开现场救治。</w:t>
      </w:r>
    </w:p>
    <w:p w14:paraId="71052BBC">
      <w:pPr>
        <w:pStyle w:val="4"/>
        <w:numPr>
          <w:ilvl w:val="0"/>
          <w:numId w:val="0"/>
        </w:numPr>
        <w:bidi w:val="0"/>
        <w:ind w:leftChars="0"/>
        <w:rPr>
          <w:rFonts w:hint="eastAsia"/>
          <w:lang w:val="en-US" w:eastAsia="zh-CN"/>
        </w:rPr>
      </w:pPr>
      <w:r>
        <w:rPr>
          <w:rFonts w:hint="eastAsia"/>
          <w:lang w:val="en-US" w:eastAsia="zh-CN"/>
        </w:rPr>
        <w:t>第三十三条 中心城区消防系统抗震规划</w:t>
      </w:r>
    </w:p>
    <w:p w14:paraId="3AFDCF82">
      <w:pPr>
        <w:bidi w:val="0"/>
        <w:rPr>
          <w:rFonts w:hint="eastAsia"/>
          <w:lang w:eastAsia="zh-CN"/>
        </w:rPr>
      </w:pPr>
      <w:r>
        <w:rPr>
          <w:rFonts w:hint="eastAsia"/>
          <w:lang w:eastAsia="zh-CN"/>
        </w:rPr>
        <w:t>规划</w:t>
      </w:r>
      <w:r>
        <w:rPr>
          <w:rFonts w:hint="eastAsia"/>
        </w:rPr>
        <w:t>城市消防用水由城市给水管网、天然水源和消防水池供给</w:t>
      </w:r>
      <w:r>
        <w:rPr>
          <w:rFonts w:hint="eastAsia"/>
          <w:lang w:eastAsia="zh-CN"/>
        </w:rPr>
        <w:t>。</w:t>
      </w:r>
      <w:r>
        <w:rPr>
          <w:rFonts w:hint="eastAsia"/>
        </w:rPr>
        <w:t>充分利用河流等天然水源作为消防备用水源，建设取水台和加压设施。对</w:t>
      </w:r>
      <w:r>
        <w:rPr>
          <w:rFonts w:hint="eastAsia"/>
          <w:lang w:eastAsia="zh-CN"/>
        </w:rPr>
        <w:t>县域</w:t>
      </w:r>
      <w:r>
        <w:rPr>
          <w:rFonts w:hint="eastAsia"/>
        </w:rPr>
        <w:t>高位水池、消火栓和消防水鹤进行抗震能力普查，强化消防设备抗震能力。</w:t>
      </w:r>
    </w:p>
    <w:p w14:paraId="3263097A">
      <w:pPr>
        <w:bidi w:val="0"/>
        <w:rPr>
          <w:rFonts w:hint="eastAsia"/>
          <w:lang w:eastAsia="zh-CN"/>
        </w:rPr>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lang w:eastAsia="zh-CN"/>
        </w:rPr>
        <w:t>要求</w:t>
      </w:r>
      <w:r>
        <w:rPr>
          <w:rFonts w:hint="eastAsia"/>
        </w:rPr>
        <w:t>，</w:t>
      </w:r>
      <w:r>
        <w:rPr>
          <w:rFonts w:hint="eastAsia"/>
          <w:lang w:eastAsia="zh-CN"/>
        </w:rPr>
        <w:t>规划</w:t>
      </w:r>
      <w:r>
        <w:rPr>
          <w:rFonts w:hint="eastAsia"/>
        </w:rPr>
        <w:t>中心城区共设置消防站6座，其中现状保留特勤消防站1座，现状保留一级普通消防站1座，规划新增一级普通消防站4座。同时结合规划消防站，建设消防训练基地、消防科普场馆等，加大消防安全培训、宣讲、普及的力度</w:t>
      </w:r>
      <w:r>
        <w:rPr>
          <w:rFonts w:hint="eastAsia"/>
          <w:lang w:eastAsia="zh-CN"/>
        </w:rPr>
        <w:t>。</w:t>
      </w:r>
      <w:r>
        <w:rPr>
          <w:rFonts w:hint="eastAsia"/>
        </w:rPr>
        <w:t>重点设防类建筑应按</w:t>
      </w:r>
      <w:r>
        <w:rPr>
          <w:rFonts w:hint="eastAsia"/>
          <w:lang w:eastAsia="zh-CN"/>
        </w:rPr>
        <w:t>八度</w:t>
      </w:r>
      <w:r>
        <w:rPr>
          <w:rFonts w:hint="eastAsia"/>
        </w:rPr>
        <w:t>设防。</w:t>
      </w:r>
    </w:p>
    <w:p w14:paraId="23AF54D0">
      <w:pPr>
        <w:bidi w:val="0"/>
      </w:pPr>
      <w:r>
        <w:rPr>
          <w:rFonts w:hint="eastAsia"/>
          <w:lang w:eastAsia="zh-CN"/>
        </w:rPr>
        <w:t>规划</w:t>
      </w:r>
      <w:r>
        <w:rPr>
          <w:rFonts w:hint="eastAsia"/>
        </w:rPr>
        <w:t>在中心城区设置三级应急疏散通道。</w:t>
      </w:r>
      <w:r>
        <w:rPr>
          <w:rFonts w:hint="eastAsia"/>
          <w:lang w:eastAsia="zh-CN"/>
        </w:rPr>
        <w:t>一</w:t>
      </w:r>
      <w:r>
        <w:rPr>
          <w:rFonts w:hint="eastAsia"/>
        </w:rPr>
        <w:t>级应急通道包括北环路、宁纺路、和平大街、南环路等通往区域的主干路，作为救援主干道，用于联络灾区与非灾区、县城局部区域与周边其他城市及县城、各防灾分区、主要防救灾指挥中心、大型防灾应急避难场所、医疗救护中心等防救据点。</w:t>
      </w:r>
      <w:r>
        <w:rPr>
          <w:rFonts w:hint="eastAsia"/>
          <w:lang w:eastAsia="zh-CN"/>
        </w:rPr>
        <w:t>二</w:t>
      </w:r>
      <w:r>
        <w:rPr>
          <w:rFonts w:hint="eastAsia"/>
        </w:rPr>
        <w:t>级应急通道包括天宝街、友谊大街、东阳路等主干道，作为疏散主通道，用于县城内部救援及疏散。</w:t>
      </w:r>
      <w:r>
        <w:rPr>
          <w:rFonts w:hint="eastAsia"/>
          <w:lang w:eastAsia="zh-CN"/>
        </w:rPr>
        <w:t>三</w:t>
      </w:r>
      <w:r>
        <w:rPr>
          <w:rFonts w:hint="eastAsia"/>
        </w:rPr>
        <w:t>级应急通道作为疏散次通道，利用次干道、支路构建社区级应急通道。</w:t>
      </w:r>
    </w:p>
    <w:p w14:paraId="7AD8BA94">
      <w:pPr>
        <w:pStyle w:val="2"/>
        <w:jc w:val="center"/>
        <w:rPr>
          <w:rFonts w:hint="eastAsia" w:ascii="黑体" w:eastAsia="黑体"/>
          <w:b w:val="0"/>
          <w:sz w:val="32"/>
          <w:szCs w:val="32"/>
          <w:lang w:val="zh-CN" w:eastAsia="zh-CN"/>
        </w:rPr>
      </w:pPr>
      <w:bookmarkStart w:id="25" w:name="_Toc22121"/>
      <w:bookmarkStart w:id="26" w:name="_Toc15750"/>
      <w:r>
        <w:rPr>
          <w:rFonts w:hint="eastAsia" w:ascii="黑体" w:eastAsia="黑体"/>
          <w:b w:val="0"/>
          <w:sz w:val="32"/>
          <w:szCs w:val="32"/>
          <w:lang w:val="zh-CN" w:eastAsia="zh-CN"/>
        </w:rPr>
        <w:t>第五章地震次生灾害防御规划</w:t>
      </w:r>
      <w:bookmarkEnd w:id="25"/>
      <w:bookmarkEnd w:id="26"/>
    </w:p>
    <w:p w14:paraId="252D8069">
      <w:pPr>
        <w:pStyle w:val="4"/>
        <w:numPr>
          <w:ilvl w:val="0"/>
          <w:numId w:val="0"/>
        </w:numPr>
        <w:bidi w:val="0"/>
        <w:ind w:leftChars="0"/>
        <w:rPr>
          <w:rFonts w:hint="eastAsia"/>
          <w:lang w:val="en-US" w:eastAsia="zh-CN"/>
        </w:rPr>
      </w:pPr>
      <w:r>
        <w:rPr>
          <w:rFonts w:hint="eastAsia"/>
          <w:lang w:val="en-US" w:eastAsia="zh-CN"/>
        </w:rPr>
        <w:t>第三十四条 次生灾害性能评价</w:t>
      </w:r>
    </w:p>
    <w:p w14:paraId="0AFE8431">
      <w:pPr>
        <w:bidi w:val="0"/>
        <w:rPr>
          <w:rFonts w:hint="eastAsia"/>
          <w:lang w:eastAsia="zh-CN"/>
        </w:rPr>
      </w:pPr>
      <w:r>
        <w:rPr>
          <w:rFonts w:hint="eastAsia"/>
          <w:lang w:eastAsia="zh-CN"/>
        </w:rPr>
        <w:t>中等破坏区域：中心城区地段受到地震次生灾害的威胁较大，由于该地段人口密集、人流量大、建筑质量较差、建筑密集度高，次生灾害源分布众多规模大（燃气储气、供热公司、加油站8处、110KV变电站等），一旦发生地震，房屋倒塌，交通堵塞，爆炸火灾危害巨大，另外工业聚集区随着发展人口逐渐聚集，将成为建筑密度高、人员密集的地段，故也作为中等破坏区域考虑。</w:t>
      </w:r>
    </w:p>
    <w:p w14:paraId="0DAA8B2E">
      <w:pPr>
        <w:bidi w:val="0"/>
        <w:rPr>
          <w:rFonts w:hint="eastAsia"/>
          <w:lang w:eastAsia="zh-CN"/>
        </w:rPr>
      </w:pPr>
      <w:r>
        <w:rPr>
          <w:rFonts w:hint="eastAsia"/>
          <w:lang w:eastAsia="zh-CN"/>
        </w:rPr>
        <w:t>轻度破坏区域：除中心城区外的县域用地，地势平坦，人口稀疏，建筑密度低，次生灾害源较少，道路平整宽阔，能够保障消防道路的畅通。</w:t>
      </w:r>
    </w:p>
    <w:p w14:paraId="19B55CC5">
      <w:pPr>
        <w:bidi w:val="0"/>
        <w:rPr>
          <w:rFonts w:hint="eastAsia"/>
          <w:lang w:eastAsia="zh-CN"/>
        </w:rPr>
      </w:pPr>
      <w:r>
        <w:rPr>
          <w:rFonts w:hint="eastAsia"/>
          <w:lang w:eastAsia="zh-CN"/>
        </w:rPr>
        <w:t>严重破坏区域：受地震断裂带影响，虽次生灾害源较少，但位于地震断裂带上，出现灾害易形成严重破坏。</w:t>
      </w:r>
    </w:p>
    <w:p w14:paraId="292B1FE6">
      <w:pPr>
        <w:pStyle w:val="4"/>
        <w:numPr>
          <w:ilvl w:val="0"/>
          <w:numId w:val="0"/>
        </w:numPr>
        <w:bidi w:val="0"/>
        <w:ind w:leftChars="0"/>
        <w:rPr>
          <w:rFonts w:hint="eastAsia"/>
          <w:lang w:val="en-US" w:eastAsia="zh-CN"/>
        </w:rPr>
      </w:pPr>
      <w:r>
        <w:rPr>
          <w:rFonts w:hint="eastAsia"/>
          <w:lang w:val="en-US" w:eastAsia="zh-CN"/>
        </w:rPr>
        <w:t>第三十五条 次生灾害防治措施</w:t>
      </w:r>
    </w:p>
    <w:p w14:paraId="148AEC77">
      <w:pPr>
        <w:bidi w:val="0"/>
      </w:pPr>
      <w:r>
        <w:rPr>
          <w:rFonts w:hint="eastAsia"/>
        </w:rPr>
        <w:t>1、进行</w:t>
      </w:r>
      <w:r>
        <w:rPr>
          <w:rFonts w:hint="eastAsia"/>
          <w:lang w:eastAsia="zh-CN"/>
        </w:rPr>
        <w:t>洨河、北沙河、午河、泜河、北澧新河、釜东排河、滏阳河、滏阳新河</w:t>
      </w:r>
      <w:r>
        <w:rPr>
          <w:rFonts w:hint="eastAsia"/>
        </w:rPr>
        <w:t>两岸堤坝的加固工作，加强</w:t>
      </w:r>
      <w:r>
        <w:rPr>
          <w:rFonts w:hint="eastAsia"/>
          <w:lang w:eastAsia="zh-CN"/>
        </w:rPr>
        <w:t>堤坝</w:t>
      </w:r>
      <w:r>
        <w:rPr>
          <w:rFonts w:hint="eastAsia"/>
        </w:rPr>
        <w:t>的值守工作，遇强降雨应及时泄洪。</w:t>
      </w:r>
    </w:p>
    <w:p w14:paraId="2717A84C">
      <w:pPr>
        <w:bidi w:val="0"/>
      </w:pPr>
      <w:r>
        <w:rPr>
          <w:rFonts w:hint="eastAsia"/>
        </w:rPr>
        <w:t>2、</w:t>
      </w:r>
      <w:r>
        <w:t>对次生灾害源搬迁改造</w:t>
      </w:r>
    </w:p>
    <w:p w14:paraId="029BA80E">
      <w:pPr>
        <w:bidi w:val="0"/>
        <w:rPr>
          <w:rFonts w:hint="eastAsia"/>
          <w:lang w:eastAsia="zh-CN"/>
        </w:rPr>
      </w:pPr>
      <w:bookmarkStart w:id="27" w:name="_Toc261421131"/>
      <w:bookmarkStart w:id="28" w:name="_Toc244682418"/>
      <w:bookmarkStart w:id="29" w:name="_Toc244662179"/>
      <w:r>
        <w:rPr>
          <w:rFonts w:hint="eastAsia"/>
        </w:rPr>
        <w:t>建议对</w:t>
      </w:r>
      <w:r>
        <w:rPr>
          <w:rFonts w:hint="eastAsia"/>
          <w:lang w:eastAsia="zh-CN"/>
        </w:rPr>
        <w:t>县域</w:t>
      </w:r>
      <w:r>
        <w:rPr>
          <w:rFonts w:hint="eastAsia"/>
        </w:rPr>
        <w:t>主要街道、人口稠密地段及交通要道附近，危险度特别大的灾害源，如加油站等应搬迁至</w:t>
      </w:r>
      <w:r>
        <w:rPr>
          <w:rFonts w:hint="eastAsia"/>
          <w:lang w:eastAsia="zh-CN"/>
        </w:rPr>
        <w:t>中心城区</w:t>
      </w:r>
      <w:r>
        <w:rPr>
          <w:rFonts w:hint="eastAsia"/>
        </w:rPr>
        <w:t>边缘</w:t>
      </w:r>
      <w:r>
        <w:rPr>
          <w:rFonts w:hint="eastAsia"/>
          <w:lang w:eastAsia="zh-CN"/>
        </w:rPr>
        <w:t>。</w:t>
      </w:r>
    </w:p>
    <w:p w14:paraId="177E2C21">
      <w:pPr>
        <w:bidi w:val="0"/>
        <w:rPr>
          <w:rFonts w:hint="eastAsia"/>
          <w:lang w:eastAsia="zh-CN"/>
        </w:rPr>
      </w:pPr>
      <w:r>
        <w:rPr>
          <w:rFonts w:hint="eastAsia"/>
        </w:rPr>
        <w:t>3、</w:t>
      </w:r>
      <w:r>
        <w:t>对产生次生灾害的重要建</w:t>
      </w:r>
      <w:r>
        <w:rPr>
          <w:rFonts w:hint="eastAsia"/>
          <w:lang w:eastAsia="zh-CN"/>
        </w:rPr>
        <w:t>（</w:t>
      </w:r>
      <w:r>
        <w:t>构</w:t>
      </w:r>
      <w:r>
        <w:rPr>
          <w:rFonts w:hint="eastAsia"/>
          <w:lang w:eastAsia="zh-CN"/>
        </w:rPr>
        <w:t>）</w:t>
      </w:r>
      <w:r>
        <w:t>筑物和设备采取防范措施</w:t>
      </w:r>
      <w:bookmarkEnd w:id="27"/>
      <w:bookmarkEnd w:id="28"/>
      <w:bookmarkEnd w:id="29"/>
      <w:r>
        <w:rPr>
          <w:rFonts w:hint="eastAsia"/>
          <w:lang w:eastAsia="zh-CN"/>
        </w:rPr>
        <w:t>。</w:t>
      </w:r>
    </w:p>
    <w:p w14:paraId="1C545D63">
      <w:pPr>
        <w:bidi w:val="0"/>
      </w:pPr>
      <w:r>
        <w:rPr>
          <w:rFonts w:hint="eastAsia"/>
        </w:rPr>
        <w:t>4、</w:t>
      </w:r>
      <w:r>
        <w:t>对新建</w:t>
      </w:r>
      <w:r>
        <w:rPr>
          <w:rFonts w:hint="eastAsia"/>
          <w:lang w:eastAsia="zh-CN"/>
        </w:rPr>
        <w:t>建</w:t>
      </w:r>
      <w:r>
        <w:t>筑物工程严格抗震设计，新建工程前期</w:t>
      </w:r>
      <w:r>
        <w:rPr>
          <w:rFonts w:hint="eastAsia"/>
          <w:lang w:eastAsia="zh-CN"/>
        </w:rPr>
        <w:t>、</w:t>
      </w:r>
      <w:r>
        <w:t>重大工程、易产生严重次生灾害工程应做好地震安全性评价工作，确定科学合理的抗震设防要求。对现有建筑视轻重缓急，进行抗震鉴定，实施抗震加固。</w:t>
      </w:r>
    </w:p>
    <w:p w14:paraId="7C5AC7EF">
      <w:pPr>
        <w:bidi w:val="0"/>
      </w:pPr>
      <w:r>
        <w:rPr>
          <w:rFonts w:hint="eastAsia"/>
        </w:rPr>
        <w:t>5、</w:t>
      </w:r>
      <w:r>
        <w:t>有计划地改造、加固抗震性能较差的油库、储气站、加油站、变电站、电厂、供热厂和其它生产用房，制定震后防火措施。</w:t>
      </w:r>
    </w:p>
    <w:p w14:paraId="54D8F3F0">
      <w:pPr>
        <w:bidi w:val="0"/>
      </w:pPr>
      <w:bookmarkStart w:id="30" w:name="_Toc244662180"/>
      <w:bookmarkStart w:id="31" w:name="_Toc244682419"/>
      <w:bookmarkStart w:id="32" w:name="_Toc261421132"/>
      <w:r>
        <w:rPr>
          <w:rFonts w:hint="eastAsia"/>
        </w:rPr>
        <w:t>6、</w:t>
      </w:r>
      <w:r>
        <w:t>严禁在中心</w:t>
      </w:r>
      <w:r>
        <w:rPr>
          <w:rFonts w:hint="eastAsia"/>
          <w:lang w:eastAsia="zh-CN"/>
        </w:rPr>
        <w:t>城区</w:t>
      </w:r>
      <w:r>
        <w:t>新建、扩建能产生次生灾害的设施和单位</w:t>
      </w:r>
      <w:bookmarkEnd w:id="30"/>
      <w:bookmarkEnd w:id="31"/>
      <w:bookmarkEnd w:id="32"/>
      <w:r>
        <w:t>，将其安排在城市边缘地带。</w:t>
      </w:r>
    </w:p>
    <w:p w14:paraId="7159F55A">
      <w:pPr>
        <w:bidi w:val="0"/>
      </w:pPr>
      <w:bookmarkStart w:id="33" w:name="_Toc244682420"/>
      <w:bookmarkStart w:id="34" w:name="_Toc244662181"/>
      <w:bookmarkStart w:id="35" w:name="_Toc261421133"/>
      <w:r>
        <w:rPr>
          <w:rFonts w:hint="eastAsia"/>
        </w:rPr>
        <w:t>7、</w:t>
      </w:r>
      <w:r>
        <w:t>控制传染病的发生</w:t>
      </w:r>
      <w:bookmarkEnd w:id="33"/>
      <w:bookmarkEnd w:id="34"/>
      <w:bookmarkEnd w:id="35"/>
    </w:p>
    <w:p w14:paraId="7168345D">
      <w:pPr>
        <w:bidi w:val="0"/>
      </w:pPr>
      <w:r>
        <w:t>震后大规模损毁的建筑物和大量人畜遗体等污染物在较大降水淋漓下进入水体，大规模消毒杀菌药剂的残留物等，对水环境均存在潜在威胁。</w:t>
      </w:r>
    </w:p>
    <w:p w14:paraId="34968B68">
      <w:pPr>
        <w:bidi w:val="0"/>
      </w:pPr>
      <w:r>
        <w:t>地震死亡人数众多，如在夏季极易腐烂。对死难者的尸体要进行妥善处理，集中掩埋或火化，防止造成二次污染，为病菌等微生物提供繁衍的场所。对居民饮用水进行快速污染物监测分析，对未达到饮用标准的自来水要禁止饮用或消毒后饮用，以防发生中毒事件。对震后的畜禽做相应处理措施，对受灾的街道和人员密集的场所要喷洒消毒药水。救灾人员要佩戴防毒面具和手套，严防疟疾等传染病的发生。</w:t>
      </w:r>
    </w:p>
    <w:p w14:paraId="77B5227A">
      <w:pPr>
        <w:pStyle w:val="2"/>
        <w:jc w:val="center"/>
        <w:rPr>
          <w:rFonts w:hint="eastAsia" w:ascii="黑体" w:eastAsia="黑体"/>
          <w:b w:val="0"/>
          <w:sz w:val="32"/>
          <w:szCs w:val="32"/>
          <w:lang w:val="zh-CN" w:eastAsia="zh-CN"/>
        </w:rPr>
      </w:pPr>
      <w:bookmarkStart w:id="36" w:name="_Toc1766"/>
      <w:bookmarkStart w:id="37" w:name="_Toc26525"/>
      <w:r>
        <w:rPr>
          <w:rFonts w:hint="eastAsia" w:ascii="黑体" w:eastAsia="黑体"/>
          <w:b w:val="0"/>
          <w:sz w:val="32"/>
          <w:szCs w:val="32"/>
          <w:lang w:val="zh-CN" w:eastAsia="zh-CN"/>
        </w:rPr>
        <w:t>第六章避震疏散规划</w:t>
      </w:r>
      <w:bookmarkEnd w:id="36"/>
      <w:bookmarkEnd w:id="37"/>
    </w:p>
    <w:p w14:paraId="3728E1AD">
      <w:pPr>
        <w:pStyle w:val="4"/>
        <w:numPr>
          <w:ilvl w:val="0"/>
          <w:numId w:val="0"/>
        </w:numPr>
        <w:bidi w:val="0"/>
        <w:ind w:leftChars="0"/>
        <w:rPr>
          <w:rFonts w:hint="eastAsia"/>
          <w:lang w:val="en-US" w:eastAsia="zh-CN"/>
        </w:rPr>
      </w:pPr>
      <w:r>
        <w:rPr>
          <w:rFonts w:hint="eastAsia"/>
          <w:lang w:val="en-US" w:eastAsia="zh-CN"/>
        </w:rPr>
        <w:t>第三十六条 避震疏散场所规划</w:t>
      </w:r>
    </w:p>
    <w:p w14:paraId="37D5A990">
      <w:pPr>
        <w:bidi w:val="0"/>
      </w:pPr>
      <w:r>
        <w:rPr>
          <w:rFonts w:hint="eastAsia"/>
        </w:rPr>
        <w:t>结合</w:t>
      </w:r>
      <w:r>
        <w:rPr>
          <w:lang w:val="zh-CN"/>
        </w:rPr>
        <w:t>《</w:t>
      </w:r>
      <w:r>
        <w:rPr>
          <w:rFonts w:hint="eastAsia"/>
          <w:lang w:val="zh-CN"/>
        </w:rPr>
        <w:t>宁晋县国土空间总体规划</w:t>
      </w:r>
      <w:r>
        <w:rPr>
          <w:lang w:val="zh-CN"/>
        </w:rPr>
        <w:t>（20</w:t>
      </w:r>
      <w:r>
        <w:rPr>
          <w:rFonts w:hint="eastAsia"/>
          <w:lang w:val="en-US" w:eastAsia="zh-CN"/>
        </w:rPr>
        <w:t>21</w:t>
      </w:r>
      <w:r>
        <w:rPr>
          <w:lang w:val="zh-CN"/>
        </w:rPr>
        <w:t>-20</w:t>
      </w:r>
      <w:r>
        <w:rPr>
          <w:rFonts w:hint="eastAsia"/>
          <w:lang w:val="en-US" w:eastAsia="zh-CN"/>
        </w:rPr>
        <w:t>35年</w:t>
      </w:r>
      <w:r>
        <w:rPr>
          <w:lang w:val="zh-CN"/>
        </w:rPr>
        <w:t>）》</w:t>
      </w:r>
      <w:r>
        <w:rPr>
          <w:rFonts w:hint="eastAsia"/>
        </w:rPr>
        <w:t>在</w:t>
      </w:r>
      <w:r>
        <w:rPr>
          <w:rFonts w:hint="eastAsia"/>
          <w:lang w:eastAsia="zh-CN"/>
        </w:rPr>
        <w:t>宁晋县中心城区规划长期应急</w:t>
      </w:r>
      <w:r>
        <w:rPr>
          <w:rFonts w:hint="eastAsia"/>
        </w:rPr>
        <w:t>避震疏散场所</w:t>
      </w:r>
      <w:r>
        <w:rPr>
          <w:rFonts w:hint="eastAsia"/>
          <w:lang w:val="en-US" w:eastAsia="zh-CN"/>
        </w:rPr>
        <w:t>1</w:t>
      </w:r>
      <w:r>
        <w:rPr>
          <w:rFonts w:hint="eastAsia"/>
        </w:rPr>
        <w:t>处</w:t>
      </w:r>
      <w:r>
        <w:rPr>
          <w:rFonts w:hint="eastAsia"/>
          <w:lang w:eastAsia="zh-CN"/>
        </w:rPr>
        <w:t>，短期应急避震疏散场所</w:t>
      </w:r>
      <w:r>
        <w:rPr>
          <w:rFonts w:hint="eastAsia"/>
          <w:lang w:val="en-US" w:eastAsia="zh-CN"/>
        </w:rPr>
        <w:t>6处，紧急应急避震疏散场所12处，</w:t>
      </w:r>
      <w:r>
        <w:rPr>
          <w:rFonts w:hint="eastAsia"/>
          <w:lang w:eastAsia="zh-CN"/>
        </w:rPr>
        <w:t>各乡（镇）在乡（镇）政府驻地规划长期应急</w:t>
      </w:r>
      <w:r>
        <w:rPr>
          <w:rFonts w:hint="eastAsia"/>
        </w:rPr>
        <w:t>避震疏散场所</w:t>
      </w:r>
      <w:r>
        <w:rPr>
          <w:rFonts w:hint="eastAsia"/>
          <w:lang w:val="en-US" w:eastAsia="zh-CN"/>
        </w:rPr>
        <w:t>1</w:t>
      </w:r>
      <w:r>
        <w:rPr>
          <w:rFonts w:hint="eastAsia"/>
        </w:rPr>
        <w:t>处</w:t>
      </w:r>
      <w:r>
        <w:rPr>
          <w:rFonts w:hint="eastAsia"/>
          <w:lang w:eastAsia="zh-CN"/>
        </w:rPr>
        <w:t>，在各乡（镇）中心村设置短期应急避震疏散场所</w:t>
      </w:r>
      <w:r>
        <w:rPr>
          <w:rFonts w:hint="eastAsia"/>
          <w:lang w:val="en-US" w:eastAsia="zh-CN"/>
        </w:rPr>
        <w:t>1处，在各行政村设置紧急应急避震疏散场所一或两处</w:t>
      </w:r>
      <w:r>
        <w:rPr>
          <w:rFonts w:hint="eastAsia"/>
          <w:lang w:eastAsia="zh-CN"/>
        </w:rPr>
        <w:t>。</w:t>
      </w:r>
      <w:r>
        <w:rPr>
          <w:rFonts w:hint="eastAsia"/>
        </w:rPr>
        <w:t>总</w:t>
      </w:r>
      <w:r>
        <w:rPr>
          <w:rFonts w:hint="eastAsia"/>
          <w:lang w:eastAsia="zh-CN"/>
        </w:rPr>
        <w:t>有效避难</w:t>
      </w:r>
      <w:r>
        <w:rPr>
          <w:rFonts w:hint="eastAsia"/>
        </w:rPr>
        <w:t>面积</w:t>
      </w:r>
      <w:r>
        <w:rPr>
          <w:rFonts w:hint="eastAsia"/>
          <w:lang w:eastAsia="zh-CN"/>
        </w:rPr>
        <w:t>为</w:t>
      </w:r>
      <w:r>
        <w:rPr>
          <w:rFonts w:hint="eastAsia"/>
          <w:lang w:val="en-US" w:eastAsia="zh-CN"/>
        </w:rPr>
        <w:t>1416000平方米</w:t>
      </w:r>
      <w:r>
        <w:rPr>
          <w:rFonts w:hint="eastAsia"/>
        </w:rPr>
        <w:t>。</w:t>
      </w:r>
    </w:p>
    <w:p w14:paraId="2CCE6D15">
      <w:pPr>
        <w:bidi w:val="0"/>
      </w:pPr>
      <w:r>
        <w:t>根据《地震应急避难场所场址及配套设施标准》（GB21734-2008）中关于避震疏散场所场址选择的要求，避震疏散场所应避开地震断裂带、山体滑坡、泥石流等自然灾害易发生地段；应选择地势较为平坦空旷且地势略高，易于排水，适宜搭建帐篷的地形；应选择有毒气体储放地、易燃易爆物或核放射物储放地、高压输变电线路等设施对人体安全可能产生影响的范围之外，应选择在高层建筑物、高耸构筑物的垮塌范围距离之外。场址有效面积宜大于2000㎡，人均居住面积应大于1.5㎡。</w:t>
      </w:r>
    </w:p>
    <w:p w14:paraId="307DC44F">
      <w:pPr>
        <w:bidi w:val="0"/>
      </w:pPr>
      <w:r>
        <w:rPr>
          <w:rFonts w:hint="eastAsia"/>
          <w:lang w:eastAsia="zh-CN"/>
        </w:rPr>
        <w:t>县域</w:t>
      </w:r>
      <w:r>
        <w:rPr>
          <w:rFonts w:hint="eastAsia"/>
        </w:rPr>
        <w:t>有</w:t>
      </w:r>
      <w:r>
        <w:rPr>
          <w:rFonts w:hint="eastAsia"/>
          <w:lang w:eastAsia="zh-CN"/>
        </w:rPr>
        <w:t>中学、特殊教育学校、职教中心，初中以及多个小学等</w:t>
      </w:r>
      <w:r>
        <w:rPr>
          <w:rFonts w:hint="eastAsia"/>
        </w:rPr>
        <w:t>，校内操场可</w:t>
      </w:r>
      <w:r>
        <w:rPr>
          <w:rFonts w:hint="eastAsia"/>
          <w:lang w:val="en-US" w:eastAsia="zh-CN"/>
        </w:rPr>
        <w:t>作为</w:t>
      </w:r>
      <w:r>
        <w:rPr>
          <w:rFonts w:hint="eastAsia"/>
        </w:rPr>
        <w:t>学校师生临时避震疏散场所。</w:t>
      </w:r>
    </w:p>
    <w:p w14:paraId="4EB092DE">
      <w:pPr>
        <w:bidi w:val="0"/>
      </w:pPr>
      <w:r>
        <w:t>在震灾期间各避震疏散场所由避震疏散指挥部门和救灾小组统一指挥和领导。避震疏散场所划定后，</w:t>
      </w:r>
      <w:r>
        <w:rPr>
          <w:rFonts w:hint="eastAsia"/>
        </w:rPr>
        <w:t>县</w:t>
      </w:r>
      <w:r>
        <w:t>抗震办应加强管理，确保随时投入使用。</w:t>
      </w:r>
    </w:p>
    <w:p w14:paraId="1369BCAC">
      <w:pPr>
        <w:pStyle w:val="4"/>
        <w:numPr>
          <w:ilvl w:val="0"/>
          <w:numId w:val="0"/>
        </w:numPr>
        <w:bidi w:val="0"/>
        <w:ind w:leftChars="0"/>
        <w:rPr>
          <w:rFonts w:hint="eastAsia"/>
          <w:lang w:val="en-US" w:eastAsia="zh-CN"/>
        </w:rPr>
      </w:pPr>
      <w:r>
        <w:rPr>
          <w:rFonts w:hint="eastAsia"/>
          <w:lang w:val="en-US" w:eastAsia="zh-CN"/>
        </w:rPr>
        <w:t>第三十七条 避震疏散场所的基础设施配置</w:t>
      </w:r>
    </w:p>
    <w:p w14:paraId="382C4112">
      <w:pPr>
        <w:bidi w:val="0"/>
      </w:pPr>
      <w:r>
        <w:t>基础设施配置包括：应急</w:t>
      </w:r>
      <w:r>
        <w:rPr>
          <w:rFonts w:hint="eastAsia"/>
          <w:lang w:eastAsia="zh-CN"/>
        </w:rPr>
        <w:t>棚宿区</w:t>
      </w:r>
      <w:r>
        <w:t>设施、医疗与卫生防疫设施、供水设施、供电设施、排污设施、厕所、应急垃圾储运设施、应急通道、应急消防、应急物资储备设施、应急指挥管理设施、应急停车场、应急停机坪等。</w:t>
      </w:r>
    </w:p>
    <w:p w14:paraId="60282AA0">
      <w:pPr>
        <w:bidi w:val="0"/>
      </w:pPr>
      <w:r>
        <w:t>避震疏散场所应设置满足应急生活需要的帐篷、活动简易房等临时用房；应设有临时或固定的用于紧急处置的医疗救护与卫生防疫设施；建设专用的紧急供水专用管网，并配置用于净化自然水体成为直接饮用水的净化设备，每100人应至少设一个水龙头，每250人应至少设一处饮水处。生活饮用水水质应达到《生活饮用水卫生标准》（GB5749-2006）要求；应配置保障照明、医疗、通讯</w:t>
      </w:r>
      <w:r>
        <w:rPr>
          <w:rFonts w:hint="eastAsia"/>
        </w:rPr>
        <w:t>站</w:t>
      </w:r>
      <w:r>
        <w:t>点的具有多路电网供电系统或太阳能供电系统，或配置可移动发电机应急供电设施。发电设施应具备防触电、防雷击保护措施；应设置满足应急生活需要和避免造成环境污染的排放管线、简易污水处理设施，应急排污系统应与市政管道相连接或设立独立排污系统；应设置满足应急生活需要的暗坑式厕所或移动厕所，应急厕所之间距离应小于100m，且位于应急避震场所下风向设置，距离</w:t>
      </w:r>
      <w:r>
        <w:rPr>
          <w:rFonts w:hint="eastAsia"/>
          <w:lang w:eastAsia="zh-CN"/>
        </w:rPr>
        <w:t>棚宿区</w:t>
      </w:r>
      <w:r>
        <w:t>30-50m，暗坑式厕所应具备水冲能力，并附设或单独设置化粪池；应设置满足应急生活需要的可移动的垃圾、废弃物分类储运设施，垃圾储运设施距离应急</w:t>
      </w:r>
      <w:r>
        <w:rPr>
          <w:rFonts w:hint="eastAsia"/>
          <w:lang w:eastAsia="zh-CN"/>
        </w:rPr>
        <w:t>棚宿区</w:t>
      </w:r>
      <w:r>
        <w:t>应大于5m，且位于应急避震场所下风向；</w:t>
      </w:r>
      <w:r>
        <w:rPr>
          <w:rFonts w:hint="eastAsia"/>
          <w:lang w:eastAsia="zh-CN"/>
        </w:rPr>
        <w:t>棚宿区</w:t>
      </w:r>
      <w:r>
        <w:t>周边和场所内要按照防火、卫生防疫要求设置通道；避震疏散场所及周边应设置避难场所标志、人员疏导标志和应急避难功能分区标志。</w:t>
      </w:r>
    </w:p>
    <w:p w14:paraId="05540D9F">
      <w:pPr>
        <w:bidi w:val="0"/>
      </w:pPr>
      <w:r>
        <w:t>在</w:t>
      </w:r>
      <w:r>
        <w:rPr>
          <w:rFonts w:hint="eastAsia"/>
          <w:lang w:eastAsia="zh-CN"/>
        </w:rPr>
        <w:t>棚宿区</w:t>
      </w:r>
      <w:r>
        <w:t>内应配置灭火工具或器材设施；根据避难场所容纳的人数和生活时间，在场所</w:t>
      </w:r>
      <w:r>
        <w:rPr>
          <w:rFonts w:hint="eastAsia"/>
        </w:rPr>
        <w:t>内</w:t>
      </w:r>
      <w:r>
        <w:t>或周边设置储备应急生活物资的设施，应利用避难场所周边的饭店、商店、超市、药店、仓库等进行应急物资储备，场所周边的应急物资储备设施与避震场所之间的距离应小于500m；应设置广播、图像监控、无线通信等应急管理设施，广播系统应覆盖避震疏散场所，图像监控范围应覆盖</w:t>
      </w:r>
      <w:r>
        <w:rPr>
          <w:rFonts w:hint="eastAsia"/>
          <w:lang w:eastAsia="zh-CN"/>
        </w:rPr>
        <w:t>棚宿区</w:t>
      </w:r>
      <w:r>
        <w:t>和避震场所内的道路。</w:t>
      </w:r>
    </w:p>
    <w:p w14:paraId="13E48878">
      <w:pPr>
        <w:bidi w:val="0"/>
      </w:pPr>
      <w:r>
        <w:t>避难场所附近设置应急车辆停车场；在避震疏散场所内</w:t>
      </w:r>
      <w:r>
        <w:rPr>
          <w:rFonts w:hint="eastAsia"/>
        </w:rPr>
        <w:t>和</w:t>
      </w:r>
      <w:r>
        <w:t>周边设置供直升机起降的应急停机坪。</w:t>
      </w:r>
    </w:p>
    <w:p w14:paraId="5664E603">
      <w:pPr>
        <w:bidi w:val="0"/>
      </w:pPr>
      <w:r>
        <w:t>在场所周边的主干道、路口应设置指示标志；场所出入口应设置避难场所主标志；场所内主要通道路口应设置应急设施的指示标志；场所内各类配套设施应设置明显标志。</w:t>
      </w:r>
    </w:p>
    <w:p w14:paraId="4662C6CE">
      <w:pPr>
        <w:bidi w:val="0"/>
      </w:pPr>
      <w:r>
        <w:t>避震疏散场所内的建（构）筑物以及利用周边建（构）筑物作为配套设施用房的建筑，应达到相应建</w:t>
      </w:r>
      <w:r>
        <w:rPr>
          <w:rFonts w:hint="eastAsia"/>
          <w:lang w:eastAsia="zh-CN"/>
        </w:rPr>
        <w:t>（</w:t>
      </w:r>
      <w:r>
        <w:t>构</w:t>
      </w:r>
      <w:r>
        <w:rPr>
          <w:rFonts w:hint="eastAsia"/>
          <w:lang w:eastAsia="zh-CN"/>
        </w:rPr>
        <w:t>）</w:t>
      </w:r>
      <w:r>
        <w:t>筑物抗震设防要求</w:t>
      </w:r>
      <w:r>
        <w:rPr>
          <w:rFonts w:hint="eastAsia"/>
        </w:rPr>
        <w:t>。</w:t>
      </w:r>
    </w:p>
    <w:p w14:paraId="4E232329">
      <w:pPr>
        <w:pStyle w:val="4"/>
        <w:numPr>
          <w:ilvl w:val="0"/>
          <w:numId w:val="0"/>
        </w:numPr>
        <w:bidi w:val="0"/>
        <w:ind w:leftChars="0"/>
        <w:rPr>
          <w:rFonts w:hint="eastAsia"/>
          <w:lang w:val="en-US" w:eastAsia="zh-CN"/>
        </w:rPr>
      </w:pPr>
      <w:r>
        <w:rPr>
          <w:rFonts w:hint="eastAsia"/>
          <w:lang w:val="en-US" w:eastAsia="zh-CN"/>
        </w:rPr>
        <w:t>第三十八条 避震疏散通道规划</w:t>
      </w:r>
    </w:p>
    <w:p w14:paraId="3903011E">
      <w:pPr>
        <w:bidi w:val="0"/>
      </w:pPr>
      <w:r>
        <w:rPr>
          <w:rFonts w:hint="eastAsia"/>
        </w:rPr>
        <w:t>按</w:t>
      </w:r>
      <w:r>
        <w:t>避难场所应有方向不同的两条以上与外界相通的</w:t>
      </w:r>
      <w:r>
        <w:rPr>
          <w:rFonts w:hint="eastAsia"/>
        </w:rPr>
        <w:t>避震</w:t>
      </w:r>
      <w:r>
        <w:t>疏散通道</w:t>
      </w:r>
      <w:r>
        <w:rPr>
          <w:rFonts w:hint="eastAsia"/>
        </w:rPr>
        <w:t>要求，规划以避震疏散场地为核心，利用城市主干路和次干路组织避难疏散通道</w:t>
      </w:r>
      <w:r>
        <w:t>。</w:t>
      </w:r>
      <w:r>
        <w:rPr>
          <w:rFonts w:hint="eastAsia"/>
        </w:rPr>
        <w:t>避震疏散通道两侧多层建筑退道路红线不低于10m，高层建筑退道路红线不低于15m，以防建筑物倒塌阻碍交通。利用</w:t>
      </w:r>
      <w:r>
        <w:rPr>
          <w:rFonts w:hint="eastAsia"/>
          <w:lang w:eastAsia="zh-CN"/>
        </w:rPr>
        <w:t>县域</w:t>
      </w:r>
      <w:r>
        <w:rPr>
          <w:rFonts w:hint="eastAsia"/>
        </w:rPr>
        <w:t>建筑抗震评价对通道两侧建筑进行加固，达到</w:t>
      </w:r>
      <w:r>
        <w:rPr>
          <w:rFonts w:hint="eastAsia"/>
          <w:lang w:eastAsia="zh-CN"/>
        </w:rPr>
        <w:t>八度</w:t>
      </w:r>
      <w:r>
        <w:rPr>
          <w:rFonts w:hint="eastAsia"/>
        </w:rPr>
        <w:t>设防需求。</w:t>
      </w:r>
      <w:r>
        <w:t>详见避震疏散</w:t>
      </w:r>
      <w:r>
        <w:rPr>
          <w:rFonts w:hint="eastAsia"/>
        </w:rPr>
        <w:t>通道</w:t>
      </w:r>
      <w:r>
        <w:t>规划图。</w:t>
      </w:r>
    </w:p>
    <w:p w14:paraId="75EE6E93">
      <w:pPr>
        <w:pStyle w:val="2"/>
        <w:jc w:val="center"/>
        <w:rPr>
          <w:rFonts w:hint="eastAsia" w:ascii="黑体" w:eastAsia="黑体"/>
          <w:b w:val="0"/>
          <w:sz w:val="32"/>
          <w:szCs w:val="32"/>
          <w:lang w:val="zh-CN" w:eastAsia="zh-CN"/>
        </w:rPr>
      </w:pPr>
      <w:bookmarkStart w:id="38" w:name="_Toc10465"/>
      <w:bookmarkStart w:id="39" w:name="_Toc2535"/>
      <w:r>
        <w:rPr>
          <w:rFonts w:hint="eastAsia" w:ascii="黑体" w:eastAsia="黑体"/>
          <w:b w:val="0"/>
          <w:sz w:val="32"/>
          <w:szCs w:val="32"/>
          <w:lang w:val="zh-CN" w:eastAsia="zh-CN"/>
        </w:rPr>
        <w:t>第七章应急预案及震后抢险救灾规划</w:t>
      </w:r>
      <w:bookmarkEnd w:id="38"/>
      <w:bookmarkEnd w:id="39"/>
    </w:p>
    <w:p w14:paraId="45AE2054">
      <w:pPr>
        <w:pStyle w:val="4"/>
        <w:numPr>
          <w:ilvl w:val="0"/>
          <w:numId w:val="0"/>
        </w:numPr>
        <w:bidi w:val="0"/>
        <w:ind w:leftChars="0"/>
        <w:rPr>
          <w:rFonts w:hint="eastAsia"/>
          <w:lang w:val="en-US" w:eastAsia="zh-CN"/>
        </w:rPr>
      </w:pPr>
      <w:bookmarkStart w:id="40" w:name="_Toc261421143"/>
      <w:bookmarkStart w:id="41" w:name="_Toc244662191"/>
      <w:r>
        <w:rPr>
          <w:rFonts w:hint="eastAsia"/>
          <w:lang w:val="en-US" w:eastAsia="zh-CN"/>
        </w:rPr>
        <w:t>第三十九条 成立抗震救灾组织机构</w:t>
      </w:r>
      <w:bookmarkEnd w:id="40"/>
      <w:bookmarkEnd w:id="41"/>
    </w:p>
    <w:p w14:paraId="2891E2F4">
      <w:pPr>
        <w:bidi w:val="0"/>
        <w:rPr>
          <w:rFonts w:hint="eastAsia"/>
          <w:lang w:eastAsia="zh-CN"/>
        </w:rPr>
      </w:pPr>
      <w:bookmarkStart w:id="42" w:name="_Toc261421151"/>
      <w:bookmarkStart w:id="43" w:name="_Toc244662199"/>
      <w:r>
        <w:rPr>
          <w:rFonts w:hint="eastAsia"/>
          <w:lang w:eastAsia="zh-CN"/>
        </w:rPr>
        <w:t>宁晋县</w:t>
      </w:r>
      <w:r>
        <w:rPr>
          <w:rFonts w:hint="eastAsia"/>
        </w:rPr>
        <w:t>政府制定了《</w:t>
      </w:r>
      <w:r>
        <w:rPr>
          <w:rFonts w:hint="eastAsia"/>
          <w:lang w:eastAsia="zh-CN"/>
        </w:rPr>
        <w:t>宁晋县</w:t>
      </w:r>
      <w:r>
        <w:rPr>
          <w:rFonts w:hint="eastAsia"/>
        </w:rPr>
        <w:t>地震应急预案》，明确县政府是</w:t>
      </w:r>
      <w:r>
        <w:rPr>
          <w:rFonts w:hint="eastAsia"/>
          <w:lang w:eastAsia="zh-CN"/>
        </w:rPr>
        <w:t>宁晋县</w:t>
      </w:r>
      <w:r>
        <w:rPr>
          <w:rFonts w:hint="eastAsia"/>
        </w:rPr>
        <w:t>地震应急处置的行政领导机构，统一领导全县地震应急处置工作。发生破坏性地震灾害事件后，县防震减灾工作领导小组即转为县抗震救灾指挥部，负责指挥部署、组织协调全县抗震救灾工作。县抗震救灾指挥部应急处置工作场所设在县应急管理局应急指挥中心</w:t>
      </w:r>
      <w:r>
        <w:rPr>
          <w:rFonts w:hint="eastAsia"/>
          <w:lang w:eastAsia="zh-CN"/>
        </w:rPr>
        <w:t>。</w:t>
      </w:r>
    </w:p>
    <w:p w14:paraId="65F1A418">
      <w:pPr>
        <w:pStyle w:val="4"/>
        <w:numPr>
          <w:ilvl w:val="0"/>
          <w:numId w:val="0"/>
        </w:numPr>
        <w:bidi w:val="0"/>
        <w:ind w:leftChars="0"/>
        <w:rPr>
          <w:rFonts w:hint="eastAsia"/>
          <w:lang w:val="en-US" w:eastAsia="zh-CN"/>
        </w:rPr>
      </w:pPr>
      <w:bookmarkStart w:id="44" w:name="_Toc238439481"/>
      <w:bookmarkStart w:id="45" w:name="_Toc238309820"/>
      <w:r>
        <w:rPr>
          <w:rFonts w:hint="eastAsia"/>
          <w:lang w:val="en-US" w:eastAsia="zh-CN"/>
        </w:rPr>
        <w:t>第四十条 应急准备及抢险救灾规划</w:t>
      </w:r>
      <w:bookmarkEnd w:id="44"/>
      <w:bookmarkEnd w:id="45"/>
      <w:bookmarkStart w:id="46" w:name="_Toc238439482"/>
      <w:bookmarkStart w:id="47" w:name="_Toc238309821"/>
    </w:p>
    <w:bookmarkEnd w:id="46"/>
    <w:bookmarkEnd w:id="47"/>
    <w:p w14:paraId="1818EA63">
      <w:pPr>
        <w:bidi w:val="0"/>
        <w:rPr>
          <w:rFonts w:hint="eastAsia"/>
          <w:lang w:val="en-US" w:eastAsia="zh-CN"/>
        </w:rPr>
      </w:pPr>
      <w:bookmarkStart w:id="48" w:name="_Toc261421152"/>
      <w:bookmarkStart w:id="49" w:name="_Toc244662200"/>
      <w:bookmarkStart w:id="50" w:name="_Toc285719729"/>
      <w:r>
        <w:rPr>
          <w:rFonts w:hint="eastAsia"/>
          <w:lang w:val="en-US" w:eastAsia="zh-CN"/>
        </w:rPr>
        <w:t>（1）紧急避震期</w:t>
      </w:r>
      <w:bookmarkEnd w:id="48"/>
      <w:bookmarkEnd w:id="49"/>
    </w:p>
    <w:p w14:paraId="158EECF2">
      <w:pPr>
        <w:bidi w:val="0"/>
      </w:pPr>
      <w:r>
        <w:t>当接到短期或临震预报时，抗震防灾体制进入备震状态，各级领导进入指挥位置，有关人员进入责任岗位，检查值班制度和信息传递网络，以及水、电、能源的保障和生活用品的运输储备。</w:t>
      </w:r>
      <w:bookmarkStart w:id="51" w:name="_Toc244662201"/>
      <w:bookmarkStart w:id="52" w:name="_Toc261421153"/>
    </w:p>
    <w:p w14:paraId="5F294946">
      <w:pPr>
        <w:bidi w:val="0"/>
        <w:rPr>
          <w:rFonts w:hint="eastAsia"/>
          <w:lang w:val="en-US" w:eastAsia="zh-CN"/>
        </w:rPr>
      </w:pPr>
      <w:r>
        <w:rPr>
          <w:rFonts w:hint="eastAsia"/>
          <w:lang w:val="en-US" w:eastAsia="zh-CN"/>
        </w:rPr>
        <w:t>（2）抢险救灾期</w:t>
      </w:r>
      <w:bookmarkEnd w:id="51"/>
      <w:bookmarkEnd w:id="52"/>
    </w:p>
    <w:p w14:paraId="0A672FDC">
      <w:pPr>
        <w:bidi w:val="0"/>
      </w:pPr>
      <w:r>
        <w:t>地震发生及震后一周左右是抢险救灾的非常时期，全</w:t>
      </w:r>
      <w:r>
        <w:rPr>
          <w:rFonts w:hint="eastAsia"/>
          <w:lang w:eastAsia="zh-CN"/>
        </w:rPr>
        <w:t>县</w:t>
      </w:r>
      <w:r>
        <w:t>要集中人力、物力立即投入抢险救灾，并查清灾情、震情及余震监测。</w:t>
      </w:r>
    </w:p>
    <w:p w14:paraId="21F4BC60">
      <w:pPr>
        <w:bidi w:val="0"/>
        <w:rPr>
          <w:rFonts w:hint="eastAsia"/>
          <w:lang w:val="en-US" w:eastAsia="zh-CN"/>
        </w:rPr>
      </w:pPr>
      <w:bookmarkStart w:id="53" w:name="_Toc261421154"/>
      <w:bookmarkStart w:id="54" w:name="_Toc244662202"/>
      <w:r>
        <w:rPr>
          <w:rFonts w:hint="eastAsia"/>
          <w:lang w:val="en-US" w:eastAsia="zh-CN"/>
        </w:rPr>
        <w:t>（3）恢复过渡期</w:t>
      </w:r>
      <w:bookmarkEnd w:id="53"/>
      <w:bookmarkEnd w:id="54"/>
    </w:p>
    <w:p w14:paraId="3089E6DF">
      <w:pPr>
        <w:bidi w:val="0"/>
      </w:pPr>
      <w:r>
        <w:t>震后三个月时间内为恢复过渡期，为全面恢复生产，重建家园，需加快生命线工程的恢复，使其及早恢复正常运转。</w:t>
      </w:r>
    </w:p>
    <w:p w14:paraId="150BF1C3">
      <w:pPr>
        <w:bidi w:val="0"/>
        <w:rPr>
          <w:rFonts w:hint="eastAsia"/>
          <w:lang w:val="en-US" w:eastAsia="zh-CN"/>
        </w:rPr>
      </w:pPr>
      <w:r>
        <w:rPr>
          <w:rFonts w:hint="eastAsia"/>
          <w:lang w:val="en-US" w:eastAsia="zh-CN"/>
        </w:rPr>
        <w:t>（4）应急供水保障规划</w:t>
      </w:r>
    </w:p>
    <w:p w14:paraId="123BF8FE">
      <w:pPr>
        <w:bidi w:val="0"/>
        <w:rPr>
          <w:rFonts w:hint="eastAsia"/>
        </w:rPr>
      </w:pPr>
      <w:r>
        <w:rPr>
          <w:rFonts w:hint="eastAsia"/>
        </w:rPr>
        <w:t>市政供水：确定应急供水来源，水处理设施和输配水管线。按照供水指标</w:t>
      </w:r>
      <w:r>
        <w:rPr>
          <w:rFonts w:hint="eastAsia"/>
          <w:lang w:eastAsia="zh-CN"/>
        </w:rPr>
        <w:t>每天</w:t>
      </w:r>
      <w:r>
        <w:rPr>
          <w:rFonts w:hint="eastAsia"/>
        </w:rPr>
        <w:t>30升/人，其中</w:t>
      </w:r>
      <w:r>
        <w:rPr>
          <w:rFonts w:hint="eastAsia"/>
          <w:lang w:eastAsia="zh-CN"/>
        </w:rPr>
        <w:t>每天</w:t>
      </w:r>
      <w:r>
        <w:rPr>
          <w:rFonts w:hint="eastAsia"/>
        </w:rPr>
        <w:t>饮用水为3升/人，按40%地震破坏严重区域人数</w:t>
      </w:r>
      <w:r>
        <w:rPr>
          <w:rFonts w:hint="eastAsia"/>
          <w:lang w:eastAsia="zh-CN"/>
        </w:rPr>
        <w:t>，</w:t>
      </w:r>
      <w:r>
        <w:rPr>
          <w:rFonts w:hint="eastAsia"/>
        </w:rPr>
        <w:t>相关职能部门制定震后供水应急预案，在管线可能发生严重破坏地段储备必要的抢险物资。</w:t>
      </w:r>
    </w:p>
    <w:p w14:paraId="78591018">
      <w:pPr>
        <w:bidi w:val="0"/>
        <w:rPr>
          <w:rFonts w:hint="eastAsia"/>
        </w:rPr>
      </w:pPr>
      <w:r>
        <w:rPr>
          <w:rFonts w:hint="eastAsia"/>
        </w:rPr>
        <w:t>应急供水：根据避震疏散的规划安排，在避震疏散场所内配备供水设施，在中心疏散场所修建应急储水池（槽）或应急取水设施，储存水质净化药品。饮用水用的储水槽典型的是“水管直接式”，平常时供水管的水流过储水槽，受灾时封住进出口，作为储水槽。规划按照</w:t>
      </w:r>
      <w:r>
        <w:rPr>
          <w:rFonts w:hint="eastAsia"/>
          <w:lang w:eastAsia="zh-CN"/>
        </w:rPr>
        <w:t>每天</w:t>
      </w:r>
      <w:r>
        <w:rPr>
          <w:rFonts w:hint="eastAsia"/>
        </w:rPr>
        <w:t>30升/人，5天供水量为储备量。</w:t>
      </w:r>
    </w:p>
    <w:p w14:paraId="5A87DB24">
      <w:pPr>
        <w:bidi w:val="0"/>
        <w:rPr>
          <w:rFonts w:hint="eastAsia"/>
          <w:lang w:val="en-US" w:eastAsia="zh-CN"/>
        </w:rPr>
      </w:pPr>
      <w:r>
        <w:rPr>
          <w:rFonts w:hint="eastAsia"/>
          <w:lang w:val="en-US" w:eastAsia="zh-CN"/>
        </w:rPr>
        <w:t>（5）应急供电保障规划</w:t>
      </w:r>
    </w:p>
    <w:p w14:paraId="78CD7267">
      <w:pPr>
        <w:bidi w:val="0"/>
        <w:rPr>
          <w:rFonts w:hint="eastAsia"/>
        </w:rPr>
      </w:pPr>
      <w:r>
        <w:rPr>
          <w:rFonts w:hint="eastAsia"/>
          <w:lang w:eastAsia="zh-CN"/>
        </w:rPr>
        <w:t>一</w:t>
      </w:r>
      <w:r>
        <w:rPr>
          <w:rFonts w:hint="eastAsia"/>
        </w:rPr>
        <w:t>级应急供电保障按照重点设防类建设，</w:t>
      </w:r>
      <w:r>
        <w:rPr>
          <w:rFonts w:hint="eastAsia"/>
          <w:lang w:eastAsia="zh-CN"/>
        </w:rPr>
        <w:t>二</w:t>
      </w:r>
      <w:r>
        <w:rPr>
          <w:rFonts w:hint="eastAsia"/>
        </w:rPr>
        <w:t>级、</w:t>
      </w:r>
      <w:r>
        <w:rPr>
          <w:rFonts w:hint="eastAsia"/>
          <w:lang w:eastAsia="zh-CN"/>
        </w:rPr>
        <w:t>三</w:t>
      </w:r>
      <w:r>
        <w:rPr>
          <w:rFonts w:hint="eastAsia"/>
        </w:rPr>
        <w:t>级应急供电保障应不低于重点设防类进行建设。县级疏散场所应急供电保障等级为</w:t>
      </w:r>
      <w:r>
        <w:rPr>
          <w:rFonts w:hint="eastAsia"/>
          <w:lang w:eastAsia="zh-CN"/>
        </w:rPr>
        <w:t>一</w:t>
      </w:r>
      <w:r>
        <w:rPr>
          <w:rFonts w:hint="eastAsia"/>
        </w:rPr>
        <w:t>级，街道级和小区级固定避难场所应急供电保障等级不应低于</w:t>
      </w:r>
      <w:r>
        <w:rPr>
          <w:rFonts w:hint="eastAsia"/>
          <w:lang w:eastAsia="zh-CN"/>
        </w:rPr>
        <w:t>二</w:t>
      </w:r>
      <w:r>
        <w:rPr>
          <w:rFonts w:hint="eastAsia"/>
        </w:rPr>
        <w:t>级。</w:t>
      </w:r>
    </w:p>
    <w:p w14:paraId="18662B5B">
      <w:pPr>
        <w:bidi w:val="0"/>
        <w:rPr>
          <w:rFonts w:hint="eastAsia"/>
        </w:rPr>
      </w:pPr>
      <w:r>
        <w:rPr>
          <w:rFonts w:hint="eastAsia"/>
        </w:rPr>
        <w:t>一级防灾分区和二级防灾分区的应急供电保障采用两路独立电力系统电源引入，两路电源同时工作，任一路电源满足平时一级负荷、消防负荷不小于50%的正常照明负荷用电需要。</w:t>
      </w:r>
    </w:p>
    <w:p w14:paraId="0E74FBFD">
      <w:pPr>
        <w:bidi w:val="0"/>
        <w:rPr>
          <w:rFonts w:hint="eastAsia"/>
        </w:rPr>
      </w:pPr>
      <w:r>
        <w:rPr>
          <w:rFonts w:hint="eastAsia"/>
        </w:rPr>
        <w:t>供电避震疏散场所。采用独立的多路电网电源供电，以保证灾时场所供电的可靠性。采用移动式发电机，平时可作为备用电源，灾时照明、给水及附属建筑等供电要求不是特别高的负荷供电。利用太阳能等发电设备给照明灯供电。</w:t>
      </w:r>
    </w:p>
    <w:p w14:paraId="71997968">
      <w:pPr>
        <w:bidi w:val="0"/>
        <w:rPr>
          <w:rFonts w:hint="eastAsia"/>
          <w:lang w:val="en-US" w:eastAsia="zh-CN"/>
        </w:rPr>
      </w:pPr>
      <w:r>
        <w:rPr>
          <w:rFonts w:hint="eastAsia"/>
          <w:lang w:val="en-US" w:eastAsia="zh-CN"/>
        </w:rPr>
        <w:t>（6）应急救灾医疗保障规划</w:t>
      </w:r>
    </w:p>
    <w:p w14:paraId="6E084A0D">
      <w:pPr>
        <w:bidi w:val="0"/>
        <w:rPr>
          <w:rFonts w:hint="eastAsia"/>
        </w:rPr>
      </w:pPr>
      <w:r>
        <w:rPr>
          <w:rFonts w:hint="eastAsia"/>
        </w:rPr>
        <w:t>医疗系统重要建筑物包括卫生局办公楼、主要医院的门诊楼、血站、急救中心，抗震设防等级为重点设防类，设防要求按照国家法律法规及相关强制性标准，应高于本地区房屋(构筑物)的抗震设防要求进行确定。</w:t>
      </w:r>
    </w:p>
    <w:p w14:paraId="3D048795">
      <w:pPr>
        <w:bidi w:val="0"/>
        <w:rPr>
          <w:rFonts w:hint="eastAsia"/>
        </w:rPr>
      </w:pPr>
      <w:r>
        <w:rPr>
          <w:rFonts w:hint="eastAsia"/>
        </w:rPr>
        <w:t>县级疏散场所中应设置应急医疗卫生区，安排三级医院作为对口救援。街道级疏散场所设置医疗救助区，可安排二级或三级医院作为对口</w:t>
      </w:r>
      <w:r>
        <w:rPr>
          <w:rFonts w:hint="eastAsia"/>
          <w:lang w:eastAsia="zh-CN"/>
        </w:rPr>
        <w:t>救援</w:t>
      </w:r>
      <w:r>
        <w:rPr>
          <w:rFonts w:hint="eastAsia"/>
        </w:rPr>
        <w:t>。小区级疏散场所设置医疗救助站，可就近安排医院对口</w:t>
      </w:r>
      <w:r>
        <w:rPr>
          <w:rFonts w:hint="eastAsia"/>
          <w:lang w:eastAsia="zh-CN"/>
        </w:rPr>
        <w:t>救援</w:t>
      </w:r>
      <w:r>
        <w:rPr>
          <w:rFonts w:hint="eastAsia"/>
        </w:rPr>
        <w:t>。</w:t>
      </w:r>
    </w:p>
    <w:p w14:paraId="79A49FC7">
      <w:pPr>
        <w:bidi w:val="0"/>
        <w:rPr>
          <w:rFonts w:hint="eastAsia"/>
          <w:lang w:val="en-US" w:eastAsia="zh-CN"/>
        </w:rPr>
      </w:pPr>
      <w:r>
        <w:rPr>
          <w:rFonts w:hint="eastAsia"/>
          <w:lang w:val="en-US" w:eastAsia="zh-CN"/>
        </w:rPr>
        <w:t>（7）应急通讯保障规划</w:t>
      </w:r>
    </w:p>
    <w:p w14:paraId="51FDD24D">
      <w:pPr>
        <w:bidi w:val="0"/>
        <w:rPr>
          <w:rFonts w:hint="eastAsia"/>
        </w:rPr>
      </w:pPr>
      <w:r>
        <w:rPr>
          <w:rFonts w:hint="eastAsia"/>
        </w:rPr>
        <w:t>通信系统的重要建筑物，如电信局、中心电话站、电台、电视台，抗震设防等级为重点设防类，设防要求按照国家法律法规及相关强制性标准，应高于本地区房屋（构筑物）的抗震设防要求进行确定。</w:t>
      </w:r>
    </w:p>
    <w:p w14:paraId="7C24A6CF">
      <w:pPr>
        <w:bidi w:val="0"/>
        <w:rPr>
          <w:rFonts w:hint="eastAsia"/>
        </w:rPr>
      </w:pPr>
      <w:r>
        <w:rPr>
          <w:rFonts w:hint="eastAsia"/>
        </w:rPr>
        <w:t>应急通信广播系统应能随时在可能预计到的危险条件下持续工作，危险情况发生后系统至少能广播一次危险信号和至少30S的有关语音信息，系统应有保护措施以防止发布错误的危险信号，根据避难过程需要应能够分区域进行寻呼或广播。</w:t>
      </w:r>
    </w:p>
    <w:p w14:paraId="0A95DEC4">
      <w:pPr>
        <w:bidi w:val="0"/>
        <w:rPr>
          <w:rFonts w:hint="eastAsia"/>
          <w:lang w:val="en-US" w:eastAsia="zh-CN"/>
        </w:rPr>
      </w:pPr>
      <w:r>
        <w:rPr>
          <w:rFonts w:hint="eastAsia"/>
          <w:lang w:val="en-US" w:eastAsia="zh-CN"/>
        </w:rPr>
        <w:t>（8）震后恢复重建规划</w:t>
      </w:r>
    </w:p>
    <w:p w14:paraId="75353628">
      <w:pPr>
        <w:bidi w:val="0"/>
        <w:rPr>
          <w:rFonts w:hint="eastAsia"/>
        </w:rPr>
      </w:pPr>
      <w:r>
        <w:rPr>
          <w:rFonts w:hint="eastAsia"/>
        </w:rPr>
        <w:t>规划应包括地震灾害状况和区域分析，恢复重建原则目标，恢复重建区域范围，恢复重建空间布局，恢复重建任务和政策措施，有科学价值的科学遗址、遗迹保护，受损文物和具有历史价值与少数民族特色的建筑物、构筑物的修复等主要内容。</w:t>
      </w:r>
    </w:p>
    <w:p w14:paraId="4EAE81E4">
      <w:pPr>
        <w:bidi w:val="0"/>
        <w:rPr>
          <w:rFonts w:hint="eastAsia"/>
          <w:lang w:eastAsia="zh-CN"/>
        </w:rPr>
      </w:pPr>
      <w:r>
        <w:rPr>
          <w:rFonts w:hint="eastAsia"/>
        </w:rPr>
        <w:t>地震灾后恢复重建规划应当重点对城镇和乡村的布局、住房建设、基础设施建设、公共服务设施建设、农业生产设施建设、工业生产设施建设、防灾减灾和生态环境以及自然环境和历史文化遗产保护、土地整理和复垦等</w:t>
      </w:r>
      <w:r>
        <w:rPr>
          <w:rFonts w:hint="eastAsia"/>
          <w:lang w:val="en-US" w:eastAsia="zh-CN"/>
        </w:rPr>
        <w:t>作</w:t>
      </w:r>
      <w:r>
        <w:rPr>
          <w:rFonts w:hint="eastAsia"/>
        </w:rPr>
        <w:t>出安排。</w:t>
      </w:r>
    </w:p>
    <w:bookmarkEnd w:id="42"/>
    <w:bookmarkEnd w:id="43"/>
    <w:bookmarkEnd w:id="50"/>
    <w:p w14:paraId="670B1FF6">
      <w:pPr>
        <w:pStyle w:val="2"/>
        <w:jc w:val="center"/>
        <w:rPr>
          <w:rFonts w:hint="eastAsia" w:ascii="黑体" w:eastAsia="黑体"/>
          <w:b w:val="0"/>
          <w:sz w:val="32"/>
          <w:szCs w:val="32"/>
          <w:lang w:val="zh-CN" w:eastAsia="zh-CN"/>
        </w:rPr>
      </w:pPr>
      <w:bookmarkStart w:id="55" w:name="_Toc646"/>
      <w:bookmarkStart w:id="56" w:name="_Toc32525"/>
      <w:r>
        <w:rPr>
          <w:rFonts w:hint="eastAsia" w:ascii="黑体" w:eastAsia="黑体"/>
          <w:b w:val="0"/>
          <w:sz w:val="32"/>
          <w:szCs w:val="32"/>
          <w:lang w:val="zh-CN" w:eastAsia="zh-CN"/>
        </w:rPr>
        <w:t>第八章抗震防灾信息管理系统规划</w:t>
      </w:r>
      <w:bookmarkEnd w:id="55"/>
      <w:bookmarkEnd w:id="56"/>
    </w:p>
    <w:p w14:paraId="2A91274A">
      <w:pPr>
        <w:pStyle w:val="4"/>
        <w:numPr>
          <w:ilvl w:val="0"/>
          <w:numId w:val="0"/>
        </w:numPr>
        <w:bidi w:val="0"/>
        <w:ind w:leftChars="0"/>
        <w:rPr>
          <w:rFonts w:hint="eastAsia"/>
          <w:lang w:val="en-US" w:eastAsia="zh-CN"/>
        </w:rPr>
      </w:pPr>
      <w:bookmarkStart w:id="57" w:name="_Toc261421156"/>
      <w:bookmarkStart w:id="58" w:name="_Toc244662204"/>
      <w:bookmarkStart w:id="59" w:name="_Toc242868435"/>
      <w:r>
        <w:rPr>
          <w:rFonts w:hint="eastAsia"/>
          <w:lang w:val="en-US" w:eastAsia="zh-CN"/>
        </w:rPr>
        <w:t>第四十一条 地理数据库的建立</w:t>
      </w:r>
      <w:bookmarkEnd w:id="57"/>
      <w:bookmarkEnd w:id="58"/>
      <w:bookmarkEnd w:id="59"/>
    </w:p>
    <w:p w14:paraId="3FD240CD">
      <w:pPr>
        <w:bidi w:val="0"/>
      </w:pPr>
      <w:r>
        <w:t>数据库的空间位置图形及属性特征主要通过原有AutoCAD转换获得，利用Arctoolbox中的Conversion命令，将数据转换为shapefile的格式文件。将</w:t>
      </w:r>
      <w:r>
        <w:rPr>
          <w:rFonts w:hint="eastAsia"/>
          <w:lang w:eastAsia="zh-CN"/>
        </w:rPr>
        <w:t>宁晋县</w:t>
      </w:r>
      <w:r>
        <w:t>1：500地形图划分为18个区块，系统采用分幅图处理，继而建立索引图，分别编辑、修正，建立拓扑关系，统一管理，如：建立的建筑物属性有建筑物编号、建筑结构类型、建筑年代、层数、建筑面积、用途、不同烈度下震害预测结果等，可以满足系统多种功能的显示、分析、操作等。最终，将空间数据与属性数据集成到一个地理数据库中管理，使数据管理和操作更加方便。</w:t>
      </w:r>
    </w:p>
    <w:p w14:paraId="6A7192E2">
      <w:pPr>
        <w:pStyle w:val="4"/>
        <w:numPr>
          <w:ilvl w:val="0"/>
          <w:numId w:val="0"/>
        </w:numPr>
        <w:bidi w:val="0"/>
        <w:ind w:leftChars="0"/>
        <w:rPr>
          <w:rFonts w:hint="eastAsia"/>
          <w:lang w:val="en-US" w:eastAsia="zh-CN"/>
        </w:rPr>
      </w:pPr>
      <w:bookmarkStart w:id="60" w:name="_Toc261421157"/>
      <w:bookmarkStart w:id="61" w:name="_Toc244662205"/>
      <w:bookmarkStart w:id="62" w:name="_Toc242868436"/>
      <w:r>
        <w:rPr>
          <w:rFonts w:hint="eastAsia"/>
          <w:lang w:val="en-US" w:eastAsia="zh-CN"/>
        </w:rPr>
        <w:t>第四十二条 系统的主要分析模型</w:t>
      </w:r>
      <w:bookmarkEnd w:id="60"/>
      <w:bookmarkEnd w:id="61"/>
      <w:bookmarkEnd w:id="62"/>
    </w:p>
    <w:p w14:paraId="45936ED8">
      <w:pPr>
        <w:bidi w:val="0"/>
      </w:pPr>
      <w:bookmarkStart w:id="63" w:name="_Toc242868437"/>
      <w:bookmarkStart w:id="64" w:name="_Toc244662206"/>
      <w:bookmarkStart w:id="65" w:name="_Toc261421158"/>
      <w:bookmarkStart w:id="66" w:name="_Toc261421164"/>
      <w:bookmarkStart w:id="67" w:name="_Toc244662212"/>
      <w:r>
        <w:rPr>
          <w:rFonts w:hint="eastAsia"/>
        </w:rPr>
        <w:t>（1）</w:t>
      </w:r>
      <w:r>
        <w:t>地震危险性分析模型</w:t>
      </w:r>
      <w:bookmarkEnd w:id="63"/>
      <w:bookmarkEnd w:id="64"/>
      <w:bookmarkEnd w:id="65"/>
    </w:p>
    <w:p w14:paraId="7B4B5317">
      <w:pPr>
        <w:bidi w:val="0"/>
      </w:pPr>
      <w:bookmarkStart w:id="68" w:name="_Toc244662207"/>
      <w:bookmarkStart w:id="69" w:name="_Toc242868438"/>
      <w:bookmarkStart w:id="70" w:name="_Toc261421159"/>
      <w:r>
        <w:rPr>
          <w:rFonts w:hint="eastAsia"/>
        </w:rPr>
        <w:t>（2）</w:t>
      </w:r>
      <w:r>
        <w:t>震害预测模型</w:t>
      </w:r>
      <w:bookmarkEnd w:id="68"/>
      <w:bookmarkEnd w:id="69"/>
      <w:bookmarkEnd w:id="70"/>
    </w:p>
    <w:p w14:paraId="63910FFA">
      <w:pPr>
        <w:bidi w:val="0"/>
      </w:pPr>
      <w:bookmarkStart w:id="71" w:name="_Toc261421160"/>
      <w:bookmarkStart w:id="72" w:name="_Toc242868439"/>
      <w:bookmarkStart w:id="73" w:name="_Toc244662208"/>
      <w:r>
        <w:rPr>
          <w:rFonts w:hint="eastAsia"/>
        </w:rPr>
        <w:t>（3）</w:t>
      </w:r>
      <w:r>
        <w:t>地震经济损失预测</w:t>
      </w:r>
      <w:bookmarkEnd w:id="71"/>
      <w:bookmarkEnd w:id="72"/>
      <w:bookmarkEnd w:id="73"/>
    </w:p>
    <w:p w14:paraId="0B6BDADD">
      <w:pPr>
        <w:bidi w:val="0"/>
      </w:pPr>
      <w:bookmarkStart w:id="74" w:name="_Toc242868440"/>
      <w:bookmarkStart w:id="75" w:name="_Toc244662209"/>
      <w:bookmarkStart w:id="76" w:name="_Toc261421161"/>
      <w:r>
        <w:rPr>
          <w:rFonts w:hint="eastAsia"/>
        </w:rPr>
        <w:t>（4）</w:t>
      </w:r>
      <w:r>
        <w:t>人员伤亡与无家可归人员预测</w:t>
      </w:r>
      <w:bookmarkEnd w:id="74"/>
      <w:bookmarkEnd w:id="75"/>
      <w:bookmarkEnd w:id="76"/>
    </w:p>
    <w:p w14:paraId="74ED682D">
      <w:pPr>
        <w:bidi w:val="0"/>
      </w:pPr>
      <w:bookmarkStart w:id="77" w:name="_Toc261421162"/>
      <w:bookmarkStart w:id="78" w:name="_Toc242868441"/>
      <w:bookmarkStart w:id="79" w:name="_Toc244662210"/>
      <w:r>
        <w:rPr>
          <w:rFonts w:hint="eastAsia"/>
        </w:rPr>
        <w:t>（5）</w:t>
      </w:r>
      <w:r>
        <w:t>应急反应模型</w:t>
      </w:r>
      <w:bookmarkEnd w:id="77"/>
      <w:bookmarkEnd w:id="78"/>
      <w:bookmarkEnd w:id="79"/>
    </w:p>
    <w:p w14:paraId="36AF3E5E">
      <w:pPr>
        <w:bidi w:val="0"/>
      </w:pPr>
      <w:bookmarkStart w:id="80" w:name="_Toc242868422"/>
      <w:bookmarkStart w:id="81" w:name="_Toc261421163"/>
      <w:bookmarkStart w:id="82" w:name="_Toc244662211"/>
      <w:r>
        <w:rPr>
          <w:rFonts w:hint="eastAsia"/>
        </w:rPr>
        <w:t>（6）</w:t>
      </w:r>
      <w:r>
        <w:t>交通</w:t>
      </w:r>
      <w:bookmarkEnd w:id="80"/>
      <w:r>
        <w:t>模型</w:t>
      </w:r>
      <w:bookmarkEnd w:id="81"/>
      <w:bookmarkEnd w:id="82"/>
    </w:p>
    <w:p w14:paraId="403C312C">
      <w:pPr>
        <w:bidi w:val="0"/>
        <w:rPr>
          <w:rFonts w:hint="eastAsia"/>
          <w:lang w:val="en-US" w:eastAsia="zh-CN"/>
        </w:rPr>
      </w:pPr>
      <w:bookmarkStart w:id="83" w:name="_Toc242868426"/>
      <w:r>
        <w:rPr>
          <w:rFonts w:hint="eastAsia"/>
        </w:rPr>
        <w:t>（7）</w:t>
      </w:r>
      <w:r>
        <w:t>给水</w:t>
      </w:r>
      <w:bookmarkEnd w:id="83"/>
      <w:r>
        <w:t>管网模</w:t>
      </w:r>
      <w:r>
        <w:rPr>
          <w:rFonts w:hint="eastAsia"/>
          <w:lang w:val="en-US" w:eastAsia="zh-CN"/>
        </w:rPr>
        <w:t>型</w:t>
      </w:r>
      <w:bookmarkEnd w:id="66"/>
      <w:bookmarkEnd w:id="67"/>
    </w:p>
    <w:p w14:paraId="307003D9">
      <w:pPr>
        <w:pStyle w:val="2"/>
        <w:jc w:val="center"/>
        <w:rPr>
          <w:rFonts w:hint="eastAsia" w:ascii="黑体" w:eastAsia="黑体"/>
          <w:b w:val="0"/>
          <w:sz w:val="32"/>
          <w:szCs w:val="32"/>
          <w:lang w:val="zh-CN" w:eastAsia="zh-CN"/>
        </w:rPr>
      </w:pPr>
      <w:bookmarkStart w:id="84" w:name="_Toc25819"/>
      <w:bookmarkStart w:id="85" w:name="_Toc5795"/>
      <w:r>
        <w:rPr>
          <w:rFonts w:hint="eastAsia" w:ascii="黑体" w:eastAsia="黑体"/>
          <w:b w:val="0"/>
          <w:sz w:val="32"/>
          <w:szCs w:val="32"/>
          <w:lang w:val="zh-CN" w:eastAsia="zh-CN"/>
        </w:rPr>
        <w:t>第九章近期建设规划</w:t>
      </w:r>
      <w:bookmarkEnd w:id="84"/>
      <w:bookmarkEnd w:id="85"/>
    </w:p>
    <w:p w14:paraId="3AB0BBBD">
      <w:pPr>
        <w:pStyle w:val="4"/>
        <w:numPr>
          <w:ilvl w:val="0"/>
          <w:numId w:val="0"/>
        </w:numPr>
        <w:bidi w:val="0"/>
        <w:ind w:leftChars="0"/>
        <w:rPr>
          <w:rFonts w:hint="eastAsia"/>
          <w:lang w:val="en-US" w:eastAsia="zh-CN"/>
        </w:rPr>
      </w:pPr>
      <w:r>
        <w:rPr>
          <w:rFonts w:hint="eastAsia"/>
          <w:lang w:val="en-US" w:eastAsia="zh-CN"/>
        </w:rPr>
        <w:t>第四十三条 避难疏散近期抗震规划</w:t>
      </w:r>
    </w:p>
    <w:p w14:paraId="112521C3">
      <w:pPr>
        <w:bidi w:val="0"/>
      </w:pPr>
      <w:r>
        <w:rPr>
          <w:rFonts w:hint="eastAsia"/>
          <w:lang w:eastAsia="zh-CN"/>
        </w:rPr>
        <w:t>将现状已有的宁晋县应急避难场所进行改善加固</w:t>
      </w:r>
      <w:r>
        <w:rPr>
          <w:rFonts w:hint="eastAsia"/>
        </w:rPr>
        <w:t>。</w:t>
      </w:r>
    </w:p>
    <w:p w14:paraId="2AF57617">
      <w:pPr>
        <w:pStyle w:val="2"/>
        <w:jc w:val="center"/>
        <w:rPr>
          <w:rFonts w:hint="eastAsia" w:ascii="黑体" w:eastAsia="黑体"/>
          <w:b w:val="0"/>
          <w:sz w:val="32"/>
          <w:szCs w:val="32"/>
          <w:lang w:val="zh-CN" w:eastAsia="zh-CN"/>
        </w:rPr>
      </w:pPr>
      <w:bookmarkStart w:id="86" w:name="_Toc19213"/>
      <w:bookmarkStart w:id="87" w:name="_Toc25709"/>
      <w:r>
        <w:rPr>
          <w:rFonts w:hint="eastAsia" w:ascii="黑体" w:eastAsia="黑体"/>
          <w:b w:val="0"/>
          <w:sz w:val="32"/>
          <w:szCs w:val="32"/>
          <w:lang w:val="zh-CN" w:eastAsia="zh-CN"/>
        </w:rPr>
        <w:t>第十章规划实施保障措施</w:t>
      </w:r>
      <w:bookmarkEnd w:id="86"/>
      <w:bookmarkEnd w:id="87"/>
    </w:p>
    <w:p w14:paraId="1F8C2FA7">
      <w:pPr>
        <w:pStyle w:val="4"/>
        <w:numPr>
          <w:ilvl w:val="0"/>
          <w:numId w:val="0"/>
        </w:numPr>
        <w:bidi w:val="0"/>
        <w:ind w:leftChars="0"/>
        <w:rPr>
          <w:rFonts w:hint="eastAsia"/>
          <w:lang w:val="en-US" w:eastAsia="zh-CN"/>
        </w:rPr>
      </w:pPr>
      <w:bookmarkStart w:id="88" w:name="_Toc261421176"/>
      <w:bookmarkStart w:id="89" w:name="_Toc244662214"/>
      <w:r>
        <w:rPr>
          <w:rFonts w:hint="eastAsia"/>
          <w:lang w:val="en-US" w:eastAsia="zh-CN"/>
        </w:rPr>
        <w:t>第四十四条 加强组织领导</w:t>
      </w:r>
      <w:bookmarkEnd w:id="88"/>
      <w:bookmarkEnd w:id="89"/>
    </w:p>
    <w:p w14:paraId="3187ED1E">
      <w:pPr>
        <w:bidi w:val="0"/>
      </w:pPr>
      <w:r>
        <w:t>认真做好规划的组织实施工作</w:t>
      </w:r>
      <w:r>
        <w:rPr>
          <w:rFonts w:hint="eastAsia"/>
        </w:rPr>
        <w:t>，</w:t>
      </w:r>
      <w:r>
        <w:t>防震减灾工作涉及社会各个方面，各级政府要有高度的责任感和紧迫感，</w:t>
      </w:r>
      <w:r>
        <w:rPr>
          <w:rFonts w:hint="eastAsia"/>
          <w:lang w:eastAsia="zh-CN"/>
        </w:rPr>
        <w:t>县</w:t>
      </w:r>
      <w:r>
        <w:t>各有关部门和单位要各负其</w:t>
      </w:r>
      <w:bookmarkStart w:id="96" w:name="_GoBack"/>
      <w:bookmarkEnd w:id="96"/>
      <w:r>
        <w:t>责，密切配合，采取有效措施，共同做好防震减灾工作，特别要做好规划的统筹衔接和条件保障工作，同时要加强协调、指导和监督管理，确保规划目标的实现。</w:t>
      </w:r>
    </w:p>
    <w:p w14:paraId="564F523E">
      <w:pPr>
        <w:pStyle w:val="4"/>
        <w:numPr>
          <w:ilvl w:val="0"/>
          <w:numId w:val="0"/>
        </w:numPr>
        <w:bidi w:val="0"/>
        <w:ind w:leftChars="0"/>
        <w:rPr>
          <w:rFonts w:hint="eastAsia"/>
          <w:lang w:val="en-US" w:eastAsia="zh-CN"/>
        </w:rPr>
      </w:pPr>
      <w:bookmarkStart w:id="90" w:name="_Toc244662216"/>
      <w:bookmarkStart w:id="91" w:name="_Toc261421178"/>
      <w:r>
        <w:rPr>
          <w:rFonts w:hint="eastAsia"/>
          <w:lang w:val="en-US" w:eastAsia="zh-CN"/>
        </w:rPr>
        <w:t>第四十五条 建立健全稳定的投入保障机制</w:t>
      </w:r>
      <w:bookmarkEnd w:id="90"/>
      <w:bookmarkEnd w:id="91"/>
    </w:p>
    <w:p w14:paraId="670342DD">
      <w:pPr>
        <w:bidi w:val="0"/>
      </w:pPr>
      <w:r>
        <w:t>力争将防震减灾工作纳入国民经济和社会发展计划及时性财政预算，建立与经济社会发展水平和防震减灾需求相适应的投入机制，建立健全多层次，多渠道的防震减灾投入体系，加大对地震监测</w:t>
      </w:r>
      <w:r>
        <w:rPr>
          <w:rFonts w:hint="eastAsia"/>
        </w:rPr>
        <w:t>、</w:t>
      </w:r>
      <w:r>
        <w:t>预防</w:t>
      </w:r>
      <w:r>
        <w:rPr>
          <w:rFonts w:hint="eastAsia"/>
        </w:rPr>
        <w:t>、</w:t>
      </w:r>
      <w:r>
        <w:t>救援和宣传教育工作的投入。</w:t>
      </w:r>
    </w:p>
    <w:p w14:paraId="158C3C6E">
      <w:pPr>
        <w:pStyle w:val="4"/>
        <w:numPr>
          <w:ilvl w:val="0"/>
          <w:numId w:val="0"/>
        </w:numPr>
        <w:bidi w:val="0"/>
        <w:ind w:leftChars="0"/>
        <w:rPr>
          <w:rFonts w:hint="eastAsia"/>
          <w:lang w:val="en-US" w:eastAsia="zh-CN"/>
        </w:rPr>
      </w:pPr>
      <w:bookmarkStart w:id="92" w:name="_Toc261421179"/>
      <w:bookmarkStart w:id="93" w:name="_Toc244662217"/>
      <w:r>
        <w:rPr>
          <w:rFonts w:hint="eastAsia"/>
          <w:lang w:val="en-US" w:eastAsia="zh-CN"/>
        </w:rPr>
        <w:t>第四十六条 加强检查监督</w:t>
      </w:r>
      <w:bookmarkEnd w:id="92"/>
      <w:bookmarkEnd w:id="93"/>
    </w:p>
    <w:p w14:paraId="24EAF37A">
      <w:pPr>
        <w:bidi w:val="0"/>
      </w:pPr>
      <w:r>
        <w:t>政府要加强对本地区规划实施情况的检查，自觉接受同级人民代表大会及常委会对防震减灾工作的监督。地震主管部门要不断完善自身工作制度和措施，依法行使职责，并会同有关部门，对防震减灾规划落实情况进行督促检查。</w:t>
      </w:r>
    </w:p>
    <w:p w14:paraId="2B85035D">
      <w:pPr>
        <w:pStyle w:val="4"/>
        <w:numPr>
          <w:ilvl w:val="0"/>
          <w:numId w:val="0"/>
        </w:numPr>
        <w:bidi w:val="0"/>
        <w:ind w:leftChars="0"/>
        <w:rPr>
          <w:rFonts w:hint="eastAsia"/>
          <w:lang w:val="en-US" w:eastAsia="zh-CN"/>
        </w:rPr>
      </w:pPr>
      <w:bookmarkStart w:id="94" w:name="_Toc261421181"/>
      <w:bookmarkStart w:id="95" w:name="_Toc244662219"/>
      <w:r>
        <w:rPr>
          <w:rFonts w:hint="eastAsia"/>
          <w:lang w:val="en-US" w:eastAsia="zh-CN"/>
        </w:rPr>
        <w:t>第四十七条 加强队伍建设</w:t>
      </w:r>
      <w:bookmarkEnd w:id="94"/>
      <w:bookmarkEnd w:id="95"/>
    </w:p>
    <w:p w14:paraId="4752A274">
      <w:pPr>
        <w:bidi w:val="0"/>
      </w:pPr>
      <w:r>
        <w:t>创新人才工作机制，建立科学有效的评价、激励机制，营造适合人才成长的工作环境。在合理整合、开发现有人才资源基础上，抓紧青年人才的选拔和培养，有计划地选送优秀</w:t>
      </w:r>
      <w:r>
        <w:rPr>
          <w:rFonts w:hint="eastAsia"/>
          <w:lang w:eastAsia="zh-CN"/>
        </w:rPr>
        <w:t>年轻</w:t>
      </w:r>
      <w:r>
        <w:t>人才到国内、省内相关科研机构进行学术交流、培训、短期工作。</w:t>
      </w:r>
    </w:p>
    <w:p w14:paraId="5E255920">
      <w:pPr>
        <w:pStyle w:val="4"/>
        <w:numPr>
          <w:ilvl w:val="0"/>
          <w:numId w:val="0"/>
        </w:numPr>
        <w:bidi w:val="0"/>
        <w:ind w:leftChars="0"/>
        <w:rPr>
          <w:rFonts w:hint="eastAsia"/>
          <w:lang w:val="en-US" w:eastAsia="zh-CN"/>
        </w:rPr>
      </w:pPr>
      <w:r>
        <w:rPr>
          <w:rFonts w:hint="eastAsia"/>
          <w:lang w:val="en-US" w:eastAsia="zh-CN"/>
        </w:rPr>
        <w:t>第四十八条 加强抗震救灾知识宣传</w:t>
      </w:r>
    </w:p>
    <w:p w14:paraId="516DF839">
      <w:pPr>
        <w:bidi w:val="0"/>
        <w:rPr>
          <w:rFonts w:hint="eastAsia"/>
          <w:lang w:eastAsia="zh-CN"/>
        </w:rPr>
      </w:pPr>
      <w:r>
        <w:rPr>
          <w:rFonts w:hint="eastAsia"/>
        </w:rPr>
        <w:t>在各中小学开展自然灾害科普知识宣传，提高中小学校师生防范自然灾害意识，使学生掌握一定自然灾害科普知识，提高应对自然灾害的防护自救能力，达到宣传与教育相结合的目的。</w:t>
      </w:r>
    </w:p>
    <w:p w14:paraId="583CAC0C">
      <w:pPr>
        <w:bidi w:val="0"/>
        <w:rPr>
          <w:rFonts w:hint="eastAsia"/>
          <w:lang w:eastAsia="zh-CN"/>
        </w:rPr>
      </w:pPr>
    </w:p>
    <w:p w14:paraId="6BFEF08E">
      <w:pPr>
        <w:bidi w:val="0"/>
      </w:pPr>
    </w:p>
    <w:p w14:paraId="6AA4E7C0">
      <w:pPr>
        <w:bidi w:val="0"/>
      </w:pPr>
    </w:p>
    <w:sectPr>
      <w:footerReference r:id="rId7"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8266"/>
      <w:docPartObj>
        <w:docPartGallery w:val="autotext"/>
      </w:docPartObj>
    </w:sdtPr>
    <w:sdtContent>
      <w:p w14:paraId="00AFB05B">
        <w:pPr>
          <w:pStyle w:val="15"/>
          <w:jc w:val="center"/>
        </w:pPr>
        <w:r>
          <w:fldChar w:fldCharType="begin"/>
        </w:r>
        <w:r>
          <w:instrText xml:space="preserve"> PAGE   \* MERGEFORMAT </w:instrText>
        </w:r>
        <w:r>
          <w:fldChar w:fldCharType="separate"/>
        </w:r>
        <w:r>
          <w:rPr>
            <w:lang w:val="zh-CN"/>
          </w:rPr>
          <w:t>II</w:t>
        </w:r>
        <w:r>
          <w:rPr>
            <w:lang w:val="zh-CN"/>
          </w:rPr>
          <w:fldChar w:fldCharType="end"/>
        </w:r>
      </w:p>
    </w:sdtContent>
  </w:sdt>
  <w:p w14:paraId="4B689C41">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A71F2">
    <w:pPr>
      <w:pStyle w:val="15"/>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52494"/>
                            <w:docPartObj>
                              <w:docPartGallery w:val="autotext"/>
                            </w:docPartObj>
                          </w:sdtPr>
                          <w:sdtContent>
                            <w:p w14:paraId="143B951D">
                              <w:pPr>
                                <w:pStyle w:val="15"/>
                                <w:jc w:val="center"/>
                              </w:pPr>
                              <w:r>
                                <w:fldChar w:fldCharType="begin"/>
                              </w:r>
                              <w:r>
                                <w:instrText xml:space="preserve"> PAGE   \* MERGEFORMAT </w:instrText>
                              </w:r>
                              <w:r>
                                <w:fldChar w:fldCharType="separate"/>
                              </w:r>
                              <w:r>
                                <w:rPr>
                                  <w:lang w:val="zh-CN"/>
                                </w:rPr>
                                <w:t>32</w:t>
                              </w:r>
                              <w:r>
                                <w:rPr>
                                  <w:lang w:val="zh-CN"/>
                                </w:rPr>
                                <w:fldChar w:fldCharType="end"/>
                              </w:r>
                            </w:p>
                          </w:sdtContent>
                        </w:sdt>
                        <w:p w14:paraId="2A121389"/>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sdt>
                    <w:sdtPr>
                      <w:id w:val="147452494"/>
                      <w:docPartObj>
                        <w:docPartGallery w:val="autotext"/>
                      </w:docPartObj>
                    </w:sdtPr>
                    <w:sdtContent>
                      <w:p w14:paraId="143B951D">
                        <w:pPr>
                          <w:pStyle w:val="15"/>
                          <w:jc w:val="center"/>
                        </w:pPr>
                        <w:r>
                          <w:fldChar w:fldCharType="begin"/>
                        </w:r>
                        <w:r>
                          <w:instrText xml:space="preserve"> PAGE   \* MERGEFORMAT </w:instrText>
                        </w:r>
                        <w:r>
                          <w:fldChar w:fldCharType="separate"/>
                        </w:r>
                        <w:r>
                          <w:rPr>
                            <w:lang w:val="zh-CN"/>
                          </w:rPr>
                          <w:t>32</w:t>
                        </w:r>
                        <w:r>
                          <w:rPr>
                            <w:lang w:val="zh-CN"/>
                          </w:rPr>
                          <w:fldChar w:fldCharType="end"/>
                        </w:r>
                      </w:p>
                    </w:sdtContent>
                  </w:sdt>
                  <w:p w14:paraId="2A121389"/>
                </w:txbxContent>
              </v:textbox>
            </v:shape>
          </w:pict>
        </mc:Fallback>
      </mc:AlternateContent>
    </w:r>
  </w:p>
  <w:p w14:paraId="31396805">
    <w:pPr>
      <w:pStyle w:val="1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BD5DC">
    <w:pPr>
      <w:pStyle w:val="16"/>
      <w:jc w:val="right"/>
      <w:rPr>
        <w:rFonts w:hint="eastAsia" w:eastAsiaTheme="minorEastAsia"/>
        <w:lang w:eastAsia="zh-CN"/>
      </w:rPr>
    </w:pPr>
    <w:r>
      <w:rPr>
        <w:rFonts w:hint="eastAsia"/>
        <w:lang w:eastAsia="zh-CN"/>
      </w:rPr>
      <w:t>宁晋县抗震减灾专项规划（</w:t>
    </w:r>
    <w:r>
      <w:rPr>
        <w:rFonts w:hint="eastAsia"/>
        <w:lang w:val="en-US" w:eastAsia="zh-CN"/>
      </w:rPr>
      <w:t>2024-2035年</w:t>
    </w:r>
    <w:r>
      <w:rPr>
        <w:rFonts w:hint="eastAsia"/>
        <w:lang w:eastAsia="zh-CN"/>
      </w:rPr>
      <w:t>）公示稿</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224621"/>
    <w:multiLevelType w:val="multilevel"/>
    <w:tmpl w:val="CB224621"/>
    <w:lvl w:ilvl="0" w:tentative="0">
      <w:start w:val="1"/>
      <w:numFmt w:val="decimal"/>
      <w:suff w:val="space"/>
      <w:lvlText w:val="%1、"/>
      <w:lvlJc w:val="left"/>
      <w:pPr>
        <w:ind w:left="431" w:hanging="431"/>
      </w:pPr>
      <w:rPr>
        <w:rFonts w:hint="eastAsia"/>
      </w:rPr>
    </w:lvl>
    <w:lvl w:ilvl="1" w:tentative="0">
      <w:start w:val="1"/>
      <w:numFmt w:val="decimal"/>
      <w:isLgl/>
      <w:lvlText w:val="%1.%2"/>
      <w:lvlJc w:val="left"/>
      <w:pPr>
        <w:ind w:left="488" w:hanging="431"/>
      </w:pPr>
      <w:rPr>
        <w:rFonts w:hint="default" w:ascii="Times New Roman" w:hAnsi="Times New Roman" w:cs="Times New Roman"/>
      </w:rPr>
    </w:lvl>
    <w:lvl w:ilvl="2" w:tentative="0">
      <w:start w:val="1"/>
      <w:numFmt w:val="decimal"/>
      <w:pStyle w:val="56"/>
      <w:isLgl/>
      <w:suff w:val="space"/>
      <w:lvlText w:val="%1.%2.%3"/>
      <w:lvlJc w:val="left"/>
      <w:pPr>
        <w:ind w:left="432" w:hanging="432"/>
      </w:pPr>
      <w:rPr>
        <w:rFonts w:hint="default" w:ascii="Times New Roman" w:hAnsi="Times New Roman" w:cs="Times New Roman"/>
      </w:rPr>
    </w:lvl>
    <w:lvl w:ilvl="3" w:tentative="0">
      <w:start w:val="1"/>
      <w:numFmt w:val="decimal"/>
      <w:isLgl/>
      <w:suff w:val="space"/>
      <w:lvlText w:val="%1.%2.%3.%4"/>
      <w:lvlJc w:val="left"/>
      <w:pPr>
        <w:ind w:left="431" w:hanging="431"/>
      </w:pPr>
      <w:rPr>
        <w:rFonts w:hint="default" w:ascii="Times New Roman" w:hAnsi="Times New Roman" w:cs="Times New Roman"/>
        <w:b/>
        <w:bCs/>
      </w:rPr>
    </w:lvl>
    <w:lvl w:ilvl="4" w:tentative="0">
      <w:start w:val="1"/>
      <w:numFmt w:val="decimal"/>
      <w:lvlText w:val="%4%5)"/>
      <w:lvlJc w:val="left"/>
      <w:pPr>
        <w:ind w:left="659" w:hanging="431"/>
      </w:pPr>
      <w:rPr>
        <w:rFonts w:hint="eastAsia"/>
      </w:rPr>
    </w:lvl>
    <w:lvl w:ilvl="5" w:tentative="0">
      <w:start w:val="1"/>
      <w:numFmt w:val="decimal"/>
      <w:lvlText w:val="%5%6."/>
      <w:lvlJc w:val="right"/>
      <w:pPr>
        <w:ind w:left="716" w:hanging="431"/>
      </w:pPr>
      <w:rPr>
        <w:rFonts w:hint="eastAsia"/>
      </w:rPr>
    </w:lvl>
    <w:lvl w:ilvl="6" w:tentative="0">
      <w:start w:val="1"/>
      <w:numFmt w:val="decimal"/>
      <w:lvlText w:val="%7."/>
      <w:lvlJc w:val="left"/>
      <w:pPr>
        <w:ind w:left="773" w:hanging="431"/>
      </w:pPr>
      <w:rPr>
        <w:rFonts w:hint="eastAsia"/>
      </w:rPr>
    </w:lvl>
    <w:lvl w:ilvl="7" w:tentative="0">
      <w:start w:val="1"/>
      <w:numFmt w:val="lowerLetter"/>
      <w:lvlText w:val="%8)"/>
      <w:lvlJc w:val="left"/>
      <w:pPr>
        <w:ind w:left="830" w:hanging="431"/>
      </w:pPr>
      <w:rPr>
        <w:rFonts w:hint="eastAsia"/>
      </w:rPr>
    </w:lvl>
    <w:lvl w:ilvl="8" w:tentative="0">
      <w:start w:val="1"/>
      <w:numFmt w:val="lowerRoman"/>
      <w:lvlText w:val="%9."/>
      <w:lvlJc w:val="right"/>
      <w:pPr>
        <w:ind w:left="887" w:hanging="431"/>
      </w:pPr>
      <w:rPr>
        <w:rFonts w:hint="eastAsia"/>
      </w:rPr>
    </w:lvl>
  </w:abstractNum>
  <w:abstractNum w:abstractNumId="1">
    <w:nsid w:val="2CFE0793"/>
    <w:multiLevelType w:val="multilevel"/>
    <w:tmpl w:val="2CFE0793"/>
    <w:lvl w:ilvl="0" w:tentative="0">
      <w:start w:val="1"/>
      <w:numFmt w:val="chineseCounting"/>
      <w:pStyle w:val="54"/>
      <w:suff w:val="nothing"/>
      <w:lvlText w:val="第%1章 "/>
      <w:lvlJc w:val="left"/>
      <w:pPr>
        <w:ind w:left="425" w:hanging="425"/>
      </w:pPr>
      <w:rPr>
        <w:rFonts w:hint="eastAsia"/>
      </w:rPr>
    </w:lvl>
    <w:lvl w:ilvl="1" w:tentative="0">
      <w:start w:val="1"/>
      <w:numFmt w:val="decimal"/>
      <w:pStyle w:val="55"/>
      <w:isLgl/>
      <w:lvlText w:val="%1.%2."/>
      <w:lvlJc w:val="left"/>
      <w:pPr>
        <w:ind w:left="567" w:hanging="567"/>
      </w:pPr>
      <w:rPr>
        <w:rFonts w:hint="eastAsia"/>
      </w:rPr>
    </w:lvl>
    <w:lvl w:ilvl="2" w:tentative="0">
      <w:start w:val="1"/>
      <w:numFmt w:val="decimal"/>
      <w:isLgl/>
      <w:lvlText w:val="%1.%2.%3."/>
      <w:lvlJc w:val="left"/>
      <w:pPr>
        <w:ind w:left="709" w:hanging="709"/>
      </w:pPr>
      <w:rPr>
        <w:rFonts w:hint="eastAsia"/>
      </w:rPr>
    </w:lvl>
    <w:lvl w:ilvl="3" w:tentative="0">
      <w:start w:val="1"/>
      <w:numFmt w:val="decimal"/>
      <w:isLgl/>
      <w:lvlText w:val="%1.%2.%3.%4."/>
      <w:lvlJc w:val="left"/>
      <w:pPr>
        <w:ind w:left="850" w:hanging="850"/>
      </w:pPr>
      <w:rPr>
        <w:rFonts w:hint="eastAsia"/>
      </w:rPr>
    </w:lvl>
    <w:lvl w:ilvl="4" w:tentative="0">
      <w:start w:val="1"/>
      <w:numFmt w:val="decimal"/>
      <w:isLgl/>
      <w:lvlText w:val="%1.%2.%3.%4.%5."/>
      <w:lvlJc w:val="left"/>
      <w:pPr>
        <w:ind w:left="991" w:hanging="991"/>
      </w:pPr>
      <w:rPr>
        <w:rFonts w:hint="eastAsia"/>
      </w:rPr>
    </w:lvl>
    <w:lvl w:ilvl="5" w:tentative="0">
      <w:start w:val="1"/>
      <w:numFmt w:val="decimal"/>
      <w:isLgl/>
      <w:lvlText w:val="%1.%2.%3.%4.%5.%6."/>
      <w:lvlJc w:val="left"/>
      <w:pPr>
        <w:ind w:left="1134" w:hanging="1134"/>
      </w:pPr>
      <w:rPr>
        <w:rFonts w:hint="eastAsia"/>
      </w:rPr>
    </w:lvl>
    <w:lvl w:ilvl="6" w:tentative="0">
      <w:start w:val="1"/>
      <w:numFmt w:val="decimal"/>
      <w:isLgl/>
      <w:lvlText w:val="%1.%2.%3.%4.%5.%6.%7."/>
      <w:lvlJc w:val="left"/>
      <w:pPr>
        <w:ind w:left="1275" w:hanging="1275"/>
      </w:pPr>
      <w:rPr>
        <w:rFonts w:hint="eastAsia"/>
      </w:rPr>
    </w:lvl>
    <w:lvl w:ilvl="7" w:tentative="0">
      <w:start w:val="1"/>
      <w:numFmt w:val="decimal"/>
      <w:isLgl/>
      <w:lvlText w:val="%1.%2.%3.%4.%5.%6.%7.%8."/>
      <w:lvlJc w:val="left"/>
      <w:pPr>
        <w:ind w:left="1418" w:hanging="1418"/>
      </w:pPr>
      <w:rPr>
        <w:rFonts w:hint="eastAsia"/>
      </w:rPr>
    </w:lvl>
    <w:lvl w:ilvl="8" w:tentative="0">
      <w:start w:val="1"/>
      <w:numFmt w:val="decimal"/>
      <w:isLgl/>
      <w:lvlText w:val="%1.%2.%3.%4.%5.%6.%7.%8.%9."/>
      <w:lvlJc w:val="left"/>
      <w:pPr>
        <w:ind w:left="1558" w:hanging="1558"/>
      </w:pPr>
      <w:rPr>
        <w:rFonts w:hint="eastAsia"/>
      </w:rPr>
    </w:lvl>
  </w:abstractNum>
  <w:abstractNum w:abstractNumId="2">
    <w:nsid w:val="5E4122DB"/>
    <w:multiLevelType w:val="multilevel"/>
    <w:tmpl w:val="5E4122DB"/>
    <w:lvl w:ilvl="0" w:tentative="0">
      <w:start w:val="1"/>
      <w:numFmt w:val="decimal"/>
      <w:pStyle w:val="4"/>
      <w:lvlText w:val="第%1条"/>
      <w:lvlJc w:val="left"/>
      <w:pPr>
        <w:ind w:left="420" w:hanging="420"/>
      </w:pPr>
      <w:rPr>
        <w:rFonts w:hint="default"/>
        <w:b/>
        <w:sz w:val="24"/>
        <w:szCs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xZDJhZDgzZmQxM2RkMDI1ZWUzODlhY2MzZTUwYzEifQ=="/>
  </w:docVars>
  <w:rsids>
    <w:rsidRoot w:val="00172A27"/>
    <w:rsid w:val="00002C19"/>
    <w:rsid w:val="0000557F"/>
    <w:rsid w:val="000075C2"/>
    <w:rsid w:val="000206A1"/>
    <w:rsid w:val="000421AB"/>
    <w:rsid w:val="0006658B"/>
    <w:rsid w:val="00066FF5"/>
    <w:rsid w:val="000712E8"/>
    <w:rsid w:val="00087BC8"/>
    <w:rsid w:val="000A411C"/>
    <w:rsid w:val="000A744E"/>
    <w:rsid w:val="000C6736"/>
    <w:rsid w:val="000D16C2"/>
    <w:rsid w:val="000E2940"/>
    <w:rsid w:val="000F1C14"/>
    <w:rsid w:val="0016664E"/>
    <w:rsid w:val="001727FA"/>
    <w:rsid w:val="001772D2"/>
    <w:rsid w:val="0019168E"/>
    <w:rsid w:val="00191F7C"/>
    <w:rsid w:val="001B27D2"/>
    <w:rsid w:val="001C27B1"/>
    <w:rsid w:val="001D3AA2"/>
    <w:rsid w:val="001F220A"/>
    <w:rsid w:val="00227EFB"/>
    <w:rsid w:val="00234538"/>
    <w:rsid w:val="002357FB"/>
    <w:rsid w:val="00236FB1"/>
    <w:rsid w:val="00242761"/>
    <w:rsid w:val="00250A7D"/>
    <w:rsid w:val="00266FD9"/>
    <w:rsid w:val="002876D6"/>
    <w:rsid w:val="002A2922"/>
    <w:rsid w:val="002A7FCB"/>
    <w:rsid w:val="002B1683"/>
    <w:rsid w:val="002B4EB1"/>
    <w:rsid w:val="002C5717"/>
    <w:rsid w:val="002E238A"/>
    <w:rsid w:val="0032225B"/>
    <w:rsid w:val="00335925"/>
    <w:rsid w:val="00357178"/>
    <w:rsid w:val="003578E0"/>
    <w:rsid w:val="00367F94"/>
    <w:rsid w:val="00371D32"/>
    <w:rsid w:val="00381DB5"/>
    <w:rsid w:val="0038651B"/>
    <w:rsid w:val="003945A7"/>
    <w:rsid w:val="003945EE"/>
    <w:rsid w:val="003A666B"/>
    <w:rsid w:val="003B6B7D"/>
    <w:rsid w:val="003B7CEA"/>
    <w:rsid w:val="003C245E"/>
    <w:rsid w:val="003D02DE"/>
    <w:rsid w:val="003D4796"/>
    <w:rsid w:val="003E1BE8"/>
    <w:rsid w:val="003E641C"/>
    <w:rsid w:val="003F4BBE"/>
    <w:rsid w:val="003F6975"/>
    <w:rsid w:val="004078EE"/>
    <w:rsid w:val="0042096E"/>
    <w:rsid w:val="00420D41"/>
    <w:rsid w:val="004408E8"/>
    <w:rsid w:val="00453510"/>
    <w:rsid w:val="00465860"/>
    <w:rsid w:val="00471C60"/>
    <w:rsid w:val="00474638"/>
    <w:rsid w:val="004905DD"/>
    <w:rsid w:val="00495C4C"/>
    <w:rsid w:val="004B7987"/>
    <w:rsid w:val="004C56C6"/>
    <w:rsid w:val="004D160F"/>
    <w:rsid w:val="004D3D66"/>
    <w:rsid w:val="004E18F8"/>
    <w:rsid w:val="004E3119"/>
    <w:rsid w:val="004F2285"/>
    <w:rsid w:val="004F5815"/>
    <w:rsid w:val="005004A3"/>
    <w:rsid w:val="00521538"/>
    <w:rsid w:val="0052795A"/>
    <w:rsid w:val="005545FA"/>
    <w:rsid w:val="00561071"/>
    <w:rsid w:val="00566673"/>
    <w:rsid w:val="00573001"/>
    <w:rsid w:val="00577BAB"/>
    <w:rsid w:val="005965DA"/>
    <w:rsid w:val="005B200E"/>
    <w:rsid w:val="005B2A2E"/>
    <w:rsid w:val="005B2F35"/>
    <w:rsid w:val="005B3F26"/>
    <w:rsid w:val="005C3220"/>
    <w:rsid w:val="005E041E"/>
    <w:rsid w:val="005E2062"/>
    <w:rsid w:val="0060138D"/>
    <w:rsid w:val="00630AE7"/>
    <w:rsid w:val="00636235"/>
    <w:rsid w:val="00641039"/>
    <w:rsid w:val="006433A0"/>
    <w:rsid w:val="00654D98"/>
    <w:rsid w:val="00655F5D"/>
    <w:rsid w:val="00662098"/>
    <w:rsid w:val="006636FC"/>
    <w:rsid w:val="006642C8"/>
    <w:rsid w:val="0067215E"/>
    <w:rsid w:val="006900BA"/>
    <w:rsid w:val="0069176A"/>
    <w:rsid w:val="00692D49"/>
    <w:rsid w:val="00696109"/>
    <w:rsid w:val="006A2112"/>
    <w:rsid w:val="006A2207"/>
    <w:rsid w:val="006C129E"/>
    <w:rsid w:val="006C4FA3"/>
    <w:rsid w:val="006C6BBD"/>
    <w:rsid w:val="006D6BC3"/>
    <w:rsid w:val="006F791C"/>
    <w:rsid w:val="007003BE"/>
    <w:rsid w:val="0071189E"/>
    <w:rsid w:val="007273B0"/>
    <w:rsid w:val="00751CA3"/>
    <w:rsid w:val="007577B0"/>
    <w:rsid w:val="00764A3E"/>
    <w:rsid w:val="00765EBE"/>
    <w:rsid w:val="0078577E"/>
    <w:rsid w:val="0079286C"/>
    <w:rsid w:val="007A582A"/>
    <w:rsid w:val="007B04E7"/>
    <w:rsid w:val="007B63B6"/>
    <w:rsid w:val="007C0B41"/>
    <w:rsid w:val="007C30A1"/>
    <w:rsid w:val="007C415B"/>
    <w:rsid w:val="007E2288"/>
    <w:rsid w:val="007E4F83"/>
    <w:rsid w:val="007F4BCD"/>
    <w:rsid w:val="00813648"/>
    <w:rsid w:val="00815FE8"/>
    <w:rsid w:val="00820C70"/>
    <w:rsid w:val="00820EB4"/>
    <w:rsid w:val="00842A86"/>
    <w:rsid w:val="00851DF7"/>
    <w:rsid w:val="00874EF0"/>
    <w:rsid w:val="008831DB"/>
    <w:rsid w:val="008A6C19"/>
    <w:rsid w:val="008B25EC"/>
    <w:rsid w:val="008C2463"/>
    <w:rsid w:val="008C311F"/>
    <w:rsid w:val="008F56EE"/>
    <w:rsid w:val="00916D57"/>
    <w:rsid w:val="0092365B"/>
    <w:rsid w:val="00940170"/>
    <w:rsid w:val="00940F40"/>
    <w:rsid w:val="00981614"/>
    <w:rsid w:val="00981E7D"/>
    <w:rsid w:val="009839E5"/>
    <w:rsid w:val="00986378"/>
    <w:rsid w:val="00987626"/>
    <w:rsid w:val="009A2B52"/>
    <w:rsid w:val="009B550F"/>
    <w:rsid w:val="009C3D6E"/>
    <w:rsid w:val="009D1658"/>
    <w:rsid w:val="009D6F3B"/>
    <w:rsid w:val="00A04EB3"/>
    <w:rsid w:val="00A22DFC"/>
    <w:rsid w:val="00A26B6E"/>
    <w:rsid w:val="00A334A2"/>
    <w:rsid w:val="00A624A2"/>
    <w:rsid w:val="00A65524"/>
    <w:rsid w:val="00A71B7B"/>
    <w:rsid w:val="00A84D20"/>
    <w:rsid w:val="00A84F97"/>
    <w:rsid w:val="00A902B9"/>
    <w:rsid w:val="00A95CB7"/>
    <w:rsid w:val="00AA3028"/>
    <w:rsid w:val="00AA48B1"/>
    <w:rsid w:val="00AB10D7"/>
    <w:rsid w:val="00AC1527"/>
    <w:rsid w:val="00AC39FE"/>
    <w:rsid w:val="00B16BB6"/>
    <w:rsid w:val="00B40485"/>
    <w:rsid w:val="00B44D5D"/>
    <w:rsid w:val="00B45C0D"/>
    <w:rsid w:val="00B464F5"/>
    <w:rsid w:val="00B636F3"/>
    <w:rsid w:val="00B9282F"/>
    <w:rsid w:val="00B930FC"/>
    <w:rsid w:val="00BC100C"/>
    <w:rsid w:val="00BC16E9"/>
    <w:rsid w:val="00BC4475"/>
    <w:rsid w:val="00BC58A3"/>
    <w:rsid w:val="00BD7FE5"/>
    <w:rsid w:val="00BE1C65"/>
    <w:rsid w:val="00C03E5A"/>
    <w:rsid w:val="00C05F9A"/>
    <w:rsid w:val="00C12A6C"/>
    <w:rsid w:val="00C12C47"/>
    <w:rsid w:val="00C13EF1"/>
    <w:rsid w:val="00C25A6D"/>
    <w:rsid w:val="00C3220C"/>
    <w:rsid w:val="00C6751F"/>
    <w:rsid w:val="00C7708E"/>
    <w:rsid w:val="00C86918"/>
    <w:rsid w:val="00CA579A"/>
    <w:rsid w:val="00CA7D4B"/>
    <w:rsid w:val="00CB4CA5"/>
    <w:rsid w:val="00CC20B8"/>
    <w:rsid w:val="00CC6F0A"/>
    <w:rsid w:val="00CD6AEA"/>
    <w:rsid w:val="00CD7C2C"/>
    <w:rsid w:val="00D07D91"/>
    <w:rsid w:val="00D30AF9"/>
    <w:rsid w:val="00D43DEB"/>
    <w:rsid w:val="00D509E6"/>
    <w:rsid w:val="00D52C94"/>
    <w:rsid w:val="00D62F27"/>
    <w:rsid w:val="00D64CE3"/>
    <w:rsid w:val="00D75389"/>
    <w:rsid w:val="00D86DD3"/>
    <w:rsid w:val="00D9317A"/>
    <w:rsid w:val="00D949D1"/>
    <w:rsid w:val="00DB5193"/>
    <w:rsid w:val="00DC4C03"/>
    <w:rsid w:val="00DD3BA5"/>
    <w:rsid w:val="00DF421D"/>
    <w:rsid w:val="00E02AC0"/>
    <w:rsid w:val="00E04BD4"/>
    <w:rsid w:val="00E10E5D"/>
    <w:rsid w:val="00E13956"/>
    <w:rsid w:val="00E337D0"/>
    <w:rsid w:val="00E41A13"/>
    <w:rsid w:val="00E53C23"/>
    <w:rsid w:val="00E60215"/>
    <w:rsid w:val="00E843A1"/>
    <w:rsid w:val="00E9454D"/>
    <w:rsid w:val="00E95AA5"/>
    <w:rsid w:val="00EA183D"/>
    <w:rsid w:val="00ED0128"/>
    <w:rsid w:val="00ED3C42"/>
    <w:rsid w:val="00EF5180"/>
    <w:rsid w:val="00F04FDD"/>
    <w:rsid w:val="00F16143"/>
    <w:rsid w:val="00F22367"/>
    <w:rsid w:val="00F249B1"/>
    <w:rsid w:val="00F32F6F"/>
    <w:rsid w:val="00F40917"/>
    <w:rsid w:val="00F619E0"/>
    <w:rsid w:val="00F711DE"/>
    <w:rsid w:val="00F81C66"/>
    <w:rsid w:val="00F81FAE"/>
    <w:rsid w:val="00F85D38"/>
    <w:rsid w:val="00FA1DA5"/>
    <w:rsid w:val="00FB7E77"/>
    <w:rsid w:val="00FF5159"/>
    <w:rsid w:val="00FF64D1"/>
    <w:rsid w:val="00FF74FE"/>
    <w:rsid w:val="00FF7D81"/>
    <w:rsid w:val="0F426E96"/>
    <w:rsid w:val="104871B6"/>
    <w:rsid w:val="12F627A9"/>
    <w:rsid w:val="141F00F5"/>
    <w:rsid w:val="14B448E5"/>
    <w:rsid w:val="18F97167"/>
    <w:rsid w:val="1BCC28E7"/>
    <w:rsid w:val="1BD50639"/>
    <w:rsid w:val="1C7174A5"/>
    <w:rsid w:val="1D755616"/>
    <w:rsid w:val="211D68E2"/>
    <w:rsid w:val="249B7324"/>
    <w:rsid w:val="27AE229B"/>
    <w:rsid w:val="290D27BA"/>
    <w:rsid w:val="29822EDD"/>
    <w:rsid w:val="2C4A7B78"/>
    <w:rsid w:val="2CE22EB0"/>
    <w:rsid w:val="2F374067"/>
    <w:rsid w:val="34B06550"/>
    <w:rsid w:val="35475C92"/>
    <w:rsid w:val="364D442C"/>
    <w:rsid w:val="38004732"/>
    <w:rsid w:val="3834566E"/>
    <w:rsid w:val="3BFC2582"/>
    <w:rsid w:val="3D306F96"/>
    <w:rsid w:val="3EBB29A2"/>
    <w:rsid w:val="3F1373D0"/>
    <w:rsid w:val="407035C7"/>
    <w:rsid w:val="48A754AC"/>
    <w:rsid w:val="4CCF375F"/>
    <w:rsid w:val="54D8755A"/>
    <w:rsid w:val="56A42AC7"/>
    <w:rsid w:val="572B3C88"/>
    <w:rsid w:val="57494A65"/>
    <w:rsid w:val="588565F7"/>
    <w:rsid w:val="588809D8"/>
    <w:rsid w:val="5A9B1234"/>
    <w:rsid w:val="5B5639C9"/>
    <w:rsid w:val="5B621F9F"/>
    <w:rsid w:val="5FCB4DDF"/>
    <w:rsid w:val="644002E0"/>
    <w:rsid w:val="64BC116A"/>
    <w:rsid w:val="6D1D5508"/>
    <w:rsid w:val="6D251D1D"/>
    <w:rsid w:val="6E91666F"/>
    <w:rsid w:val="6F091FF4"/>
    <w:rsid w:val="6F1A6664"/>
    <w:rsid w:val="71666F0C"/>
    <w:rsid w:val="726C1CD7"/>
    <w:rsid w:val="73A618B0"/>
    <w:rsid w:val="73C515E0"/>
    <w:rsid w:val="750A6B15"/>
    <w:rsid w:val="79B72FA0"/>
    <w:rsid w:val="7ADF157C"/>
    <w:rsid w:val="7BD46482"/>
    <w:rsid w:val="7CF22A27"/>
    <w:rsid w:val="7DBA3B79"/>
    <w:rsid w:val="7EFF472F"/>
    <w:rsid w:val="7F3653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480" w:firstLineChars="200"/>
      <w:jc w:val="left"/>
    </w:pPr>
    <w:rPr>
      <w:rFonts w:asciiTheme="minorEastAsia" w:hAnsiTheme="minorEastAsia" w:eastAsiaTheme="minorEastAsia" w:cstheme="minorEastAsia"/>
      <w:color w:val="000000"/>
      <w:kern w:val="2"/>
      <w:sz w:val="24"/>
      <w:szCs w:val="22"/>
      <w:lang w:val="en-US" w:eastAsia="zh-CN" w:bidi="ar-SA"/>
    </w:rPr>
  </w:style>
  <w:style w:type="paragraph" w:styleId="2">
    <w:name w:val="heading 1"/>
    <w:basedOn w:val="1"/>
    <w:next w:val="1"/>
    <w:link w:val="3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37"/>
    <w:unhideWhenUsed/>
    <w:qFormat/>
    <w:uiPriority w:val="9"/>
    <w:pPr>
      <w:keepNext/>
      <w:keepLines/>
      <w:spacing w:before="260" w:after="260" w:line="416" w:lineRule="auto"/>
      <w:ind w:firstLine="0" w:firstLineChars="0"/>
      <w:outlineLvl w:val="1"/>
    </w:pPr>
    <w:rPr>
      <w:rFonts w:ascii="黑体" w:eastAsia="黑体" w:cs="宋体" w:hAnsiTheme="majorEastAsia"/>
      <w:bCs/>
      <w:sz w:val="30"/>
      <w:szCs w:val="30"/>
    </w:rPr>
  </w:style>
  <w:style w:type="paragraph" w:styleId="4">
    <w:name w:val="heading 3"/>
    <w:basedOn w:val="1"/>
    <w:next w:val="1"/>
    <w:link w:val="36"/>
    <w:qFormat/>
    <w:uiPriority w:val="0"/>
    <w:pPr>
      <w:keepNext/>
      <w:keepLines/>
      <w:numPr>
        <w:ilvl w:val="0"/>
        <w:numId w:val="1"/>
      </w:numPr>
      <w:spacing w:before="260" w:after="260" w:line="416" w:lineRule="auto"/>
      <w:ind w:left="420" w:hanging="420"/>
      <w:outlineLvl w:val="2"/>
    </w:pPr>
    <w:rPr>
      <w:rFonts w:ascii="宋体" w:hAnsi="宋体" w:eastAsia="宋体" w:cs="宋体"/>
      <w:b/>
      <w:bCs/>
      <w:color w:val="000000"/>
      <w:sz w:val="24"/>
      <w:szCs w:val="28"/>
    </w:rPr>
  </w:style>
  <w:style w:type="paragraph" w:styleId="5">
    <w:name w:val="heading 4"/>
    <w:basedOn w:val="1"/>
    <w:next w:val="1"/>
    <w:link w:val="41"/>
    <w:qFormat/>
    <w:uiPriority w:val="0"/>
    <w:pPr>
      <w:keepNext/>
      <w:keepLines/>
      <w:spacing w:before="280" w:after="290" w:line="376" w:lineRule="auto"/>
      <w:outlineLvl w:val="3"/>
    </w:pPr>
    <w:rPr>
      <w:rFonts w:ascii="Arial" w:hAnsi="Arial" w:eastAsia="黑体" w:cs="Times New Roman"/>
      <w:b/>
      <w:bCs/>
      <w:sz w:val="28"/>
      <w:szCs w:val="28"/>
    </w:rPr>
  </w:style>
  <w:style w:type="paragraph" w:styleId="6">
    <w:name w:val="heading 5"/>
    <w:basedOn w:val="1"/>
    <w:next w:val="1"/>
    <w:link w:val="40"/>
    <w:qFormat/>
    <w:uiPriority w:val="0"/>
    <w:pPr>
      <w:keepNext/>
      <w:keepLines/>
      <w:spacing w:before="280" w:after="290" w:line="376" w:lineRule="auto"/>
      <w:outlineLvl w:val="4"/>
    </w:pPr>
    <w:rPr>
      <w:rFonts w:ascii="Times New Roman" w:hAnsi="Times New Roman" w:eastAsia="宋体" w:cs="Times New Roman"/>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autoRedefine/>
    <w:unhideWhenUsed/>
    <w:qFormat/>
    <w:uiPriority w:val="39"/>
    <w:pPr>
      <w:ind w:left="2520" w:leftChars="1200"/>
    </w:pPr>
  </w:style>
  <w:style w:type="paragraph" w:styleId="8">
    <w:name w:val="Normal Indent"/>
    <w:basedOn w:val="1"/>
    <w:semiHidden/>
    <w:unhideWhenUsed/>
    <w:qFormat/>
    <w:uiPriority w:val="99"/>
    <w:pPr>
      <w:ind w:firstLine="420" w:firstLineChars="200"/>
    </w:pPr>
  </w:style>
  <w:style w:type="paragraph" w:styleId="9">
    <w:name w:val="Document Map"/>
    <w:basedOn w:val="1"/>
    <w:link w:val="32"/>
    <w:semiHidden/>
    <w:unhideWhenUsed/>
    <w:qFormat/>
    <w:uiPriority w:val="99"/>
    <w:rPr>
      <w:rFonts w:ascii="宋体" w:eastAsia="宋体"/>
      <w:sz w:val="18"/>
      <w:szCs w:val="18"/>
    </w:rPr>
  </w:style>
  <w:style w:type="paragraph" w:styleId="10">
    <w:name w:val="toc 5"/>
    <w:basedOn w:val="1"/>
    <w:next w:val="1"/>
    <w:autoRedefine/>
    <w:unhideWhenUsed/>
    <w:qFormat/>
    <w:uiPriority w:val="39"/>
    <w:pPr>
      <w:ind w:left="1680" w:leftChars="800"/>
    </w:pPr>
  </w:style>
  <w:style w:type="paragraph" w:styleId="11">
    <w:name w:val="toc 3"/>
    <w:basedOn w:val="1"/>
    <w:next w:val="1"/>
    <w:autoRedefine/>
    <w:unhideWhenUsed/>
    <w:qFormat/>
    <w:uiPriority w:val="39"/>
    <w:pPr>
      <w:ind w:left="840" w:leftChars="400"/>
    </w:pPr>
  </w:style>
  <w:style w:type="paragraph" w:styleId="12">
    <w:name w:val="Plain Text"/>
    <w:basedOn w:val="1"/>
    <w:link w:val="47"/>
    <w:qFormat/>
    <w:uiPriority w:val="0"/>
    <w:rPr>
      <w:rFonts w:ascii="宋体" w:hAnsi="Courier New" w:eastAsia="宋体" w:cs="Times New Roman"/>
      <w:szCs w:val="20"/>
    </w:rPr>
  </w:style>
  <w:style w:type="paragraph" w:styleId="13">
    <w:name w:val="toc 8"/>
    <w:basedOn w:val="1"/>
    <w:next w:val="1"/>
    <w:autoRedefine/>
    <w:unhideWhenUsed/>
    <w:qFormat/>
    <w:uiPriority w:val="39"/>
    <w:pPr>
      <w:ind w:left="2940" w:leftChars="1400"/>
    </w:pPr>
  </w:style>
  <w:style w:type="paragraph" w:styleId="14">
    <w:name w:val="Balloon Text"/>
    <w:basedOn w:val="1"/>
    <w:link w:val="44"/>
    <w:semiHidden/>
    <w:unhideWhenUsed/>
    <w:qFormat/>
    <w:uiPriority w:val="99"/>
    <w:rPr>
      <w:sz w:val="18"/>
      <w:szCs w:val="18"/>
    </w:rPr>
  </w:style>
  <w:style w:type="paragraph" w:styleId="15">
    <w:name w:val="footer"/>
    <w:basedOn w:val="1"/>
    <w:link w:val="30"/>
    <w:unhideWhenUsed/>
    <w:qFormat/>
    <w:uiPriority w:val="99"/>
    <w:pPr>
      <w:tabs>
        <w:tab w:val="center" w:pos="4153"/>
        <w:tab w:val="right" w:pos="8306"/>
      </w:tabs>
      <w:snapToGrid w:val="0"/>
      <w:jc w:val="left"/>
    </w:pPr>
    <w:rPr>
      <w:sz w:val="18"/>
      <w:szCs w:val="18"/>
    </w:rPr>
  </w:style>
  <w:style w:type="paragraph" w:styleId="16">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autoRedefine/>
    <w:unhideWhenUsed/>
    <w:qFormat/>
    <w:uiPriority w:val="39"/>
    <w:pPr>
      <w:tabs>
        <w:tab w:val="right" w:leader="dot" w:pos="8296"/>
      </w:tabs>
      <w:jc w:val="center"/>
    </w:pPr>
  </w:style>
  <w:style w:type="paragraph" w:styleId="18">
    <w:name w:val="toc 4"/>
    <w:basedOn w:val="1"/>
    <w:next w:val="1"/>
    <w:autoRedefine/>
    <w:unhideWhenUsed/>
    <w:qFormat/>
    <w:uiPriority w:val="39"/>
    <w:pPr>
      <w:ind w:left="1260" w:leftChars="600"/>
    </w:pPr>
  </w:style>
  <w:style w:type="paragraph" w:styleId="19">
    <w:name w:val="toc 6"/>
    <w:basedOn w:val="1"/>
    <w:next w:val="1"/>
    <w:autoRedefine/>
    <w:unhideWhenUsed/>
    <w:qFormat/>
    <w:uiPriority w:val="39"/>
    <w:pPr>
      <w:ind w:left="2100" w:leftChars="1000"/>
    </w:pPr>
  </w:style>
  <w:style w:type="paragraph" w:styleId="20">
    <w:name w:val="toc 2"/>
    <w:basedOn w:val="1"/>
    <w:next w:val="1"/>
    <w:autoRedefine/>
    <w:unhideWhenUsed/>
    <w:qFormat/>
    <w:uiPriority w:val="39"/>
    <w:pPr>
      <w:ind w:left="420" w:leftChars="200"/>
    </w:pPr>
  </w:style>
  <w:style w:type="paragraph" w:styleId="21">
    <w:name w:val="toc 9"/>
    <w:basedOn w:val="1"/>
    <w:next w:val="1"/>
    <w:autoRedefine/>
    <w:unhideWhenUsed/>
    <w:qFormat/>
    <w:uiPriority w:val="39"/>
    <w:pPr>
      <w:ind w:left="3360" w:leftChars="1600"/>
    </w:pPr>
  </w:style>
  <w:style w:type="paragraph" w:styleId="22">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24">
    <w:name w:val="Table Grid"/>
    <w:basedOn w:val="23"/>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basedOn w:val="25"/>
    <w:qFormat/>
    <w:uiPriority w:val="22"/>
    <w:rPr>
      <w:b/>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footnote reference"/>
    <w:basedOn w:val="25"/>
    <w:semiHidden/>
    <w:qFormat/>
    <w:uiPriority w:val="0"/>
    <w:rPr>
      <w:vertAlign w:val="superscript"/>
    </w:rPr>
  </w:style>
  <w:style w:type="character" w:customStyle="1" w:styleId="29">
    <w:name w:val="页眉 Char"/>
    <w:basedOn w:val="25"/>
    <w:link w:val="16"/>
    <w:qFormat/>
    <w:uiPriority w:val="99"/>
    <w:rPr>
      <w:sz w:val="18"/>
      <w:szCs w:val="18"/>
    </w:rPr>
  </w:style>
  <w:style w:type="character" w:customStyle="1" w:styleId="30">
    <w:name w:val="页脚 Char"/>
    <w:basedOn w:val="25"/>
    <w:link w:val="15"/>
    <w:qFormat/>
    <w:uiPriority w:val="99"/>
    <w:rPr>
      <w:sz w:val="18"/>
      <w:szCs w:val="18"/>
    </w:rPr>
  </w:style>
  <w:style w:type="character" w:customStyle="1" w:styleId="31">
    <w:name w:val="标题 1 Char"/>
    <w:basedOn w:val="25"/>
    <w:link w:val="2"/>
    <w:qFormat/>
    <w:uiPriority w:val="9"/>
    <w:rPr>
      <w:b/>
      <w:bCs/>
      <w:kern w:val="44"/>
      <w:sz w:val="44"/>
      <w:szCs w:val="44"/>
    </w:rPr>
  </w:style>
  <w:style w:type="character" w:customStyle="1" w:styleId="32">
    <w:name w:val="文档结构图 Char"/>
    <w:basedOn w:val="25"/>
    <w:link w:val="9"/>
    <w:semiHidden/>
    <w:qFormat/>
    <w:uiPriority w:val="99"/>
    <w:rPr>
      <w:rFonts w:ascii="宋体" w:eastAsia="宋体"/>
      <w:sz w:val="18"/>
      <w:szCs w:val="18"/>
    </w:rPr>
  </w:style>
  <w:style w:type="paragraph" w:styleId="33">
    <w:name w:val="List Paragraph"/>
    <w:basedOn w:val="1"/>
    <w:qFormat/>
    <w:uiPriority w:val="34"/>
    <w:pPr>
      <w:ind w:firstLine="420" w:firstLineChars="200"/>
    </w:pPr>
  </w:style>
  <w:style w:type="paragraph" w:customStyle="1" w:styleId="34">
    <w:name w:val="正文-第几条"/>
    <w:basedOn w:val="1"/>
    <w:qFormat/>
    <w:uiPriority w:val="0"/>
    <w:pPr>
      <w:spacing w:line="360" w:lineRule="auto"/>
    </w:pPr>
    <w:rPr>
      <w:rFonts w:ascii="Times New Roman" w:hAnsi="Times New Roman" w:eastAsia="宋体" w:cs="Times New Roman"/>
      <w:b/>
      <w:sz w:val="24"/>
      <w:szCs w:val="24"/>
    </w:rPr>
  </w:style>
  <w:style w:type="paragraph" w:customStyle="1" w:styleId="35">
    <w:name w:val="Char"/>
    <w:basedOn w:val="1"/>
    <w:qFormat/>
    <w:uiPriority w:val="0"/>
    <w:pPr>
      <w:spacing w:line="360" w:lineRule="auto"/>
    </w:pPr>
    <w:rPr>
      <w:rFonts w:ascii="Tahoma" w:hAnsi="Tahoma" w:eastAsia="宋体" w:cs="Times New Roman"/>
      <w:sz w:val="24"/>
      <w:szCs w:val="20"/>
    </w:rPr>
  </w:style>
  <w:style w:type="character" w:customStyle="1" w:styleId="36">
    <w:name w:val="标题 3 Char"/>
    <w:link w:val="4"/>
    <w:qFormat/>
    <w:uiPriority w:val="0"/>
    <w:rPr>
      <w:rFonts w:ascii="宋体" w:hAnsi="宋体" w:eastAsia="宋体" w:cs="宋体"/>
      <w:b/>
      <w:bCs/>
      <w:color w:val="000000"/>
      <w:kern w:val="2"/>
      <w:sz w:val="24"/>
      <w:szCs w:val="28"/>
      <w:lang w:val="en-US" w:eastAsia="zh-CN" w:bidi="ar-SA"/>
    </w:rPr>
  </w:style>
  <w:style w:type="character" w:customStyle="1" w:styleId="37">
    <w:name w:val="标题 2 Char"/>
    <w:link w:val="3"/>
    <w:qFormat/>
    <w:uiPriority w:val="9"/>
    <w:rPr>
      <w:rFonts w:ascii="黑体" w:eastAsia="黑体" w:cs="宋体" w:hAnsiTheme="majorEastAsia"/>
      <w:bCs/>
      <w:color w:val="000000"/>
      <w:kern w:val="2"/>
      <w:sz w:val="30"/>
      <w:szCs w:val="30"/>
      <w:lang w:val="en-US" w:eastAsia="zh-CN" w:bidi="ar-SA"/>
    </w:rPr>
  </w:style>
  <w:style w:type="paragraph" w:customStyle="1" w:styleId="38">
    <w:name w:val="Char1"/>
    <w:basedOn w:val="1"/>
    <w:qFormat/>
    <w:uiPriority w:val="0"/>
    <w:pPr>
      <w:spacing w:line="360" w:lineRule="auto"/>
    </w:pPr>
    <w:rPr>
      <w:rFonts w:ascii="Tahoma" w:hAnsi="Tahoma" w:eastAsia="宋体" w:cs="Times New Roman"/>
      <w:sz w:val="24"/>
      <w:szCs w:val="20"/>
    </w:rPr>
  </w:style>
  <w:style w:type="paragraph" w:customStyle="1" w:styleId="39">
    <w:name w:val="Char2"/>
    <w:basedOn w:val="1"/>
    <w:qFormat/>
    <w:uiPriority w:val="0"/>
    <w:pPr>
      <w:spacing w:line="360" w:lineRule="auto"/>
    </w:pPr>
    <w:rPr>
      <w:rFonts w:ascii="Tahoma" w:hAnsi="Tahoma" w:eastAsia="宋体" w:cs="Times New Roman"/>
      <w:sz w:val="24"/>
      <w:szCs w:val="20"/>
    </w:rPr>
  </w:style>
  <w:style w:type="character" w:customStyle="1" w:styleId="40">
    <w:name w:val="标题 5 Char"/>
    <w:basedOn w:val="25"/>
    <w:link w:val="6"/>
    <w:qFormat/>
    <w:uiPriority w:val="0"/>
    <w:rPr>
      <w:rFonts w:ascii="Times New Roman" w:hAnsi="Times New Roman" w:eastAsia="宋体" w:cs="Times New Roman"/>
      <w:b/>
      <w:bCs/>
      <w:sz w:val="28"/>
      <w:szCs w:val="28"/>
    </w:rPr>
  </w:style>
  <w:style w:type="character" w:customStyle="1" w:styleId="41">
    <w:name w:val="标题 4 Char"/>
    <w:basedOn w:val="25"/>
    <w:link w:val="5"/>
    <w:qFormat/>
    <w:uiPriority w:val="0"/>
    <w:rPr>
      <w:rFonts w:ascii="Arial" w:hAnsi="Arial" w:eastAsia="黑体" w:cs="Times New Roman"/>
      <w:b/>
      <w:bCs/>
      <w:sz w:val="28"/>
      <w:szCs w:val="28"/>
    </w:rPr>
  </w:style>
  <w:style w:type="paragraph" w:customStyle="1" w:styleId="42">
    <w:name w:val="Char3"/>
    <w:basedOn w:val="1"/>
    <w:qFormat/>
    <w:uiPriority w:val="0"/>
    <w:pPr>
      <w:spacing w:line="360" w:lineRule="auto"/>
    </w:pPr>
    <w:rPr>
      <w:rFonts w:ascii="Tahoma" w:hAnsi="Tahoma" w:eastAsia="宋体" w:cs="Times New Roman"/>
      <w:sz w:val="24"/>
      <w:szCs w:val="20"/>
    </w:rPr>
  </w:style>
  <w:style w:type="paragraph" w:customStyle="1" w:styleId="43">
    <w:name w:val="Char4"/>
    <w:basedOn w:val="1"/>
    <w:qFormat/>
    <w:uiPriority w:val="0"/>
    <w:pPr>
      <w:spacing w:line="360" w:lineRule="auto"/>
    </w:pPr>
    <w:rPr>
      <w:rFonts w:ascii="Tahoma" w:hAnsi="Tahoma" w:eastAsia="宋体" w:cs="Times New Roman"/>
      <w:sz w:val="24"/>
      <w:szCs w:val="20"/>
    </w:rPr>
  </w:style>
  <w:style w:type="character" w:customStyle="1" w:styleId="44">
    <w:name w:val="批注框文本 Char"/>
    <w:basedOn w:val="25"/>
    <w:link w:val="14"/>
    <w:semiHidden/>
    <w:qFormat/>
    <w:uiPriority w:val="99"/>
    <w:rPr>
      <w:sz w:val="18"/>
      <w:szCs w:val="18"/>
    </w:rPr>
  </w:style>
  <w:style w:type="paragraph" w:customStyle="1" w:styleId="45">
    <w:name w:val="Char5"/>
    <w:basedOn w:val="1"/>
    <w:qFormat/>
    <w:uiPriority w:val="0"/>
    <w:pPr>
      <w:spacing w:line="360" w:lineRule="auto"/>
    </w:pPr>
    <w:rPr>
      <w:rFonts w:ascii="Tahoma" w:hAnsi="Tahoma" w:eastAsia="宋体" w:cs="Times New Roman"/>
      <w:sz w:val="24"/>
      <w:szCs w:val="20"/>
    </w:rPr>
  </w:style>
  <w:style w:type="paragraph" w:customStyle="1" w:styleId="46">
    <w:name w:val="Char6"/>
    <w:basedOn w:val="1"/>
    <w:qFormat/>
    <w:uiPriority w:val="0"/>
    <w:pPr>
      <w:spacing w:line="360" w:lineRule="auto"/>
    </w:pPr>
    <w:rPr>
      <w:rFonts w:ascii="Tahoma" w:hAnsi="Tahoma" w:eastAsia="宋体" w:cs="Times New Roman"/>
      <w:sz w:val="24"/>
      <w:szCs w:val="20"/>
    </w:rPr>
  </w:style>
  <w:style w:type="character" w:customStyle="1" w:styleId="47">
    <w:name w:val="纯文本 Char"/>
    <w:basedOn w:val="25"/>
    <w:link w:val="12"/>
    <w:qFormat/>
    <w:uiPriority w:val="0"/>
    <w:rPr>
      <w:rFonts w:ascii="宋体" w:hAnsi="Courier New" w:eastAsia="宋体" w:cs="Times New Roman"/>
      <w:szCs w:val="20"/>
    </w:rPr>
  </w:style>
  <w:style w:type="character" w:customStyle="1" w:styleId="48">
    <w:name w:val="size581"/>
    <w:basedOn w:val="25"/>
    <w:qFormat/>
    <w:uiPriority w:val="0"/>
    <w:rPr>
      <w:vanish/>
    </w:rPr>
  </w:style>
  <w:style w:type="paragraph" w:customStyle="1" w:styleId="49">
    <w:name w:val="标题 3 + 宋体"/>
    <w:basedOn w:val="5"/>
    <w:qFormat/>
    <w:uiPriority w:val="0"/>
    <w:pPr>
      <w:keepNext w:val="0"/>
      <w:keepLines w:val="0"/>
      <w:tabs>
        <w:tab w:val="left" w:pos="851"/>
      </w:tabs>
      <w:adjustRightInd w:val="0"/>
      <w:snapToGrid w:val="0"/>
      <w:spacing w:before="0" w:after="0" w:line="240" w:lineRule="auto"/>
      <w:ind w:left="267" w:leftChars="267" w:hanging="290" w:hangingChars="103"/>
    </w:pPr>
    <w:rPr>
      <w:rFonts w:ascii="宋体" w:hAnsi="宋体" w:eastAsia="宋体"/>
      <w:bCs w:val="0"/>
    </w:rPr>
  </w:style>
  <w:style w:type="paragraph" w:customStyle="1" w:styleId="50">
    <w:name w:val="表格"/>
    <w:basedOn w:val="1"/>
    <w:link w:val="51"/>
    <w:qFormat/>
    <w:uiPriority w:val="0"/>
    <w:pPr>
      <w:adjustRightInd w:val="0"/>
      <w:snapToGrid w:val="0"/>
      <w:ind w:firstLine="200" w:firstLineChars="200"/>
    </w:pPr>
    <w:rPr>
      <w:rFonts w:ascii="宋体" w:hAnsi="宋体" w:eastAsia="宋体" w:cs="Times New Roman"/>
      <w:kern w:val="24"/>
      <w:szCs w:val="21"/>
    </w:rPr>
  </w:style>
  <w:style w:type="character" w:customStyle="1" w:styleId="51">
    <w:name w:val="表格 Char"/>
    <w:link w:val="50"/>
    <w:qFormat/>
    <w:uiPriority w:val="0"/>
    <w:rPr>
      <w:rFonts w:ascii="宋体" w:hAnsi="宋体" w:eastAsia="宋体" w:cs="Times New Roman"/>
      <w:kern w:val="24"/>
      <w:szCs w:val="21"/>
    </w:rPr>
  </w:style>
  <w:style w:type="paragraph" w:customStyle="1" w:styleId="52">
    <w:name w:val="表标题"/>
    <w:basedOn w:val="8"/>
    <w:autoRedefine/>
    <w:qFormat/>
    <w:uiPriority w:val="0"/>
    <w:pPr>
      <w:adjustRightInd w:val="0"/>
      <w:snapToGrid w:val="0"/>
      <w:spacing w:before="120" w:line="240" w:lineRule="atLeast"/>
      <w:jc w:val="left"/>
    </w:pPr>
    <w:rPr>
      <w:rFonts w:ascii="黑体" w:hAnsi="宋体" w:eastAsia="黑体" w:cs="宋体"/>
      <w:bCs/>
      <w:kern w:val="24"/>
      <w:szCs w:val="24"/>
    </w:rPr>
  </w:style>
  <w:style w:type="paragraph" w:customStyle="1" w:styleId="53">
    <w:name w:val="Default"/>
    <w:unhideWhenUsed/>
    <w:qFormat/>
    <w:uiPriority w:val="99"/>
    <w:pPr>
      <w:widowControl w:val="0"/>
      <w:autoSpaceDE w:val="0"/>
      <w:autoSpaceDN w:val="0"/>
      <w:adjustRightInd w:val="0"/>
      <w:spacing w:beforeLines="0" w:afterLines="0"/>
    </w:pPr>
    <w:rPr>
      <w:rFonts w:hint="eastAsia" w:ascii="Times New Roman" w:hAnsi="Times New Roman" w:eastAsia="Times New Roman" w:cs="Times New Roman"/>
      <w:color w:val="000000"/>
      <w:sz w:val="24"/>
      <w:szCs w:val="24"/>
    </w:rPr>
  </w:style>
  <w:style w:type="paragraph" w:customStyle="1" w:styleId="54">
    <w:name w:val="—标题02"/>
    <w:basedOn w:val="3"/>
    <w:next w:val="1"/>
    <w:qFormat/>
    <w:uiPriority w:val="0"/>
    <w:pPr>
      <w:keepNext w:val="0"/>
      <w:keepLines w:val="0"/>
      <w:numPr>
        <w:ilvl w:val="0"/>
        <w:numId w:val="2"/>
      </w:numPr>
      <w:kinsoku w:val="0"/>
      <w:overflowPunct w:val="0"/>
      <w:autoSpaceDE w:val="0"/>
      <w:autoSpaceDN w:val="0"/>
      <w:adjustRightInd w:val="0"/>
      <w:spacing w:before="0" w:beforeLines="0" w:after="0" w:line="360" w:lineRule="auto"/>
      <w:ind w:left="431" w:hanging="431"/>
      <w:jc w:val="center"/>
    </w:pPr>
    <w:rPr>
      <w:rFonts w:ascii="宋体" w:hAnsi="宋体" w:eastAsia="宋体" w:cs="宋体"/>
      <w:lang w:val="zh-CN"/>
    </w:rPr>
  </w:style>
  <w:style w:type="paragraph" w:customStyle="1" w:styleId="55">
    <w:name w:val="—标题03"/>
    <w:basedOn w:val="4"/>
    <w:next w:val="1"/>
    <w:qFormat/>
    <w:uiPriority w:val="0"/>
    <w:pPr>
      <w:numPr>
        <w:ilvl w:val="1"/>
        <w:numId w:val="2"/>
      </w:numPr>
      <w:spacing w:before="0" w:after="0" w:line="360" w:lineRule="auto"/>
      <w:ind w:left="567" w:hanging="567"/>
      <w:jc w:val="left"/>
      <w:outlineLvl w:val="1"/>
    </w:pPr>
    <w:rPr>
      <w:rFonts w:ascii="宋体" w:hAnsi="宋体" w:eastAsia="黑体" w:cs="宋体"/>
      <w:color w:val="auto"/>
      <w:sz w:val="30"/>
      <w:szCs w:val="22"/>
    </w:rPr>
  </w:style>
  <w:style w:type="paragraph" w:customStyle="1" w:styleId="56">
    <w:name w:val="—标题04"/>
    <w:basedOn w:val="5"/>
    <w:next w:val="1"/>
    <w:qFormat/>
    <w:uiPriority w:val="0"/>
    <w:pPr>
      <w:numPr>
        <w:ilvl w:val="2"/>
        <w:numId w:val="3"/>
      </w:numPr>
      <w:adjustRightInd w:val="0"/>
      <w:spacing w:before="0" w:after="0" w:line="360" w:lineRule="auto"/>
      <w:ind w:left="432" w:hanging="432"/>
      <w:jc w:val="left"/>
    </w:pPr>
    <w:rPr>
      <w:rFonts w:ascii="宋体" w:hAnsi="宋体" w:eastAsia="宋体" w:cs="宋体"/>
      <w:color w:val="auto"/>
    </w:rPr>
  </w:style>
  <w:style w:type="paragraph" w:customStyle="1" w:styleId="57">
    <w:name w:val="WPSOffice手动目录 1"/>
    <w:qFormat/>
    <w:uiPriority w:val="0"/>
    <w:pPr>
      <w:ind w:leftChars="0"/>
    </w:pPr>
    <w:rPr>
      <w:rFonts w:ascii="Times New Roman" w:hAnsi="Times New Roman" w:eastAsia="宋体" w:cs="Times New Roman"/>
      <w:sz w:val="20"/>
      <w:szCs w:val="20"/>
    </w:rPr>
  </w:style>
  <w:style w:type="paragraph" w:customStyle="1" w:styleId="58">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25</Pages>
  <Words>6696</Words>
  <Characters>6912</Characters>
  <Lines>318</Lines>
  <Paragraphs>89</Paragraphs>
  <TotalTime>152</TotalTime>
  <ScaleCrop>false</ScaleCrop>
  <LinksUpToDate>false</LinksUpToDate>
  <CharactersWithSpaces>6975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2015-10-26T09:37:00Z</dcterms:created>
  <dc:creator>微软用户</dc:creator>
  <cp:lastModifiedBy>你渴望力量吗？</cp:lastModifiedBy>
  <cp:lastPrinted>2024-10-30T08:17:00Z</cp:lastPrinted>
  <dcterms:modified xsi:type="dcterms:W3CDTF">2026-05-19T02:37:25Z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6E30E841DC49430185C04AF1CED187B9_13</vt:lpwstr>
  </property>
  <property fmtid="{D5CDD505-2E9C-101B-9397-08002B2CF9AE}" pid="4" name="KSOTemplateDocerSaveRecord">
    <vt:lpwstr>eyJoZGlkIjoiYmVlMmIwMmZhYmNjNjdmOTI4ODQ5YWRiOTRmZTU2YWUiLCJ1c2VySWQiOiI1MTM2NDE5MjQifQ==</vt:lpwstr>
  </property>
</Properties>
</file>