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6A8EF1">
      <w:pPr>
        <w:jc w:val="center"/>
        <w:rPr>
          <w:rFonts w:ascii="方正小标宋_GBK" w:hAnsi="方正小标宋_GBK" w:eastAsia="方正小标宋_GBK" w:cs="方正小标宋_GBK"/>
          <w:sz w:val="44"/>
          <w:szCs w:val="52"/>
        </w:rPr>
      </w:pPr>
      <w:bookmarkStart w:id="53" w:name="_GoBack"/>
      <w:bookmarkEnd w:id="53"/>
    </w:p>
    <w:p w14:paraId="0FFC357D">
      <w:pPr>
        <w:jc w:val="center"/>
        <w:rPr>
          <w:sz w:val="44"/>
          <w:szCs w:val="44"/>
        </w:rPr>
      </w:pPr>
    </w:p>
    <w:p w14:paraId="0DD7E429">
      <w:pPr>
        <w:pStyle w:val="2"/>
      </w:pPr>
    </w:p>
    <w:p w14:paraId="37D19272">
      <w:pPr>
        <w:pStyle w:val="2"/>
      </w:pPr>
    </w:p>
    <w:p w14:paraId="16BE387E">
      <w:pPr>
        <w:pStyle w:val="2"/>
      </w:pPr>
    </w:p>
    <w:p w14:paraId="03DB21A7">
      <w:pPr>
        <w:pStyle w:val="2"/>
      </w:pPr>
    </w:p>
    <w:p w14:paraId="2118FF60">
      <w:pPr>
        <w:pStyle w:val="2"/>
      </w:pPr>
    </w:p>
    <w:p w14:paraId="3F55369D">
      <w:pPr>
        <w:widowControl w:val="0"/>
        <w:spacing w:line="800" w:lineRule="exact"/>
        <w:jc w:val="center"/>
        <w:rPr>
          <w:rFonts w:ascii="Times New Roman" w:hAnsi="Times New Roman" w:eastAsia="方正小标宋简体"/>
          <w:kern w:val="2"/>
          <w:sz w:val="56"/>
          <w:szCs w:val="56"/>
        </w:rPr>
      </w:pPr>
      <w:r>
        <w:rPr>
          <w:rFonts w:hint="eastAsia" w:ascii="Times New Roman" w:hAnsi="Times New Roman" w:eastAsia="方正小标宋简体"/>
          <w:kern w:val="2"/>
          <w:sz w:val="56"/>
          <w:szCs w:val="56"/>
        </w:rPr>
        <w:t>宁晋县乡村地区“通则式”规划</w:t>
      </w:r>
    </w:p>
    <w:p w14:paraId="54D52B48">
      <w:pPr>
        <w:widowControl w:val="0"/>
        <w:spacing w:line="800" w:lineRule="exact"/>
        <w:jc w:val="center"/>
        <w:rPr>
          <w:rFonts w:ascii="Times New Roman" w:hAnsi="Times New Roman" w:eastAsia="方正小标宋简体"/>
          <w:kern w:val="2"/>
          <w:sz w:val="56"/>
          <w:szCs w:val="56"/>
        </w:rPr>
      </w:pPr>
      <w:r>
        <w:rPr>
          <w:rFonts w:hint="eastAsia" w:ascii="Times New Roman" w:hAnsi="Times New Roman" w:eastAsia="方正小标宋简体"/>
          <w:kern w:val="2"/>
          <w:sz w:val="56"/>
          <w:szCs w:val="56"/>
        </w:rPr>
        <w:t>技术管理规定</w:t>
      </w:r>
    </w:p>
    <w:p w14:paraId="4647CB52">
      <w:pPr>
        <w:pStyle w:val="2"/>
      </w:pPr>
    </w:p>
    <w:p w14:paraId="52B62845">
      <w:pPr>
        <w:jc w:val="center"/>
        <w:rPr>
          <w:rFonts w:ascii="方正小标宋_GBK" w:hAnsi="方正小标宋_GBK" w:eastAsia="方正小标宋_GBK" w:cs="方正小标宋_GBK"/>
          <w:sz w:val="44"/>
          <w:szCs w:val="52"/>
        </w:rPr>
      </w:pPr>
    </w:p>
    <w:p w14:paraId="26DE2284">
      <w:pPr>
        <w:jc w:val="center"/>
        <w:rPr>
          <w:rFonts w:ascii="方正小标宋_GBK" w:hAnsi="方正小标宋_GBK" w:eastAsia="方正小标宋_GBK" w:cs="方正小标宋_GBK"/>
          <w:sz w:val="44"/>
          <w:szCs w:val="52"/>
        </w:rPr>
      </w:pPr>
    </w:p>
    <w:p w14:paraId="79136F38">
      <w:pPr>
        <w:jc w:val="center"/>
        <w:rPr>
          <w:rFonts w:ascii="方正小标宋_GBK" w:hAnsi="方正小标宋_GBK" w:eastAsia="方正小标宋_GBK" w:cs="方正小标宋_GBK"/>
          <w:sz w:val="44"/>
          <w:szCs w:val="52"/>
        </w:rPr>
      </w:pPr>
    </w:p>
    <w:p w14:paraId="6F7B336C">
      <w:pPr>
        <w:pStyle w:val="2"/>
      </w:pPr>
    </w:p>
    <w:p w14:paraId="559BFFC2">
      <w:pPr>
        <w:pStyle w:val="2"/>
      </w:pPr>
    </w:p>
    <w:p w14:paraId="40B8FE95">
      <w:pPr>
        <w:jc w:val="center"/>
        <w:rPr>
          <w:rFonts w:ascii="方正小标宋_GBK" w:hAnsi="方正小标宋_GBK" w:eastAsia="方正小标宋_GBK" w:cs="方正小标宋_GBK"/>
          <w:sz w:val="44"/>
          <w:szCs w:val="52"/>
        </w:rPr>
      </w:pPr>
    </w:p>
    <w:p w14:paraId="24AF3AD0">
      <w:pPr>
        <w:pStyle w:val="2"/>
      </w:pPr>
    </w:p>
    <w:p w14:paraId="4E5361BB">
      <w:pPr>
        <w:pStyle w:val="2"/>
      </w:pPr>
    </w:p>
    <w:p w14:paraId="72C7ACC4">
      <w:pPr>
        <w:pStyle w:val="2"/>
      </w:pPr>
    </w:p>
    <w:p w14:paraId="69ECA795">
      <w:pPr>
        <w:pStyle w:val="2"/>
      </w:pPr>
    </w:p>
    <w:p w14:paraId="47B15D30">
      <w:pPr>
        <w:pStyle w:val="2"/>
        <w:rPr>
          <w:rFonts w:ascii="方正小标宋_GBK" w:hAnsi="方正小标宋_GBK" w:eastAsia="方正小标宋_GBK" w:cs="方正小标宋_GBK"/>
          <w:sz w:val="44"/>
          <w:szCs w:val="52"/>
        </w:rPr>
      </w:pPr>
    </w:p>
    <w:p w14:paraId="47BB8311">
      <w:pPr>
        <w:pStyle w:val="2"/>
        <w:rPr>
          <w:rFonts w:ascii="方正小标宋_GBK" w:hAnsi="方正小标宋_GBK" w:eastAsia="方正小标宋_GBK" w:cs="方正小标宋_GBK"/>
          <w:sz w:val="44"/>
          <w:szCs w:val="52"/>
        </w:rPr>
      </w:pPr>
    </w:p>
    <w:p w14:paraId="02AAAAFB">
      <w:pPr>
        <w:widowControl w:val="0"/>
        <w:spacing w:line="560" w:lineRule="exact"/>
        <w:jc w:val="center"/>
        <w:rPr>
          <w:rFonts w:ascii="Times New Roman" w:hAnsi="Times New Roman" w:eastAsia="楷体_GB2312"/>
          <w:kern w:val="2"/>
          <w:sz w:val="40"/>
          <w:szCs w:val="40"/>
        </w:rPr>
      </w:pPr>
    </w:p>
    <w:p w14:paraId="2C6D2DDC">
      <w:pPr>
        <w:widowControl w:val="0"/>
        <w:spacing w:line="560" w:lineRule="exact"/>
        <w:jc w:val="center"/>
        <w:rPr>
          <w:rFonts w:ascii="Times New Roman" w:hAnsi="Times New Roman" w:eastAsia="楷体_GB2312"/>
          <w:kern w:val="2"/>
          <w:sz w:val="40"/>
          <w:szCs w:val="40"/>
        </w:rPr>
      </w:pPr>
      <w:r>
        <w:rPr>
          <w:rFonts w:ascii="Times New Roman" w:hAnsi="Times New Roman" w:eastAsia="楷体_GB2312"/>
          <w:kern w:val="2"/>
          <w:sz w:val="40"/>
          <w:szCs w:val="40"/>
        </w:rPr>
        <w:t>2026</w:t>
      </w:r>
      <w:r>
        <w:rPr>
          <w:rFonts w:hint="eastAsia" w:ascii="Times New Roman" w:hAnsi="Times New Roman" w:eastAsia="楷体_GB2312"/>
          <w:kern w:val="2"/>
          <w:sz w:val="40"/>
          <w:szCs w:val="40"/>
        </w:rPr>
        <w:t>年5月</w:t>
      </w:r>
    </w:p>
    <w:p w14:paraId="2AA9C023">
      <w:pPr>
        <w:jc w:val="center"/>
        <w:rPr>
          <w:rFonts w:ascii="方正小标宋_GBK" w:hAnsi="方正小标宋_GBK" w:eastAsia="方正小标宋_GBK" w:cs="方正小标宋_GBK"/>
          <w:sz w:val="44"/>
          <w:szCs w:val="52"/>
        </w:rPr>
      </w:pPr>
    </w:p>
    <w:p w14:paraId="633279E6">
      <w:pPr>
        <w:jc w:val="center"/>
        <w:rPr>
          <w:rFonts w:ascii="黑体" w:hAnsi="黑体" w:eastAsia="黑体" w:cs="黑体"/>
          <w:sz w:val="32"/>
          <w:szCs w:val="40"/>
        </w:rPr>
        <w:sectPr>
          <w:pgSz w:w="11906" w:h="16838"/>
          <w:pgMar w:top="1440" w:right="1800" w:bottom="1440" w:left="1800" w:header="851" w:footer="992" w:gutter="0"/>
          <w:cols w:space="425" w:num="1"/>
          <w:docGrid w:type="lines" w:linePitch="312" w:charSpace="0"/>
        </w:sectPr>
      </w:pPr>
    </w:p>
    <w:sdt>
      <w:sdtPr>
        <w:rPr>
          <w:rFonts w:cs="Times New Roman" w:asciiTheme="minorHAnsi" w:hAnsiTheme="minorHAnsi" w:eastAsiaTheme="minorEastAsia"/>
          <w:b w:val="0"/>
          <w:bCs w:val="0"/>
          <w:color w:val="auto"/>
          <w:sz w:val="24"/>
          <w:szCs w:val="24"/>
          <w:lang w:val="zh-CN"/>
        </w:rPr>
        <w:id w:val="434019805"/>
        <w:docPartObj>
          <w:docPartGallery w:val="Table of Contents"/>
          <w:docPartUnique/>
        </w:docPartObj>
      </w:sdtPr>
      <w:sdtEndPr>
        <w:rPr>
          <w:rFonts w:cs="Times New Roman" w:asciiTheme="minorHAnsi" w:hAnsiTheme="minorHAnsi" w:eastAsiaTheme="minorEastAsia"/>
          <w:b w:val="0"/>
          <w:bCs w:val="0"/>
          <w:color w:val="auto"/>
          <w:sz w:val="24"/>
          <w:szCs w:val="24"/>
          <w:lang w:val="zh-CN"/>
        </w:rPr>
      </w:sdtEndPr>
      <w:sdtContent>
        <w:p w14:paraId="33E5DB30">
          <w:pPr>
            <w:pStyle w:val="28"/>
            <w:jc w:val="center"/>
            <w:rPr>
              <w:rFonts w:ascii="黑体" w:hAnsi="黑体" w:eastAsia="黑体"/>
              <w:color w:val="auto"/>
              <w:sz w:val="36"/>
              <w:szCs w:val="36"/>
            </w:rPr>
          </w:pPr>
          <w:r>
            <w:rPr>
              <w:rFonts w:ascii="黑体" w:hAnsi="黑体" w:eastAsia="黑体"/>
              <w:color w:val="auto"/>
              <w:sz w:val="36"/>
              <w:szCs w:val="36"/>
              <w:lang w:val="zh-CN"/>
            </w:rPr>
            <w:t>目</w:t>
          </w:r>
          <w:r>
            <w:rPr>
              <w:rFonts w:hint="eastAsia" w:ascii="黑体" w:hAnsi="黑体" w:eastAsia="黑体"/>
              <w:color w:val="auto"/>
              <w:sz w:val="36"/>
              <w:szCs w:val="36"/>
              <w:lang w:val="zh-CN"/>
            </w:rPr>
            <w:t xml:space="preserve">   </w:t>
          </w:r>
          <w:r>
            <w:rPr>
              <w:rFonts w:ascii="黑体" w:hAnsi="黑体" w:eastAsia="黑体"/>
              <w:color w:val="auto"/>
              <w:sz w:val="36"/>
              <w:szCs w:val="36"/>
              <w:lang w:val="zh-CN"/>
            </w:rPr>
            <w:t>录</w:t>
          </w:r>
        </w:p>
        <w:p w14:paraId="13D77BC8">
          <w:pPr>
            <w:pStyle w:val="10"/>
            <w:tabs>
              <w:tab w:val="right" w:leader="dot" w:pos="8296"/>
            </w:tabs>
            <w:spacing w:beforeLines="0" w:afterLines="0" w:line="560" w:lineRule="exact"/>
            <w:rPr>
              <w:rFonts w:ascii="楷体" w:hAnsi="楷体" w:eastAsia="楷体" w:cstheme="minorBidi"/>
              <w:kern w:val="2"/>
              <w:sz w:val="32"/>
              <w:szCs w:val="32"/>
            </w:rPr>
          </w:pPr>
          <w:r>
            <w:fldChar w:fldCharType="begin"/>
          </w:r>
          <w:r>
            <w:instrText xml:space="preserve"> TOC \o "1-3" \h \z \u </w:instrText>
          </w:r>
          <w:r>
            <w:fldChar w:fldCharType="separate"/>
          </w:r>
          <w:r>
            <w:fldChar w:fldCharType="begin"/>
          </w:r>
          <w:r>
            <w:instrText xml:space="preserve"> HYPERLINK \l "_Toc229039142" </w:instrText>
          </w:r>
          <w:r>
            <w:fldChar w:fldCharType="separate"/>
          </w:r>
          <w:r>
            <w:rPr>
              <w:rStyle w:val="18"/>
              <w:rFonts w:hint="eastAsia" w:ascii="黑体" w:hAnsi="黑体" w:eastAsia="黑体" w:cs="宋体"/>
              <w:sz w:val="32"/>
              <w:szCs w:val="32"/>
            </w:rPr>
            <w:t>第一章 总则</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_Toc229039142 \h </w:instrText>
          </w:r>
          <w:r>
            <w:rPr>
              <w:rFonts w:ascii="楷体" w:hAnsi="楷体" w:eastAsia="楷体"/>
              <w:sz w:val="32"/>
              <w:szCs w:val="32"/>
            </w:rPr>
            <w:fldChar w:fldCharType="separate"/>
          </w:r>
          <w:r>
            <w:rPr>
              <w:rFonts w:ascii="Times New Roman" w:hAnsi="Times New Roman" w:eastAsia="楷体"/>
              <w:sz w:val="32"/>
              <w:szCs w:val="32"/>
            </w:rPr>
            <w:t>1</w:t>
          </w:r>
          <w:r>
            <w:rPr>
              <w:rFonts w:ascii="楷体" w:hAnsi="楷体" w:eastAsia="楷体"/>
              <w:sz w:val="32"/>
              <w:szCs w:val="32"/>
            </w:rPr>
            <w:fldChar w:fldCharType="end"/>
          </w:r>
          <w:r>
            <w:rPr>
              <w:rFonts w:ascii="楷体" w:hAnsi="楷体" w:eastAsia="楷体"/>
              <w:sz w:val="32"/>
              <w:szCs w:val="32"/>
            </w:rPr>
            <w:fldChar w:fldCharType="end"/>
          </w:r>
        </w:p>
        <w:p w14:paraId="0C3A8FA2">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"_Toc229039143"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编制目的</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_Toc229039143 \h </w:instrText>
          </w:r>
          <w:r>
            <w:rPr>
              <w:rFonts w:ascii="楷体" w:hAnsi="楷体" w:eastAsia="楷体"/>
              <w:sz w:val="32"/>
              <w:szCs w:val="32"/>
            </w:rPr>
            <w:fldChar w:fldCharType="separate"/>
          </w:r>
          <w:r>
            <w:rPr>
              <w:rFonts w:ascii="Times New Roman" w:hAnsi="Times New Roman" w:eastAsia="楷体"/>
              <w:sz w:val="32"/>
              <w:szCs w:val="32"/>
            </w:rPr>
            <w:t>1</w:t>
          </w:r>
          <w:r>
            <w:rPr>
              <w:rFonts w:ascii="楷体" w:hAnsi="楷体" w:eastAsia="楷体"/>
              <w:sz w:val="32"/>
              <w:szCs w:val="32"/>
            </w:rPr>
            <w:fldChar w:fldCharType="end"/>
          </w:r>
          <w:r>
            <w:rPr>
              <w:rFonts w:ascii="楷体" w:hAnsi="楷体" w:eastAsia="楷体"/>
              <w:sz w:val="32"/>
              <w:szCs w:val="32"/>
            </w:rPr>
            <w:fldChar w:fldCharType="end"/>
          </w:r>
        </w:p>
        <w:p w14:paraId="57D3F1D1">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"_Toc229039144"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2</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编制主要依据</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_Toc229039144 \h </w:instrText>
          </w:r>
          <w:r>
            <w:rPr>
              <w:rFonts w:ascii="楷体" w:hAnsi="楷体" w:eastAsia="楷体"/>
              <w:sz w:val="32"/>
              <w:szCs w:val="32"/>
            </w:rPr>
            <w:fldChar w:fldCharType="separate"/>
          </w:r>
          <w:r>
            <w:rPr>
              <w:rFonts w:ascii="Times New Roman" w:hAnsi="Times New Roman" w:eastAsia="楷体"/>
              <w:sz w:val="32"/>
              <w:szCs w:val="32"/>
            </w:rPr>
            <w:t>1</w:t>
          </w:r>
          <w:r>
            <w:rPr>
              <w:rFonts w:ascii="楷体" w:hAnsi="楷体" w:eastAsia="楷体"/>
              <w:sz w:val="32"/>
              <w:szCs w:val="32"/>
            </w:rPr>
            <w:fldChar w:fldCharType="end"/>
          </w:r>
          <w:r>
            <w:rPr>
              <w:rFonts w:ascii="楷体" w:hAnsi="楷体" w:eastAsia="楷体"/>
              <w:sz w:val="32"/>
              <w:szCs w:val="32"/>
            </w:rPr>
            <w:fldChar w:fldCharType="end"/>
          </w:r>
        </w:p>
        <w:p w14:paraId="78C4B96E">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"_Toc229039145"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3</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适用范围</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_Toc229039145 \h </w:instrText>
          </w:r>
          <w:r>
            <w:rPr>
              <w:rFonts w:ascii="楷体" w:hAnsi="楷体" w:eastAsia="楷体"/>
              <w:sz w:val="32"/>
              <w:szCs w:val="32"/>
            </w:rPr>
            <w:fldChar w:fldCharType="separate"/>
          </w:r>
          <w:r>
            <w:rPr>
              <w:rFonts w:ascii="Times New Roman" w:hAnsi="Times New Roman" w:eastAsia="楷体"/>
              <w:sz w:val="32"/>
              <w:szCs w:val="32"/>
            </w:rPr>
            <w:t>2</w:t>
          </w:r>
          <w:r>
            <w:rPr>
              <w:rFonts w:ascii="楷体" w:hAnsi="楷体" w:eastAsia="楷体"/>
              <w:sz w:val="32"/>
              <w:szCs w:val="32"/>
            </w:rPr>
            <w:fldChar w:fldCharType="end"/>
          </w:r>
          <w:r>
            <w:rPr>
              <w:rFonts w:ascii="楷体" w:hAnsi="楷体" w:eastAsia="楷体"/>
              <w:sz w:val="32"/>
              <w:szCs w:val="32"/>
            </w:rPr>
            <w:fldChar w:fldCharType="end"/>
          </w:r>
        </w:p>
        <w:p w14:paraId="556CA997">
          <w:pPr>
            <w:pStyle w:val="10"/>
            <w:tabs>
              <w:tab w:val="right" w:leader="dot" w:pos="8296"/>
            </w:tabs>
            <w:spacing w:beforeLines="0" w:afterLines="0" w:line="560" w:lineRule="exact"/>
            <w:rPr>
              <w:rFonts w:ascii="楷体" w:hAnsi="楷体" w:eastAsia="楷体" w:cstheme="minorBidi"/>
              <w:kern w:val="2"/>
              <w:sz w:val="32"/>
              <w:szCs w:val="32"/>
            </w:rPr>
          </w:pPr>
          <w:r>
            <w:fldChar w:fldCharType="begin"/>
          </w:r>
          <w:r>
            <w:instrText xml:space="preserve"> HYPERLINK \l "_Toc229039146" </w:instrText>
          </w:r>
          <w:r>
            <w:fldChar w:fldCharType="separate"/>
          </w:r>
          <w:r>
            <w:rPr>
              <w:rStyle w:val="18"/>
              <w:rFonts w:hint="eastAsia" w:ascii="黑体" w:hAnsi="黑体" w:eastAsia="黑体" w:cs="宋体"/>
              <w:sz w:val="32"/>
              <w:szCs w:val="32"/>
            </w:rPr>
            <w:t>第二章 底线管控</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_Toc229039146 \h </w:instrText>
          </w:r>
          <w:r>
            <w:rPr>
              <w:rFonts w:ascii="楷体" w:hAnsi="楷体" w:eastAsia="楷体"/>
              <w:sz w:val="32"/>
              <w:szCs w:val="32"/>
            </w:rPr>
            <w:fldChar w:fldCharType="separate"/>
          </w:r>
          <w:r>
            <w:rPr>
              <w:rFonts w:ascii="Times New Roman" w:hAnsi="Times New Roman" w:eastAsia="楷体"/>
              <w:sz w:val="32"/>
              <w:szCs w:val="32"/>
            </w:rPr>
            <w:t>3</w:t>
          </w:r>
          <w:r>
            <w:rPr>
              <w:rFonts w:ascii="楷体" w:hAnsi="楷体" w:eastAsia="楷体"/>
              <w:sz w:val="32"/>
              <w:szCs w:val="32"/>
            </w:rPr>
            <w:fldChar w:fldCharType="end"/>
          </w:r>
          <w:r>
            <w:rPr>
              <w:rFonts w:ascii="楷体" w:hAnsi="楷体" w:eastAsia="楷体"/>
              <w:sz w:val="32"/>
              <w:szCs w:val="32"/>
            </w:rPr>
            <w:fldChar w:fldCharType="end"/>
          </w:r>
        </w:p>
        <w:p w14:paraId="1BE41D34">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"_Toc229039147"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4</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耕地和永久基本农田保护红线</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_Toc229039147 \h </w:instrText>
          </w:r>
          <w:r>
            <w:rPr>
              <w:rFonts w:ascii="楷体" w:hAnsi="楷体" w:eastAsia="楷体"/>
              <w:sz w:val="32"/>
              <w:szCs w:val="32"/>
            </w:rPr>
            <w:fldChar w:fldCharType="separate"/>
          </w:r>
          <w:r>
            <w:rPr>
              <w:rFonts w:ascii="Times New Roman" w:hAnsi="Times New Roman" w:eastAsia="楷体"/>
              <w:sz w:val="32"/>
              <w:szCs w:val="32"/>
            </w:rPr>
            <w:t>3</w:t>
          </w:r>
          <w:r>
            <w:rPr>
              <w:rFonts w:ascii="楷体" w:hAnsi="楷体" w:eastAsia="楷体"/>
              <w:sz w:val="32"/>
              <w:szCs w:val="32"/>
            </w:rPr>
            <w:fldChar w:fldCharType="end"/>
          </w:r>
          <w:r>
            <w:rPr>
              <w:rFonts w:ascii="楷体" w:hAnsi="楷体" w:eastAsia="楷体"/>
              <w:sz w:val="32"/>
              <w:szCs w:val="32"/>
            </w:rPr>
            <w:fldChar w:fldCharType="end"/>
          </w:r>
        </w:p>
        <w:p w14:paraId="029FA3EE">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"_Toc229039148"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5</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生态保护红线</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_Toc229039148 \h </w:instrText>
          </w:r>
          <w:r>
            <w:rPr>
              <w:rFonts w:ascii="楷体" w:hAnsi="楷体" w:eastAsia="楷体"/>
              <w:sz w:val="32"/>
              <w:szCs w:val="32"/>
            </w:rPr>
            <w:fldChar w:fldCharType="separate"/>
          </w:r>
          <w:r>
            <w:rPr>
              <w:rFonts w:ascii="Times New Roman" w:hAnsi="Times New Roman" w:eastAsia="楷体"/>
              <w:sz w:val="32"/>
              <w:szCs w:val="32"/>
            </w:rPr>
            <w:t>3</w:t>
          </w:r>
          <w:r>
            <w:rPr>
              <w:rFonts w:ascii="楷体" w:hAnsi="楷体" w:eastAsia="楷体"/>
              <w:sz w:val="32"/>
              <w:szCs w:val="32"/>
            </w:rPr>
            <w:fldChar w:fldCharType="end"/>
          </w:r>
          <w:r>
            <w:rPr>
              <w:rFonts w:ascii="楷体" w:hAnsi="楷体" w:eastAsia="楷体"/>
              <w:sz w:val="32"/>
              <w:szCs w:val="32"/>
            </w:rPr>
            <w:fldChar w:fldCharType="end"/>
          </w:r>
        </w:p>
        <w:p w14:paraId="5F88014A">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"_Toc229039149"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6</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历史文化保护线</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_Toc229039149 \h </w:instrText>
          </w:r>
          <w:r>
            <w:rPr>
              <w:rFonts w:ascii="楷体" w:hAnsi="楷体" w:eastAsia="楷体"/>
              <w:sz w:val="32"/>
              <w:szCs w:val="32"/>
            </w:rPr>
            <w:fldChar w:fldCharType="separate"/>
          </w:r>
          <w:r>
            <w:rPr>
              <w:rFonts w:ascii="Times New Roman" w:hAnsi="Times New Roman" w:eastAsia="楷体"/>
              <w:sz w:val="32"/>
              <w:szCs w:val="32"/>
            </w:rPr>
            <w:t>3</w:t>
          </w:r>
          <w:r>
            <w:rPr>
              <w:rFonts w:ascii="楷体" w:hAnsi="楷体" w:eastAsia="楷体"/>
              <w:sz w:val="32"/>
              <w:szCs w:val="32"/>
            </w:rPr>
            <w:fldChar w:fldCharType="end"/>
          </w:r>
          <w:r>
            <w:rPr>
              <w:rFonts w:ascii="楷体" w:hAnsi="楷体" w:eastAsia="楷体"/>
              <w:sz w:val="32"/>
              <w:szCs w:val="32"/>
            </w:rPr>
            <w:fldChar w:fldCharType="end"/>
          </w:r>
        </w:p>
        <w:p w14:paraId="6EB48C83">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"_Toc229039150"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7</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洪涝风险控制线</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_Toc229039150 \h </w:instrText>
          </w:r>
          <w:r>
            <w:rPr>
              <w:rFonts w:ascii="楷体" w:hAnsi="楷体" w:eastAsia="楷体"/>
              <w:sz w:val="32"/>
              <w:szCs w:val="32"/>
            </w:rPr>
            <w:fldChar w:fldCharType="separate"/>
          </w:r>
          <w:r>
            <w:rPr>
              <w:rFonts w:ascii="Times New Roman" w:hAnsi="Times New Roman" w:eastAsia="楷体"/>
              <w:sz w:val="32"/>
              <w:szCs w:val="32"/>
            </w:rPr>
            <w:t>4</w:t>
          </w:r>
          <w:r>
            <w:rPr>
              <w:rFonts w:ascii="楷体" w:hAnsi="楷体" w:eastAsia="楷体"/>
              <w:sz w:val="32"/>
              <w:szCs w:val="32"/>
            </w:rPr>
            <w:fldChar w:fldCharType="end"/>
          </w:r>
          <w:r>
            <w:rPr>
              <w:rFonts w:ascii="楷体" w:hAnsi="楷体" w:eastAsia="楷体"/>
              <w:sz w:val="32"/>
              <w:szCs w:val="32"/>
            </w:rPr>
            <w:fldChar w:fldCharType="end"/>
          </w:r>
        </w:p>
        <w:p w14:paraId="4C82557E">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"_Toc229039151"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8</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化工产业空间安全控制线</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_Toc229039151 \h </w:instrText>
          </w:r>
          <w:r>
            <w:rPr>
              <w:rFonts w:ascii="楷体" w:hAnsi="楷体" w:eastAsia="楷体"/>
              <w:sz w:val="32"/>
              <w:szCs w:val="32"/>
            </w:rPr>
            <w:fldChar w:fldCharType="separate"/>
          </w:r>
          <w:r>
            <w:rPr>
              <w:rFonts w:ascii="Times New Roman" w:hAnsi="Times New Roman" w:eastAsia="楷体"/>
              <w:sz w:val="32"/>
              <w:szCs w:val="32"/>
            </w:rPr>
            <w:t>5</w:t>
          </w:r>
          <w:r>
            <w:rPr>
              <w:rFonts w:ascii="楷体" w:hAnsi="楷体" w:eastAsia="楷体"/>
              <w:sz w:val="32"/>
              <w:szCs w:val="32"/>
            </w:rPr>
            <w:fldChar w:fldCharType="end"/>
          </w:r>
          <w:r>
            <w:rPr>
              <w:rFonts w:ascii="楷体" w:hAnsi="楷体" w:eastAsia="楷体"/>
              <w:sz w:val="32"/>
              <w:szCs w:val="32"/>
            </w:rPr>
            <w:fldChar w:fldCharType="end"/>
          </w:r>
        </w:p>
        <w:p w14:paraId="5D704A55">
          <w:pPr>
            <w:pStyle w:val="7"/>
            <w:tabs>
              <w:tab w:val="left" w:pos="177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"_Toc229039152"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9</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其他管控要求</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_Toc229039152 \h </w:instrText>
          </w:r>
          <w:r>
            <w:rPr>
              <w:rFonts w:ascii="楷体" w:hAnsi="楷体" w:eastAsia="楷体"/>
              <w:sz w:val="32"/>
              <w:szCs w:val="32"/>
            </w:rPr>
            <w:fldChar w:fldCharType="separate"/>
          </w:r>
          <w:r>
            <w:rPr>
              <w:rFonts w:ascii="Times New Roman" w:hAnsi="Times New Roman" w:eastAsia="楷体"/>
              <w:sz w:val="32"/>
              <w:szCs w:val="32"/>
            </w:rPr>
            <w:t>6</w:t>
          </w:r>
          <w:r>
            <w:rPr>
              <w:rFonts w:ascii="楷体" w:hAnsi="楷体" w:eastAsia="楷体"/>
              <w:sz w:val="32"/>
              <w:szCs w:val="32"/>
            </w:rPr>
            <w:fldChar w:fldCharType="end"/>
          </w:r>
          <w:r>
            <w:rPr>
              <w:rFonts w:ascii="楷体" w:hAnsi="楷体" w:eastAsia="楷体"/>
              <w:sz w:val="32"/>
              <w:szCs w:val="32"/>
            </w:rPr>
            <w:fldChar w:fldCharType="end"/>
          </w:r>
        </w:p>
        <w:p w14:paraId="7A798E75">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"_Toc229039153"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10</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重大建设项目</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_Toc229039153 \h </w:instrText>
          </w:r>
          <w:r>
            <w:rPr>
              <w:rFonts w:ascii="楷体" w:hAnsi="楷体" w:eastAsia="楷体"/>
              <w:sz w:val="32"/>
              <w:szCs w:val="32"/>
            </w:rPr>
            <w:fldChar w:fldCharType="separate"/>
          </w:r>
          <w:r>
            <w:rPr>
              <w:rFonts w:ascii="Times New Roman" w:hAnsi="Times New Roman" w:eastAsia="楷体"/>
              <w:sz w:val="32"/>
              <w:szCs w:val="32"/>
            </w:rPr>
            <w:t>6</w:t>
          </w:r>
          <w:r>
            <w:rPr>
              <w:rFonts w:ascii="楷体" w:hAnsi="楷体" w:eastAsia="楷体"/>
              <w:sz w:val="32"/>
              <w:szCs w:val="32"/>
            </w:rPr>
            <w:fldChar w:fldCharType="end"/>
          </w:r>
          <w:r>
            <w:rPr>
              <w:rFonts w:ascii="楷体" w:hAnsi="楷体" w:eastAsia="楷体"/>
              <w:sz w:val="32"/>
              <w:szCs w:val="32"/>
            </w:rPr>
            <w:fldChar w:fldCharType="end"/>
          </w:r>
        </w:p>
        <w:p w14:paraId="5047803A">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"_Toc229039154"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11</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负面清单管控</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_Toc229039154 \h </w:instrText>
          </w:r>
          <w:r>
            <w:rPr>
              <w:rFonts w:ascii="楷体" w:hAnsi="楷体" w:eastAsia="楷体"/>
              <w:sz w:val="32"/>
              <w:szCs w:val="32"/>
            </w:rPr>
            <w:fldChar w:fldCharType="separate"/>
          </w:r>
          <w:r>
            <w:rPr>
              <w:rFonts w:ascii="Times New Roman" w:hAnsi="Times New Roman" w:eastAsia="楷体"/>
              <w:sz w:val="32"/>
              <w:szCs w:val="32"/>
            </w:rPr>
            <w:t>6</w:t>
          </w:r>
          <w:r>
            <w:rPr>
              <w:rFonts w:ascii="楷体" w:hAnsi="楷体" w:eastAsia="楷体"/>
              <w:sz w:val="32"/>
              <w:szCs w:val="32"/>
            </w:rPr>
            <w:fldChar w:fldCharType="end"/>
          </w:r>
          <w:r>
            <w:rPr>
              <w:rFonts w:ascii="楷体" w:hAnsi="楷体" w:eastAsia="楷体"/>
              <w:sz w:val="32"/>
              <w:szCs w:val="32"/>
            </w:rPr>
            <w:fldChar w:fldCharType="end"/>
          </w:r>
        </w:p>
        <w:p w14:paraId="792BDB67">
          <w:pPr>
            <w:pStyle w:val="10"/>
            <w:tabs>
              <w:tab w:val="right" w:leader="dot" w:pos="8296"/>
            </w:tabs>
            <w:spacing w:beforeLines="0" w:afterLines="0" w:line="560" w:lineRule="exact"/>
            <w:rPr>
              <w:rFonts w:ascii="楷体" w:hAnsi="楷体" w:eastAsia="楷体" w:cstheme="minorBidi"/>
              <w:kern w:val="2"/>
              <w:sz w:val="32"/>
              <w:szCs w:val="32"/>
            </w:rPr>
          </w:pPr>
          <w:r>
            <w:fldChar w:fldCharType="begin"/>
          </w:r>
          <w:r>
            <w:instrText xml:space="preserve"> HYPERLINK \l "_Toc229039155" </w:instrText>
          </w:r>
          <w:r>
            <w:fldChar w:fldCharType="separate"/>
          </w:r>
          <w:r>
            <w:rPr>
              <w:rStyle w:val="18"/>
              <w:rFonts w:hint="eastAsia" w:ascii="黑体" w:hAnsi="黑体" w:eastAsia="黑体" w:cs="宋体"/>
              <w:sz w:val="32"/>
              <w:szCs w:val="32"/>
            </w:rPr>
            <w:t>第三章 规划管控指引</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_Toc229039155 \h </w:instrText>
          </w:r>
          <w:r>
            <w:rPr>
              <w:rFonts w:ascii="楷体" w:hAnsi="楷体" w:eastAsia="楷体"/>
              <w:sz w:val="32"/>
              <w:szCs w:val="32"/>
            </w:rPr>
            <w:fldChar w:fldCharType="separate"/>
          </w:r>
          <w:r>
            <w:rPr>
              <w:rFonts w:ascii="Times New Roman" w:hAnsi="Times New Roman" w:eastAsia="楷体"/>
              <w:sz w:val="32"/>
              <w:szCs w:val="32"/>
            </w:rPr>
            <w:t>7</w:t>
          </w:r>
          <w:r>
            <w:rPr>
              <w:rFonts w:ascii="楷体" w:hAnsi="楷体" w:eastAsia="楷体"/>
              <w:sz w:val="32"/>
              <w:szCs w:val="32"/>
            </w:rPr>
            <w:fldChar w:fldCharType="end"/>
          </w:r>
          <w:r>
            <w:rPr>
              <w:rFonts w:ascii="楷体" w:hAnsi="楷体" w:eastAsia="楷体"/>
              <w:sz w:val="32"/>
              <w:szCs w:val="32"/>
            </w:rPr>
            <w:fldChar w:fldCharType="end"/>
          </w:r>
        </w:p>
        <w:p w14:paraId="0BB61817">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"_Toc229039156"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12</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村庄建设边界</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_Toc229039156 \h </w:instrText>
          </w:r>
          <w:r>
            <w:rPr>
              <w:rFonts w:ascii="楷体" w:hAnsi="楷体" w:eastAsia="楷体"/>
              <w:sz w:val="32"/>
              <w:szCs w:val="32"/>
            </w:rPr>
            <w:fldChar w:fldCharType="separate"/>
          </w:r>
          <w:r>
            <w:rPr>
              <w:rFonts w:ascii="Times New Roman" w:hAnsi="Times New Roman" w:eastAsia="楷体"/>
              <w:sz w:val="32"/>
              <w:szCs w:val="32"/>
            </w:rPr>
            <w:t>7</w:t>
          </w:r>
          <w:r>
            <w:rPr>
              <w:rFonts w:ascii="楷体" w:hAnsi="楷体" w:eastAsia="楷体"/>
              <w:sz w:val="32"/>
              <w:szCs w:val="32"/>
            </w:rPr>
            <w:fldChar w:fldCharType="end"/>
          </w:r>
          <w:r>
            <w:rPr>
              <w:rFonts w:ascii="楷体" w:hAnsi="楷体" w:eastAsia="楷体"/>
              <w:sz w:val="32"/>
              <w:szCs w:val="32"/>
            </w:rPr>
            <w:fldChar w:fldCharType="end"/>
          </w:r>
        </w:p>
        <w:p w14:paraId="3AA85757">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"_Toc229039157"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13</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通用选址要求</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_Toc229039157 \h </w:instrText>
          </w:r>
          <w:r>
            <w:rPr>
              <w:rFonts w:ascii="楷体" w:hAnsi="楷体" w:eastAsia="楷体"/>
              <w:sz w:val="32"/>
              <w:szCs w:val="32"/>
            </w:rPr>
            <w:fldChar w:fldCharType="separate"/>
          </w:r>
          <w:r>
            <w:rPr>
              <w:rFonts w:ascii="Times New Roman" w:hAnsi="Times New Roman" w:eastAsia="楷体"/>
              <w:sz w:val="32"/>
              <w:szCs w:val="32"/>
            </w:rPr>
            <w:t>7</w:t>
          </w:r>
          <w:r>
            <w:rPr>
              <w:rFonts w:ascii="楷体" w:hAnsi="楷体" w:eastAsia="楷体"/>
              <w:sz w:val="32"/>
              <w:szCs w:val="32"/>
            </w:rPr>
            <w:fldChar w:fldCharType="end"/>
          </w:r>
          <w:r>
            <w:rPr>
              <w:rFonts w:ascii="楷体" w:hAnsi="楷体" w:eastAsia="楷体"/>
              <w:sz w:val="32"/>
              <w:szCs w:val="32"/>
            </w:rPr>
            <w:fldChar w:fldCharType="end"/>
          </w:r>
        </w:p>
        <w:p w14:paraId="4EBBC5D7">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"_Toc229039158"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14</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农村宅基地</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_Toc229039158 \h </w:instrText>
          </w:r>
          <w:r>
            <w:rPr>
              <w:rFonts w:ascii="楷体" w:hAnsi="楷体" w:eastAsia="楷体"/>
              <w:sz w:val="32"/>
              <w:szCs w:val="32"/>
            </w:rPr>
            <w:fldChar w:fldCharType="separate"/>
          </w:r>
          <w:r>
            <w:rPr>
              <w:rFonts w:ascii="Times New Roman" w:hAnsi="Times New Roman" w:eastAsia="楷体"/>
              <w:sz w:val="32"/>
              <w:szCs w:val="32"/>
            </w:rPr>
            <w:t>8</w:t>
          </w:r>
          <w:r>
            <w:rPr>
              <w:rFonts w:ascii="楷体" w:hAnsi="楷体" w:eastAsia="楷体"/>
              <w:sz w:val="32"/>
              <w:szCs w:val="32"/>
            </w:rPr>
            <w:fldChar w:fldCharType="end"/>
          </w:r>
          <w:r>
            <w:rPr>
              <w:rFonts w:ascii="楷体" w:hAnsi="楷体" w:eastAsia="楷体"/>
              <w:sz w:val="32"/>
              <w:szCs w:val="32"/>
            </w:rPr>
            <w:fldChar w:fldCharType="end"/>
          </w:r>
        </w:p>
        <w:p w14:paraId="1B03701B">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"_Toc229039159"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15</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公共服务类</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_Toc229039159 \h </w:instrText>
          </w:r>
          <w:r>
            <w:rPr>
              <w:rFonts w:ascii="楷体" w:hAnsi="楷体" w:eastAsia="楷体"/>
              <w:sz w:val="32"/>
              <w:szCs w:val="32"/>
            </w:rPr>
            <w:fldChar w:fldCharType="separate"/>
          </w:r>
          <w:r>
            <w:rPr>
              <w:rFonts w:ascii="Times New Roman" w:hAnsi="Times New Roman" w:eastAsia="楷体"/>
              <w:sz w:val="32"/>
              <w:szCs w:val="32"/>
            </w:rPr>
            <w:t>8</w:t>
          </w:r>
          <w:r>
            <w:rPr>
              <w:rFonts w:ascii="楷体" w:hAnsi="楷体" w:eastAsia="楷体"/>
              <w:sz w:val="32"/>
              <w:szCs w:val="32"/>
            </w:rPr>
            <w:fldChar w:fldCharType="end"/>
          </w:r>
          <w:r>
            <w:rPr>
              <w:rFonts w:ascii="楷体" w:hAnsi="楷体" w:eastAsia="楷体"/>
              <w:sz w:val="32"/>
              <w:szCs w:val="32"/>
            </w:rPr>
            <w:fldChar w:fldCharType="end"/>
          </w:r>
        </w:p>
        <w:p w14:paraId="120DB5C6">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"_Toc229039160"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16</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公用设施类</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_Toc229039160 \h </w:instrText>
          </w:r>
          <w:r>
            <w:rPr>
              <w:rFonts w:ascii="楷体" w:hAnsi="楷体" w:eastAsia="楷体"/>
              <w:sz w:val="32"/>
              <w:szCs w:val="32"/>
            </w:rPr>
            <w:fldChar w:fldCharType="separate"/>
          </w:r>
          <w:r>
            <w:rPr>
              <w:rFonts w:ascii="Times New Roman" w:hAnsi="Times New Roman" w:eastAsia="楷体"/>
              <w:sz w:val="32"/>
              <w:szCs w:val="32"/>
            </w:rPr>
            <w:t>9</w:t>
          </w:r>
          <w:r>
            <w:rPr>
              <w:rFonts w:ascii="楷体" w:hAnsi="楷体" w:eastAsia="楷体"/>
              <w:sz w:val="32"/>
              <w:szCs w:val="32"/>
            </w:rPr>
            <w:fldChar w:fldCharType="end"/>
          </w:r>
          <w:r>
            <w:rPr>
              <w:rFonts w:ascii="楷体" w:hAnsi="楷体" w:eastAsia="楷体"/>
              <w:sz w:val="32"/>
              <w:szCs w:val="32"/>
            </w:rPr>
            <w:fldChar w:fldCharType="end"/>
          </w:r>
        </w:p>
        <w:p w14:paraId="54978BB6">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"_Toc229039161"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17</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产业项目类</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_Toc229039161 \h </w:instrText>
          </w:r>
          <w:r>
            <w:rPr>
              <w:rFonts w:ascii="楷体" w:hAnsi="楷体" w:eastAsia="楷体"/>
              <w:sz w:val="32"/>
              <w:szCs w:val="32"/>
            </w:rPr>
            <w:fldChar w:fldCharType="separate"/>
          </w:r>
          <w:r>
            <w:rPr>
              <w:rFonts w:ascii="Times New Roman" w:hAnsi="Times New Roman" w:eastAsia="楷体"/>
              <w:sz w:val="32"/>
              <w:szCs w:val="32"/>
            </w:rPr>
            <w:t>9</w:t>
          </w:r>
          <w:r>
            <w:rPr>
              <w:rFonts w:ascii="楷体" w:hAnsi="楷体" w:eastAsia="楷体"/>
              <w:sz w:val="32"/>
              <w:szCs w:val="32"/>
            </w:rPr>
            <w:fldChar w:fldCharType="end"/>
          </w:r>
          <w:r>
            <w:rPr>
              <w:rFonts w:ascii="楷体" w:hAnsi="楷体" w:eastAsia="楷体"/>
              <w:sz w:val="32"/>
              <w:szCs w:val="32"/>
            </w:rPr>
            <w:fldChar w:fldCharType="end"/>
          </w:r>
        </w:p>
        <w:p w14:paraId="146C288E">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"_Toc229039162"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18</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特殊用地</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_Toc229039162 \h </w:instrText>
          </w:r>
          <w:r>
            <w:rPr>
              <w:rFonts w:ascii="楷体" w:hAnsi="楷体" w:eastAsia="楷体"/>
              <w:sz w:val="32"/>
              <w:szCs w:val="32"/>
            </w:rPr>
            <w:fldChar w:fldCharType="separate"/>
          </w:r>
          <w:r>
            <w:rPr>
              <w:rFonts w:ascii="Times New Roman" w:hAnsi="Times New Roman" w:eastAsia="楷体"/>
              <w:sz w:val="32"/>
              <w:szCs w:val="32"/>
            </w:rPr>
            <w:t>10</w:t>
          </w:r>
          <w:r>
            <w:rPr>
              <w:rFonts w:ascii="楷体" w:hAnsi="楷体" w:eastAsia="楷体"/>
              <w:sz w:val="32"/>
              <w:szCs w:val="32"/>
            </w:rPr>
            <w:fldChar w:fldCharType="end"/>
          </w:r>
          <w:r>
            <w:rPr>
              <w:rFonts w:ascii="楷体" w:hAnsi="楷体" w:eastAsia="楷体"/>
              <w:sz w:val="32"/>
              <w:szCs w:val="32"/>
            </w:rPr>
            <w:fldChar w:fldCharType="end"/>
          </w:r>
        </w:p>
        <w:p w14:paraId="1A0064ED">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"_Toc229039163"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19</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历史文化保护</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_Toc229039163 \h </w:instrText>
          </w:r>
          <w:r>
            <w:rPr>
              <w:rFonts w:ascii="楷体" w:hAnsi="楷体" w:eastAsia="楷体"/>
              <w:sz w:val="32"/>
              <w:szCs w:val="32"/>
            </w:rPr>
            <w:fldChar w:fldCharType="separate"/>
          </w:r>
          <w:r>
            <w:rPr>
              <w:rFonts w:ascii="Times New Roman" w:hAnsi="Times New Roman" w:eastAsia="楷体"/>
              <w:sz w:val="32"/>
              <w:szCs w:val="32"/>
            </w:rPr>
            <w:t>10</w:t>
          </w:r>
          <w:r>
            <w:rPr>
              <w:rFonts w:ascii="楷体" w:hAnsi="楷体" w:eastAsia="楷体"/>
              <w:sz w:val="32"/>
              <w:szCs w:val="32"/>
            </w:rPr>
            <w:fldChar w:fldCharType="end"/>
          </w:r>
          <w:r>
            <w:rPr>
              <w:rFonts w:ascii="楷体" w:hAnsi="楷体" w:eastAsia="楷体"/>
              <w:sz w:val="32"/>
              <w:szCs w:val="32"/>
            </w:rPr>
            <w:fldChar w:fldCharType="end"/>
          </w:r>
        </w:p>
        <w:p w14:paraId="14CE1FC8">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"_Toc229039164"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20</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地块控制</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_Toc229039164 \h </w:instrText>
          </w:r>
          <w:r>
            <w:rPr>
              <w:rFonts w:ascii="楷体" w:hAnsi="楷体" w:eastAsia="楷体"/>
              <w:sz w:val="32"/>
              <w:szCs w:val="32"/>
            </w:rPr>
            <w:fldChar w:fldCharType="separate"/>
          </w:r>
          <w:r>
            <w:rPr>
              <w:rFonts w:ascii="Times New Roman" w:hAnsi="Times New Roman" w:eastAsia="楷体"/>
              <w:sz w:val="32"/>
              <w:szCs w:val="32"/>
            </w:rPr>
            <w:t>10</w:t>
          </w:r>
          <w:r>
            <w:rPr>
              <w:rFonts w:ascii="楷体" w:hAnsi="楷体" w:eastAsia="楷体"/>
              <w:sz w:val="32"/>
              <w:szCs w:val="32"/>
            </w:rPr>
            <w:fldChar w:fldCharType="end"/>
          </w:r>
          <w:r>
            <w:rPr>
              <w:rFonts w:ascii="楷体" w:hAnsi="楷体" w:eastAsia="楷体"/>
              <w:sz w:val="32"/>
              <w:szCs w:val="32"/>
            </w:rPr>
            <w:fldChar w:fldCharType="end"/>
          </w:r>
        </w:p>
        <w:p w14:paraId="4C542480">
          <w:pPr>
            <w:pStyle w:val="10"/>
            <w:tabs>
              <w:tab w:val="right" w:leader="dot" w:pos="8296"/>
            </w:tabs>
            <w:spacing w:beforeLines="0" w:afterLines="0" w:line="560" w:lineRule="exact"/>
            <w:rPr>
              <w:rFonts w:ascii="楷体" w:hAnsi="楷体" w:eastAsia="楷体" w:cstheme="minorBidi"/>
              <w:kern w:val="2"/>
              <w:sz w:val="32"/>
              <w:szCs w:val="32"/>
            </w:rPr>
          </w:pPr>
          <w:r>
            <w:fldChar w:fldCharType="begin"/>
          </w:r>
          <w:r>
            <w:instrText xml:space="preserve"> HYPERLINK \l "_Toc229039165" </w:instrText>
          </w:r>
          <w:r>
            <w:fldChar w:fldCharType="separate"/>
          </w:r>
          <w:r>
            <w:rPr>
              <w:rStyle w:val="18"/>
              <w:rFonts w:hint="eastAsia" w:ascii="黑体" w:hAnsi="黑体" w:eastAsia="黑体" w:cs="宋体"/>
              <w:sz w:val="32"/>
              <w:szCs w:val="32"/>
            </w:rPr>
            <w:t>第四章 其他条款</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_Toc229039165 \h </w:instrText>
          </w:r>
          <w:r>
            <w:rPr>
              <w:rFonts w:ascii="楷体" w:hAnsi="楷体" w:eastAsia="楷体"/>
              <w:sz w:val="32"/>
              <w:szCs w:val="32"/>
            </w:rPr>
            <w:fldChar w:fldCharType="separate"/>
          </w:r>
          <w:r>
            <w:rPr>
              <w:rFonts w:ascii="Times New Roman" w:hAnsi="Times New Roman" w:eastAsia="楷体"/>
              <w:sz w:val="32"/>
              <w:szCs w:val="32"/>
            </w:rPr>
            <w:t>12</w:t>
          </w:r>
          <w:r>
            <w:rPr>
              <w:rFonts w:ascii="楷体" w:hAnsi="楷体" w:eastAsia="楷体"/>
              <w:sz w:val="32"/>
              <w:szCs w:val="32"/>
            </w:rPr>
            <w:fldChar w:fldCharType="end"/>
          </w:r>
          <w:r>
            <w:rPr>
              <w:rFonts w:ascii="楷体" w:hAnsi="楷体" w:eastAsia="楷体"/>
              <w:sz w:val="32"/>
              <w:szCs w:val="32"/>
            </w:rPr>
            <w:fldChar w:fldCharType="end"/>
          </w:r>
        </w:p>
        <w:p w14:paraId="2A93287D">
          <w:pPr>
            <w:pStyle w:val="7"/>
            <w:tabs>
              <w:tab w:val="left" w:pos="1890"/>
              <w:tab w:val="right" w:leader="dot" w:pos="8296"/>
            </w:tabs>
            <w:spacing w:line="560" w:lineRule="exact"/>
            <w:ind w:left="0" w:leftChars="0" w:firstLine="480" w:firstLineChars="200"/>
            <w:rPr>
              <w:rFonts w:ascii="楷体" w:hAnsi="楷体" w:eastAsia="楷体" w:cstheme="minorBidi"/>
              <w:kern w:val="2"/>
              <w:sz w:val="32"/>
              <w:szCs w:val="32"/>
            </w:rPr>
          </w:pPr>
          <w:r>
            <w:fldChar w:fldCharType="begin"/>
          </w:r>
          <w:r>
            <w:instrText xml:space="preserve"> HYPERLINK \l "_Toc229039166" </w:instrText>
          </w:r>
          <w:r>
            <w:fldChar w:fldCharType="separate"/>
          </w:r>
          <w:r>
            <w:rPr>
              <w:rStyle w:val="18"/>
              <w:rFonts w:hint="eastAsia" w:ascii="楷体" w:hAnsi="楷体" w:eastAsia="楷体"/>
              <w:sz w:val="32"/>
              <w:szCs w:val="32"/>
            </w:rPr>
            <w:t>第</w:t>
          </w:r>
          <w:r>
            <w:rPr>
              <w:rStyle w:val="18"/>
              <w:rFonts w:ascii="Times New Roman" w:hAnsi="Times New Roman" w:eastAsia="楷体"/>
              <w:sz w:val="32"/>
              <w:szCs w:val="32"/>
            </w:rPr>
            <w:t>21</w:t>
          </w:r>
          <w:r>
            <w:rPr>
              <w:rStyle w:val="18"/>
              <w:rFonts w:hint="eastAsia" w:ascii="楷体" w:hAnsi="楷体" w:eastAsia="楷体"/>
              <w:sz w:val="32"/>
              <w:szCs w:val="32"/>
            </w:rPr>
            <w:t>条</w:t>
          </w:r>
          <w:r>
            <w:rPr>
              <w:rFonts w:ascii="楷体" w:hAnsi="楷体" w:eastAsia="楷体" w:cstheme="minorBidi"/>
              <w:kern w:val="2"/>
              <w:sz w:val="32"/>
              <w:szCs w:val="32"/>
            </w:rPr>
            <w:tab/>
          </w:r>
          <w:r>
            <w:rPr>
              <w:rStyle w:val="18"/>
              <w:rFonts w:hint="eastAsia" w:ascii="楷体" w:hAnsi="楷体" w:eastAsia="楷体"/>
              <w:sz w:val="32"/>
              <w:szCs w:val="32"/>
            </w:rPr>
            <w:t>规划调整</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_Toc229039166 \h </w:instrText>
          </w:r>
          <w:r>
            <w:rPr>
              <w:rFonts w:ascii="楷体" w:hAnsi="楷体" w:eastAsia="楷体"/>
              <w:sz w:val="32"/>
              <w:szCs w:val="32"/>
            </w:rPr>
            <w:fldChar w:fldCharType="separate"/>
          </w:r>
          <w:r>
            <w:rPr>
              <w:rFonts w:ascii="Times New Roman" w:hAnsi="Times New Roman" w:eastAsia="楷体"/>
              <w:sz w:val="32"/>
              <w:szCs w:val="32"/>
            </w:rPr>
            <w:t>12</w:t>
          </w:r>
          <w:r>
            <w:rPr>
              <w:rFonts w:ascii="楷体" w:hAnsi="楷体" w:eastAsia="楷体"/>
              <w:sz w:val="32"/>
              <w:szCs w:val="32"/>
            </w:rPr>
            <w:fldChar w:fldCharType="end"/>
          </w:r>
          <w:r>
            <w:rPr>
              <w:rFonts w:ascii="楷体" w:hAnsi="楷体" w:eastAsia="楷体"/>
              <w:sz w:val="32"/>
              <w:szCs w:val="32"/>
            </w:rPr>
            <w:fldChar w:fldCharType="end"/>
          </w:r>
        </w:p>
        <w:p w14:paraId="28CB47F0">
          <w:pPr>
            <w:pStyle w:val="10"/>
            <w:tabs>
              <w:tab w:val="right" w:leader="dot" w:pos="8296"/>
            </w:tabs>
            <w:spacing w:beforeLines="0" w:afterLines="0" w:line="560" w:lineRule="exact"/>
            <w:rPr>
              <w:rFonts w:ascii="楷体" w:hAnsi="楷体" w:eastAsia="楷体" w:cstheme="minorBidi"/>
              <w:kern w:val="2"/>
              <w:sz w:val="32"/>
              <w:szCs w:val="32"/>
            </w:rPr>
          </w:pPr>
          <w:r>
            <w:fldChar w:fldCharType="begin"/>
          </w:r>
          <w:r>
            <w:instrText xml:space="preserve"> HYPERLINK \l "_Toc229039167" </w:instrText>
          </w:r>
          <w:r>
            <w:fldChar w:fldCharType="separate"/>
          </w:r>
          <w:r>
            <w:rPr>
              <w:rStyle w:val="18"/>
              <w:rFonts w:hint="eastAsia" w:ascii="黑体" w:hAnsi="黑体" w:eastAsia="黑体" w:cs="宋体"/>
              <w:sz w:val="32"/>
              <w:szCs w:val="32"/>
            </w:rPr>
            <w:t>第五章 附则</w:t>
          </w:r>
          <w:r>
            <w:rPr>
              <w:rFonts w:ascii="楷体" w:hAnsi="楷体" w:eastAsia="楷体"/>
              <w:sz w:val="32"/>
              <w:szCs w:val="32"/>
            </w:rPr>
            <w:tab/>
          </w:r>
          <w:r>
            <w:rPr>
              <w:rFonts w:ascii="楷体" w:hAnsi="楷体" w:eastAsia="楷体"/>
              <w:sz w:val="32"/>
              <w:szCs w:val="32"/>
            </w:rPr>
            <w:fldChar w:fldCharType="begin"/>
          </w:r>
          <w:r>
            <w:rPr>
              <w:rFonts w:ascii="楷体" w:hAnsi="楷体" w:eastAsia="楷体"/>
              <w:sz w:val="32"/>
              <w:szCs w:val="32"/>
            </w:rPr>
            <w:instrText xml:space="preserve"> PAGEREF _Toc229039167 \h </w:instrText>
          </w:r>
          <w:r>
            <w:rPr>
              <w:rFonts w:ascii="楷体" w:hAnsi="楷体" w:eastAsia="楷体"/>
              <w:sz w:val="32"/>
              <w:szCs w:val="32"/>
            </w:rPr>
            <w:fldChar w:fldCharType="separate"/>
          </w:r>
          <w:r>
            <w:rPr>
              <w:rFonts w:ascii="Times New Roman" w:hAnsi="Times New Roman" w:eastAsia="楷体"/>
              <w:sz w:val="32"/>
              <w:szCs w:val="32"/>
            </w:rPr>
            <w:t>13</w:t>
          </w:r>
          <w:r>
            <w:rPr>
              <w:rFonts w:ascii="楷体" w:hAnsi="楷体" w:eastAsia="楷体"/>
              <w:sz w:val="32"/>
              <w:szCs w:val="32"/>
            </w:rPr>
            <w:fldChar w:fldCharType="end"/>
          </w:r>
          <w:r>
            <w:rPr>
              <w:rFonts w:ascii="楷体" w:hAnsi="楷体" w:eastAsia="楷体"/>
              <w:sz w:val="32"/>
              <w:szCs w:val="32"/>
            </w:rPr>
            <w:fldChar w:fldCharType="end"/>
          </w:r>
        </w:p>
        <w:p w14:paraId="663BDB17">
          <w:pPr>
            <w:spacing w:line="560" w:lineRule="exact"/>
            <w:ind w:firstLine="482" w:firstLineChars="200"/>
          </w:pPr>
          <w:r>
            <w:rPr>
              <w:b/>
              <w:bCs/>
              <w:lang w:val="zh-CN"/>
            </w:rPr>
            <w:fldChar w:fldCharType="end"/>
          </w:r>
        </w:p>
      </w:sdtContent>
    </w:sdt>
    <w:p w14:paraId="032170B9">
      <w:pPr>
        <w:jc w:val="center"/>
        <w:rPr>
          <w:rFonts w:ascii="仿宋_GB2312" w:hAnsi="仿宋_GB2312" w:eastAsia="仿宋_GB2312" w:cs="仿宋_GB2312"/>
          <w:sz w:val="32"/>
          <w:szCs w:val="32"/>
        </w:rPr>
      </w:pPr>
    </w:p>
    <w:p w14:paraId="272D2791">
      <w:pPr>
        <w:pStyle w:val="2"/>
      </w:pPr>
    </w:p>
    <w:p w14:paraId="01D4EA3B">
      <w:pPr>
        <w:pStyle w:val="2"/>
      </w:pPr>
    </w:p>
    <w:p w14:paraId="53F06FFA">
      <w:pPr>
        <w:pStyle w:val="2"/>
      </w:pPr>
    </w:p>
    <w:p w14:paraId="4DC278E4">
      <w:pPr>
        <w:pStyle w:val="2"/>
      </w:pPr>
    </w:p>
    <w:p w14:paraId="51DBE514">
      <w:pPr>
        <w:pStyle w:val="2"/>
      </w:pPr>
      <w:r>
        <w:br w:type="page"/>
      </w:r>
    </w:p>
    <w:p w14:paraId="6C274CA2">
      <w:pPr>
        <w:pStyle w:val="2"/>
        <w:sectPr>
          <w:footerReference r:id="rId3" w:type="default"/>
          <w:pgSz w:w="11906" w:h="16838"/>
          <w:pgMar w:top="1440" w:right="1800" w:bottom="1440" w:left="1800" w:header="851" w:footer="992" w:gutter="0"/>
          <w:pgNumType w:fmt="upperRoman" w:start="1"/>
          <w:cols w:space="425" w:num="1"/>
          <w:docGrid w:type="lines" w:linePitch="312" w:charSpace="0"/>
        </w:sectPr>
      </w:pPr>
    </w:p>
    <w:p w14:paraId="090325F8">
      <w:pPr>
        <w:pStyle w:val="3"/>
        <w:pageBreakBefore/>
        <w:widowControl w:val="0"/>
        <w:spacing w:beforeLines="300" w:beforeAutospacing="0" w:afterLines="150" w:afterAutospacing="0" w:line="560" w:lineRule="exact"/>
        <w:jc w:val="center"/>
        <w:rPr>
          <w:rFonts w:hint="default" w:ascii="方正小标宋简体" w:hAnsi="方正小标宋_GBK" w:eastAsia="方正小标宋简体" w:cs="宋体"/>
          <w:b w:val="0"/>
          <w:sz w:val="40"/>
          <w:szCs w:val="32"/>
        </w:rPr>
      </w:pPr>
      <w:bookmarkStart w:id="0" w:name="_Toc229039142"/>
      <w:bookmarkStart w:id="1" w:name="_Toc5628"/>
      <w:bookmarkStart w:id="2" w:name="_Toc228348595"/>
      <w:r>
        <w:rPr>
          <w:rFonts w:ascii="方正小标宋简体" w:hAnsi="方正小标宋_GBK" w:eastAsia="方正小标宋简体" w:cs="宋体"/>
          <w:b w:val="0"/>
          <w:sz w:val="40"/>
          <w:szCs w:val="32"/>
        </w:rPr>
        <w:t>第一章 总则</w:t>
      </w:r>
      <w:bookmarkEnd w:id="0"/>
      <w:bookmarkEnd w:id="1"/>
      <w:bookmarkEnd w:id="2"/>
    </w:p>
    <w:p w14:paraId="35A3EAC4">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3" w:name="_Toc229039143"/>
      <w:r>
        <w:rPr>
          <w:rFonts w:ascii="黑体" w:hAnsi="黑体" w:eastAsia="黑体"/>
          <w:b w:val="0"/>
          <w:sz w:val="32"/>
          <w:szCs w:val="32"/>
        </w:rPr>
        <w:t>编制目的</w:t>
      </w:r>
      <w:bookmarkEnd w:id="3"/>
    </w:p>
    <w:p w14:paraId="31F1C931">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为规范乡村规划管理，保障乡村地区建设，实现宁晋县乡村地区规划管理全覆盖，根据国家、省、市相关文件要求，结合宁晋县实际，制定本规定。</w:t>
      </w:r>
    </w:p>
    <w:p w14:paraId="039E7D69">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4" w:name="_Toc229039144"/>
      <w:r>
        <w:rPr>
          <w:rFonts w:ascii="黑体" w:hAnsi="黑体" w:eastAsia="黑体"/>
          <w:b w:val="0"/>
          <w:sz w:val="32"/>
          <w:szCs w:val="32"/>
        </w:rPr>
        <w:t>编制主要依据</w:t>
      </w:r>
      <w:bookmarkEnd w:id="4"/>
    </w:p>
    <w:p w14:paraId="7F6A436F">
      <w:pPr>
        <w:widowControl w:val="0"/>
        <w:spacing w:line="560" w:lineRule="exact"/>
        <w:ind w:firstLine="640" w:firstLineChars="200"/>
        <w:jc w:val="both"/>
        <w:rPr>
          <w:rFonts w:ascii="Times New Roman" w:hAnsi="Times New Roman" w:eastAsia="仿宋_GB2312" w:cstheme="minorBidi"/>
          <w:kern w:val="2"/>
          <w:sz w:val="32"/>
          <w:szCs w:val="22"/>
        </w:rPr>
      </w:pPr>
      <w:bookmarkStart w:id="5" w:name="OLE_LINK18"/>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.《中华人民共和国土地管理法》</w:t>
      </w:r>
    </w:p>
    <w:p w14:paraId="34B40C11">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2</w:t>
      </w:r>
      <w:r>
        <w:rPr>
          <w:rFonts w:hint="eastAsia" w:ascii="Times New Roman" w:hAnsi="Times New Roman" w:eastAsia="仿宋_GB2312" w:cstheme="minorBidi"/>
          <w:kern w:val="2"/>
          <w:sz w:val="32"/>
          <w:szCs w:val="22"/>
        </w:rPr>
        <w:t>.《中华人民共和国城乡规划法》</w:t>
      </w:r>
    </w:p>
    <w:p w14:paraId="36828F46">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.《中华人民共和国土地管理法实施条例》</w:t>
      </w:r>
    </w:p>
    <w:p w14:paraId="318BB99D">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4</w:t>
      </w:r>
      <w:r>
        <w:rPr>
          <w:rFonts w:hint="eastAsia" w:ascii="Times New Roman" w:hAnsi="Times New Roman" w:eastAsia="仿宋_GB2312" w:cstheme="minorBidi"/>
          <w:kern w:val="2"/>
          <w:sz w:val="32"/>
          <w:szCs w:val="22"/>
        </w:rPr>
        <w:t>.《河北省土地管理条例》</w:t>
      </w:r>
    </w:p>
    <w:p w14:paraId="502CE22B">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5</w:t>
      </w:r>
      <w:r>
        <w:rPr>
          <w:rFonts w:hint="eastAsia" w:ascii="Times New Roman" w:hAnsi="Times New Roman" w:eastAsia="仿宋_GB2312" w:cstheme="minorBidi"/>
          <w:kern w:val="2"/>
          <w:sz w:val="32"/>
          <w:szCs w:val="22"/>
        </w:rPr>
        <w:t>.《中共中央国务院关于建立国土空间规划体系并监督实施的若干意见》</w:t>
      </w:r>
    </w:p>
    <w:p w14:paraId="4A8E0C2D">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6</w:t>
      </w:r>
      <w:r>
        <w:rPr>
          <w:rFonts w:hint="eastAsia" w:ascii="Times New Roman" w:hAnsi="Times New Roman" w:eastAsia="仿宋_GB2312" w:cstheme="minorBidi"/>
          <w:kern w:val="2"/>
          <w:sz w:val="32"/>
          <w:szCs w:val="22"/>
        </w:rPr>
        <w:t>.《中共中央办公厅国务院办公厅关于在国土空间规划中统筹划定落实三条控制线的指导意见》</w:t>
      </w:r>
    </w:p>
    <w:p w14:paraId="58FD84BA">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7</w:t>
      </w:r>
      <w:r>
        <w:rPr>
          <w:rFonts w:hint="eastAsia" w:ascii="Times New Roman" w:hAnsi="Times New Roman" w:eastAsia="仿宋_GB2312" w:cstheme="minorBidi"/>
          <w:kern w:val="2"/>
          <w:sz w:val="32"/>
          <w:szCs w:val="22"/>
        </w:rPr>
        <w:t>. 《国土空间调查、规划、用途管制用地用海分类指南》</w:t>
      </w:r>
    </w:p>
    <w:p w14:paraId="37C52983">
      <w:pPr>
        <w:widowControl w:val="0"/>
        <w:spacing w:line="560" w:lineRule="exact"/>
        <w:ind w:firstLine="640" w:firstLineChars="200"/>
        <w:jc w:val="both"/>
        <w:rPr>
          <w:rFonts w:ascii="Times New Roman" w:hAnsi="Times New Roman" w:eastAsia="仿宋_GB2312"/>
          <w:kern w:val="2"/>
          <w:sz w:val="32"/>
          <w:szCs w:val="22"/>
        </w:rPr>
      </w:pPr>
      <w:r>
        <w:rPr>
          <w:rFonts w:ascii="Times New Roman" w:hAnsi="Times New Roman" w:eastAsia="仿宋_GB2312"/>
          <w:kern w:val="2"/>
          <w:sz w:val="32"/>
          <w:szCs w:val="22"/>
        </w:rPr>
        <w:t>8</w:t>
      </w:r>
      <w:r>
        <w:rPr>
          <w:rFonts w:hint="eastAsia" w:ascii="Times New Roman" w:hAnsi="Times New Roman" w:eastAsia="仿宋_GB2312"/>
          <w:kern w:val="2"/>
          <w:sz w:val="32"/>
          <w:szCs w:val="22"/>
        </w:rPr>
        <w:t>.《河北省国土空间总体规划动态维护工作指引》</w:t>
      </w:r>
    </w:p>
    <w:p w14:paraId="2A5B43B6">
      <w:pPr>
        <w:widowControl w:val="0"/>
        <w:spacing w:line="560" w:lineRule="exact"/>
        <w:ind w:firstLine="640" w:firstLineChars="200"/>
        <w:jc w:val="both"/>
        <w:rPr>
          <w:rFonts w:ascii="Times New Roman" w:hAnsi="Times New Roman" w:eastAsia="仿宋_GB2312"/>
          <w:kern w:val="2"/>
          <w:sz w:val="32"/>
          <w:szCs w:val="22"/>
        </w:rPr>
      </w:pPr>
      <w:r>
        <w:rPr>
          <w:rFonts w:ascii="Times New Roman" w:hAnsi="Times New Roman" w:eastAsia="仿宋_GB2312"/>
          <w:kern w:val="2"/>
          <w:sz w:val="32"/>
          <w:szCs w:val="22"/>
        </w:rPr>
        <w:t>9</w:t>
      </w:r>
      <w:r>
        <w:rPr>
          <w:rFonts w:hint="eastAsia" w:ascii="Times New Roman" w:hAnsi="Times New Roman" w:eastAsia="仿宋_GB2312"/>
          <w:kern w:val="2"/>
          <w:sz w:val="32"/>
          <w:szCs w:val="22"/>
        </w:rPr>
        <w:t>.《河北省农村宅基地管理办法》</w:t>
      </w:r>
    </w:p>
    <w:p w14:paraId="365E9D77">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10</w:t>
      </w:r>
      <w:r>
        <w:rPr>
          <w:rFonts w:hint="eastAsia" w:ascii="Times New Roman" w:hAnsi="Times New Roman" w:eastAsia="仿宋_GB2312" w:cstheme="minorBidi"/>
          <w:kern w:val="2"/>
          <w:sz w:val="32"/>
          <w:szCs w:val="22"/>
        </w:rPr>
        <w:t>. 河北省乡村地区“通则式”规划技术管理规定工作指引（试行）</w:t>
      </w:r>
    </w:p>
    <w:p w14:paraId="2B2F081D">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11</w:t>
      </w:r>
      <w:r>
        <w:rPr>
          <w:rFonts w:hint="eastAsia" w:ascii="Times New Roman" w:hAnsi="Times New Roman" w:eastAsia="仿宋_GB2312" w:cstheme="minorBidi"/>
          <w:kern w:val="2"/>
          <w:sz w:val="32"/>
          <w:szCs w:val="22"/>
        </w:rPr>
        <w:t>.《宁晋县国土空间总体规划（</w:t>
      </w:r>
      <w:r>
        <w:rPr>
          <w:rFonts w:ascii="Times New Roman" w:hAnsi="Times New Roman" w:eastAsia="仿宋_GB2312"/>
          <w:kern w:val="2"/>
          <w:sz w:val="32"/>
          <w:szCs w:val="22"/>
        </w:rPr>
        <w:t>2021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2035</w:t>
      </w:r>
      <w:r>
        <w:rPr>
          <w:rFonts w:hint="eastAsia" w:ascii="Times New Roman" w:hAnsi="Times New Roman" w:eastAsia="仿宋_GB2312" w:cstheme="minorBidi"/>
          <w:kern w:val="2"/>
          <w:sz w:val="32"/>
          <w:szCs w:val="22"/>
        </w:rPr>
        <w:t>年）》</w:t>
      </w:r>
    </w:p>
    <w:p w14:paraId="11E0833B">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12</w:t>
      </w:r>
      <w:r>
        <w:rPr>
          <w:rFonts w:hint="eastAsia" w:ascii="Times New Roman" w:hAnsi="Times New Roman" w:eastAsia="仿宋_GB2312" w:cstheme="minorBidi"/>
          <w:kern w:val="2"/>
          <w:sz w:val="32"/>
          <w:szCs w:val="22"/>
        </w:rPr>
        <w:t>. 宁晋县各乡镇国土空间总体规划</w:t>
      </w:r>
    </w:p>
    <w:p w14:paraId="0D1AC90C">
      <w:pPr>
        <w:widowControl w:val="0"/>
        <w:spacing w:line="560" w:lineRule="exact"/>
        <w:ind w:firstLine="640" w:firstLineChars="200"/>
        <w:jc w:val="both"/>
        <w:rPr>
          <w:rFonts w:ascii="Times New Roman" w:hAnsi="Times New Roman" w:eastAsia="仿宋_GB2312" w:cstheme="minorBidi"/>
          <w:kern w:val="2"/>
          <w:sz w:val="32"/>
          <w:szCs w:val="22"/>
        </w:rPr>
      </w:pPr>
      <w:r>
        <w:rPr>
          <w:rFonts w:ascii="Times New Roman" w:hAnsi="Times New Roman" w:eastAsia="仿宋_GB2312"/>
          <w:kern w:val="2"/>
          <w:sz w:val="32"/>
          <w:szCs w:val="22"/>
        </w:rPr>
        <w:t>13</w:t>
      </w:r>
      <w:r>
        <w:rPr>
          <w:rFonts w:hint="eastAsia" w:ascii="Times New Roman" w:hAnsi="Times New Roman" w:eastAsia="仿宋_GB2312" w:cstheme="minorBidi"/>
          <w:kern w:val="2"/>
          <w:sz w:val="32"/>
          <w:szCs w:val="22"/>
        </w:rPr>
        <w:t>. 国家、河北省其他相关法律法规和标准规范</w:t>
      </w:r>
    </w:p>
    <w:bookmarkEnd w:id="5"/>
    <w:p w14:paraId="195C7065">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6" w:name="_Toc229039145"/>
      <w:r>
        <w:rPr>
          <w:rFonts w:ascii="黑体" w:hAnsi="黑体" w:eastAsia="黑体"/>
          <w:b w:val="0"/>
          <w:sz w:val="32"/>
          <w:szCs w:val="32"/>
        </w:rPr>
        <w:t>适用范围</w:t>
      </w:r>
      <w:bookmarkEnd w:id="6"/>
    </w:p>
    <w:p w14:paraId="5E4A64F0">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本规定</w:t>
      </w:r>
      <w:r>
        <w:rPr>
          <w:rFonts w:ascii="Times New Roman" w:hAnsi="Times New Roman" w:eastAsia="仿宋_GB2312" w:cstheme="minorBidi"/>
          <w:kern w:val="2"/>
          <w:sz w:val="32"/>
          <w:szCs w:val="22"/>
        </w:rPr>
        <w:t>适用于</w:t>
      </w:r>
      <w:r>
        <w:rPr>
          <w:rFonts w:hint="eastAsia" w:ascii="Times New Roman" w:hAnsi="Times New Roman" w:eastAsia="仿宋_GB2312" w:cstheme="minorBidi"/>
          <w:kern w:val="2"/>
          <w:sz w:val="32"/>
          <w:szCs w:val="22"/>
        </w:rPr>
        <w:t>宁晋县管辖范围内，经评估无需编制村庄规划（详细规划）的村庄。国家和省、市另有规定的，从其规定。</w:t>
      </w:r>
    </w:p>
    <w:p w14:paraId="387C67D0">
      <w:pPr>
        <w:widowControl w:val="0"/>
        <w:spacing w:line="560" w:lineRule="exact"/>
        <w:ind w:firstLine="640" w:firstLineChars="200"/>
        <w:jc w:val="both"/>
        <w:rPr>
          <w:rFonts w:ascii="Times New Roman" w:hAnsi="Times New Roman" w:eastAsia="仿宋_GB2312" w:cstheme="minorBidi"/>
          <w:kern w:val="2"/>
          <w:sz w:val="32"/>
          <w:szCs w:val="22"/>
        </w:rPr>
      </w:pPr>
    </w:p>
    <w:p w14:paraId="75DE7429">
      <w:pPr>
        <w:pStyle w:val="2"/>
      </w:pPr>
    </w:p>
    <w:p w14:paraId="3946899F">
      <w:pPr>
        <w:pStyle w:val="2"/>
      </w:pPr>
    </w:p>
    <w:p w14:paraId="481443F5">
      <w:pPr>
        <w:pStyle w:val="2"/>
      </w:pPr>
    </w:p>
    <w:p w14:paraId="1C349289">
      <w:pPr>
        <w:pStyle w:val="2"/>
      </w:pPr>
    </w:p>
    <w:p w14:paraId="24E84A78">
      <w:pPr>
        <w:pStyle w:val="2"/>
      </w:pPr>
    </w:p>
    <w:p w14:paraId="41E723C5">
      <w:pPr>
        <w:pStyle w:val="2"/>
      </w:pPr>
    </w:p>
    <w:p w14:paraId="7C55C43D">
      <w:pPr>
        <w:pStyle w:val="2"/>
      </w:pPr>
    </w:p>
    <w:p w14:paraId="0E436BEC">
      <w:pPr>
        <w:pStyle w:val="2"/>
      </w:pPr>
    </w:p>
    <w:p w14:paraId="18CF027E">
      <w:pPr>
        <w:pStyle w:val="2"/>
      </w:pPr>
    </w:p>
    <w:p w14:paraId="30CBBF20">
      <w:pPr>
        <w:pStyle w:val="2"/>
      </w:pPr>
    </w:p>
    <w:p w14:paraId="23CAF15E">
      <w:pPr>
        <w:pStyle w:val="2"/>
      </w:pPr>
    </w:p>
    <w:p w14:paraId="5504A21A">
      <w:pPr>
        <w:pStyle w:val="2"/>
      </w:pPr>
    </w:p>
    <w:p w14:paraId="2EC2A918">
      <w:pPr>
        <w:pStyle w:val="2"/>
      </w:pPr>
    </w:p>
    <w:p w14:paraId="50CB814A">
      <w:pPr>
        <w:pStyle w:val="2"/>
      </w:pPr>
    </w:p>
    <w:p w14:paraId="7DDCA4D2">
      <w:pPr>
        <w:pStyle w:val="2"/>
      </w:pPr>
    </w:p>
    <w:p w14:paraId="271F2635">
      <w:pPr>
        <w:pStyle w:val="2"/>
      </w:pPr>
    </w:p>
    <w:p w14:paraId="414349AA">
      <w:pPr>
        <w:pStyle w:val="2"/>
      </w:pPr>
    </w:p>
    <w:p w14:paraId="12FEA7F0">
      <w:pPr>
        <w:pStyle w:val="2"/>
      </w:pPr>
    </w:p>
    <w:p w14:paraId="6C974B37">
      <w:pPr>
        <w:pStyle w:val="2"/>
      </w:pPr>
    </w:p>
    <w:p w14:paraId="751A1CD3">
      <w:pPr>
        <w:pStyle w:val="2"/>
      </w:pPr>
    </w:p>
    <w:p w14:paraId="4AF46B25">
      <w:pPr>
        <w:pStyle w:val="2"/>
      </w:pPr>
    </w:p>
    <w:p w14:paraId="1B2671B6">
      <w:pPr>
        <w:pStyle w:val="2"/>
      </w:pPr>
    </w:p>
    <w:p w14:paraId="7BBE18B0">
      <w:pPr>
        <w:pStyle w:val="2"/>
      </w:pPr>
    </w:p>
    <w:p w14:paraId="0E69C91D">
      <w:pPr>
        <w:pStyle w:val="2"/>
      </w:pPr>
    </w:p>
    <w:p w14:paraId="7ADC4619">
      <w:pPr>
        <w:pStyle w:val="2"/>
      </w:pPr>
    </w:p>
    <w:p w14:paraId="09572E2F">
      <w:pPr>
        <w:pStyle w:val="2"/>
      </w:pPr>
    </w:p>
    <w:p w14:paraId="21439366">
      <w:pPr>
        <w:pStyle w:val="2"/>
      </w:pPr>
    </w:p>
    <w:p w14:paraId="26F123BC">
      <w:pPr>
        <w:pStyle w:val="2"/>
      </w:pPr>
    </w:p>
    <w:p w14:paraId="38987A87">
      <w:pPr>
        <w:pStyle w:val="2"/>
      </w:pPr>
    </w:p>
    <w:p w14:paraId="6CC955B2">
      <w:pPr>
        <w:pStyle w:val="2"/>
      </w:pPr>
    </w:p>
    <w:p w14:paraId="11BBD018">
      <w:pPr>
        <w:pStyle w:val="2"/>
      </w:pPr>
    </w:p>
    <w:p w14:paraId="676336C7">
      <w:pPr>
        <w:pStyle w:val="2"/>
      </w:pPr>
    </w:p>
    <w:p w14:paraId="0F8632F1">
      <w:pPr>
        <w:pStyle w:val="2"/>
      </w:pPr>
    </w:p>
    <w:p w14:paraId="0A4B461E">
      <w:pPr>
        <w:pStyle w:val="2"/>
      </w:pPr>
    </w:p>
    <w:p w14:paraId="5DAB4A96">
      <w:pPr>
        <w:pStyle w:val="2"/>
      </w:pPr>
    </w:p>
    <w:p w14:paraId="50229995">
      <w:pPr>
        <w:pStyle w:val="2"/>
      </w:pPr>
    </w:p>
    <w:p w14:paraId="66FF25C8">
      <w:pPr>
        <w:pStyle w:val="2"/>
      </w:pPr>
    </w:p>
    <w:p w14:paraId="6BCF266C">
      <w:pPr>
        <w:pStyle w:val="2"/>
      </w:pPr>
    </w:p>
    <w:p w14:paraId="7DD26DD5">
      <w:pPr>
        <w:pStyle w:val="2"/>
      </w:pPr>
    </w:p>
    <w:p w14:paraId="197169D1">
      <w:pPr>
        <w:pStyle w:val="2"/>
      </w:pPr>
    </w:p>
    <w:p w14:paraId="41F6CEE1">
      <w:pPr>
        <w:pStyle w:val="2"/>
      </w:pPr>
    </w:p>
    <w:p w14:paraId="2D13DE4D">
      <w:pPr>
        <w:pStyle w:val="2"/>
      </w:pPr>
    </w:p>
    <w:p w14:paraId="09660931">
      <w:pPr>
        <w:pStyle w:val="2"/>
      </w:pPr>
    </w:p>
    <w:p w14:paraId="76ACD512">
      <w:pPr>
        <w:pStyle w:val="2"/>
      </w:pPr>
    </w:p>
    <w:p w14:paraId="2F238E73">
      <w:pPr>
        <w:pStyle w:val="2"/>
      </w:pPr>
    </w:p>
    <w:p w14:paraId="68FC62BC">
      <w:pPr>
        <w:pStyle w:val="2"/>
      </w:pPr>
    </w:p>
    <w:p w14:paraId="579AA216">
      <w:pPr>
        <w:pStyle w:val="2"/>
      </w:pPr>
    </w:p>
    <w:p w14:paraId="3038EE14">
      <w:pPr>
        <w:pStyle w:val="2"/>
      </w:pPr>
    </w:p>
    <w:p w14:paraId="331E1F60">
      <w:pPr>
        <w:pStyle w:val="2"/>
      </w:pPr>
    </w:p>
    <w:p w14:paraId="00E59811">
      <w:pPr>
        <w:pStyle w:val="2"/>
      </w:pPr>
    </w:p>
    <w:p w14:paraId="38050537">
      <w:pPr>
        <w:pStyle w:val="3"/>
        <w:pageBreakBefore/>
        <w:widowControl w:val="0"/>
        <w:spacing w:beforeLines="300" w:beforeAutospacing="0" w:afterLines="150" w:afterAutospacing="0" w:line="560" w:lineRule="exact"/>
        <w:jc w:val="center"/>
        <w:rPr>
          <w:rFonts w:hint="default" w:ascii="方正小标宋简体" w:hAnsi="方正小标宋_GBK" w:eastAsia="方正小标宋简体" w:cs="宋体"/>
          <w:b w:val="0"/>
          <w:sz w:val="40"/>
          <w:szCs w:val="32"/>
        </w:rPr>
      </w:pPr>
      <w:bookmarkStart w:id="7" w:name="_Toc24365"/>
      <w:bookmarkStart w:id="8" w:name="_Toc228348596"/>
      <w:bookmarkStart w:id="9" w:name="_Toc229039146"/>
      <w:r>
        <w:rPr>
          <w:rFonts w:ascii="方正小标宋简体" w:hAnsi="方正小标宋_GBK" w:eastAsia="方正小标宋简体" w:cs="宋体"/>
          <w:b w:val="0"/>
          <w:sz w:val="40"/>
          <w:szCs w:val="32"/>
        </w:rPr>
        <w:t>第二章 底线</w:t>
      </w:r>
      <w:bookmarkEnd w:id="7"/>
      <w:r>
        <w:rPr>
          <w:rFonts w:ascii="方正小标宋简体" w:hAnsi="方正小标宋_GBK" w:eastAsia="方正小标宋简体" w:cs="宋体"/>
          <w:b w:val="0"/>
          <w:sz w:val="40"/>
          <w:szCs w:val="32"/>
        </w:rPr>
        <w:t>管控</w:t>
      </w:r>
      <w:bookmarkEnd w:id="8"/>
      <w:bookmarkEnd w:id="9"/>
    </w:p>
    <w:p w14:paraId="10AA928D">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10" w:name="_Toc229039147"/>
      <w:bookmarkStart w:id="11" w:name="_Toc3014"/>
      <w:r>
        <w:rPr>
          <w:rFonts w:ascii="黑体" w:hAnsi="黑体" w:eastAsia="黑体"/>
          <w:b w:val="0"/>
          <w:sz w:val="32"/>
          <w:szCs w:val="32"/>
        </w:rPr>
        <w:t>耕地和永久基本农田保护红线</w:t>
      </w:r>
      <w:bookmarkEnd w:id="10"/>
      <w:bookmarkEnd w:id="11"/>
    </w:p>
    <w:p w14:paraId="3CFF44CD">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严格落实宁晋县国土空间总体规划确定的耕地保有量</w:t>
      </w:r>
      <w:r>
        <w:rPr>
          <w:rFonts w:ascii="Times New Roman" w:hAnsi="Times New Roman" w:eastAsia="仿宋_GB2312"/>
          <w:kern w:val="2"/>
          <w:sz w:val="32"/>
          <w:szCs w:val="22"/>
        </w:rPr>
        <w:t>113</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19</w:t>
      </w:r>
      <w:r>
        <w:rPr>
          <w:rFonts w:hint="eastAsia" w:ascii="Times New Roman" w:hAnsi="Times New Roman" w:eastAsia="仿宋_GB2312" w:cstheme="minorBidi"/>
          <w:kern w:val="2"/>
          <w:sz w:val="32"/>
          <w:szCs w:val="22"/>
        </w:rPr>
        <w:t>万亩，永久基本农田保护红线</w:t>
      </w:r>
      <w:r>
        <w:rPr>
          <w:rFonts w:ascii="Times New Roman" w:hAnsi="Times New Roman" w:eastAsia="仿宋_GB2312"/>
          <w:kern w:val="2"/>
          <w:sz w:val="32"/>
          <w:szCs w:val="22"/>
        </w:rPr>
        <w:t>98</w:t>
      </w:r>
      <w:r>
        <w:rPr>
          <w:rFonts w:hint="eastAsia" w:ascii="Times New Roman" w:hAnsi="Times New Roman" w:eastAsia="仿宋_GB2312" w:cstheme="minorBidi"/>
          <w:kern w:val="2"/>
          <w:sz w:val="32"/>
          <w:szCs w:val="22"/>
        </w:rPr>
        <w:t>万亩。各村庄应严格按照上位国土空间总体规划指标分解落实。</w:t>
      </w:r>
    </w:p>
    <w:p w14:paraId="6232038F">
      <w:pPr>
        <w:widowControl w:val="0"/>
        <w:spacing w:line="560" w:lineRule="exact"/>
        <w:ind w:firstLine="640" w:firstLineChars="200"/>
        <w:jc w:val="both"/>
        <w:rPr>
          <w:rFonts w:ascii="Times New Roman" w:hAnsi="Times New Roman" w:eastAsia="仿宋_GB2312" w:cstheme="minorBidi"/>
          <w:kern w:val="2"/>
          <w:sz w:val="32"/>
          <w:szCs w:val="22"/>
        </w:rPr>
      </w:pPr>
      <w:bookmarkStart w:id="12" w:name="_Hlk160546950"/>
      <w:r>
        <w:rPr>
          <w:rFonts w:hint="eastAsia" w:ascii="Times New Roman" w:hAnsi="Times New Roman" w:eastAsia="仿宋_GB2312" w:cstheme="minorBidi"/>
          <w:kern w:val="2"/>
          <w:sz w:val="32"/>
          <w:szCs w:val="22"/>
        </w:rPr>
        <w:t>严格实施耕地用途管制，对永久基本农田实施特殊保护。永久基本农田不得转为林地、草地、园地等其他农用地及农业设施建设用地。严禁占用永久基本农田发展林果业和挖塘养鱼；严禁占用永久基本农田种植苗木、草皮等用于绿化装饰以及其他破坏耕作层的植物；严禁占用永久基本农田挖湖造景、建设绿化带；严禁新增占用永久基本农田建设畜禽养殖设施、水产养殖设施和破坏耕作层的种植业设施。</w:t>
      </w:r>
      <w:bookmarkEnd w:id="12"/>
      <w:r>
        <w:rPr>
          <w:rFonts w:hint="eastAsia" w:ascii="Times New Roman" w:hAnsi="Times New Roman" w:eastAsia="仿宋_GB2312" w:cstheme="minorBidi"/>
          <w:kern w:val="2"/>
          <w:sz w:val="32"/>
          <w:szCs w:val="22"/>
        </w:rPr>
        <w:t>耕地及永久基本农田其他管控要求，详见负面清单。</w:t>
      </w:r>
    </w:p>
    <w:p w14:paraId="03E26693">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需占用或改变耕地和永久基本农田用途的，应当符合《河北省耕地占补平衡管理办法》《永久基本农田保护红线管理办法》规定，并按要求办理相关手续。</w:t>
      </w:r>
    </w:p>
    <w:p w14:paraId="2EDC5064">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13" w:name="_Toc229039148"/>
      <w:bookmarkStart w:id="14" w:name="_Toc20835"/>
      <w:r>
        <w:rPr>
          <w:rFonts w:ascii="黑体" w:hAnsi="黑体" w:eastAsia="黑体"/>
          <w:b w:val="0"/>
          <w:sz w:val="32"/>
          <w:szCs w:val="32"/>
        </w:rPr>
        <w:t>生态保护红线</w:t>
      </w:r>
      <w:bookmarkEnd w:id="13"/>
      <w:bookmarkEnd w:id="14"/>
    </w:p>
    <w:p w14:paraId="1D123485">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宁晋县不涉及生态保护红线。</w:t>
      </w:r>
    </w:p>
    <w:p w14:paraId="05F6A77D">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15" w:name="_Toc229039149"/>
      <w:r>
        <w:rPr>
          <w:rFonts w:ascii="黑体" w:hAnsi="黑体" w:eastAsia="黑体"/>
          <w:b w:val="0"/>
          <w:sz w:val="32"/>
          <w:szCs w:val="32"/>
        </w:rPr>
        <w:t>历史文化保护线</w:t>
      </w:r>
      <w:bookmarkEnd w:id="15"/>
    </w:p>
    <w:p w14:paraId="35E01922">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落实宁晋县国土空间总体规划确定的历史文化保护内容。全县共存在省级文物保护单位</w:t>
      </w:r>
      <w:r>
        <w:rPr>
          <w:rFonts w:ascii="Times New Roman" w:hAnsi="Times New Roman" w:eastAsia="仿宋_GB2312"/>
          <w:kern w:val="2"/>
          <w:sz w:val="32"/>
          <w:szCs w:val="22"/>
        </w:rPr>
        <w:t>2</w:t>
      </w:r>
      <w:r>
        <w:rPr>
          <w:rFonts w:hint="eastAsia" w:ascii="Times New Roman" w:hAnsi="Times New Roman" w:eastAsia="仿宋_GB2312" w:cstheme="minorBidi"/>
          <w:kern w:val="2"/>
          <w:sz w:val="32"/>
          <w:szCs w:val="22"/>
        </w:rPr>
        <w:t>处、市级文物保护单位</w:t>
      </w:r>
      <w:r>
        <w:rPr>
          <w:rFonts w:ascii="Times New Roman" w:hAnsi="Times New Roman" w:eastAsia="仿宋_GB2312"/>
          <w:kern w:val="2"/>
          <w:sz w:val="32"/>
          <w:szCs w:val="22"/>
        </w:rPr>
        <w:t>7</w:t>
      </w:r>
      <w:r>
        <w:rPr>
          <w:rFonts w:hint="eastAsia" w:ascii="Times New Roman" w:hAnsi="Times New Roman" w:eastAsia="仿宋_GB2312" w:cstheme="minorBidi"/>
          <w:kern w:val="2"/>
          <w:sz w:val="32"/>
          <w:szCs w:val="22"/>
        </w:rPr>
        <w:t>处、县级文物保护单位</w:t>
      </w:r>
      <w:r>
        <w:rPr>
          <w:rFonts w:ascii="Times New Roman" w:hAnsi="Times New Roman" w:eastAsia="仿宋_GB2312"/>
          <w:kern w:val="2"/>
          <w:sz w:val="32"/>
          <w:szCs w:val="22"/>
        </w:rPr>
        <w:t>28</w:t>
      </w:r>
      <w:r>
        <w:rPr>
          <w:rFonts w:hint="eastAsia" w:ascii="Times New Roman" w:hAnsi="Times New Roman" w:eastAsia="仿宋_GB2312" w:cstheme="minorBidi"/>
          <w:kern w:val="2"/>
          <w:sz w:val="32"/>
          <w:szCs w:val="22"/>
        </w:rPr>
        <w:t>处。</w:t>
      </w:r>
    </w:p>
    <w:p w14:paraId="033C49F6">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建立由文物保护单位和非物质文化遗产组成的历史文化保护体系。推动划定各级文物保护单位的保护范围和建设控制地带，相关保护范围由其行业主管部门划定，并应严格按照相关法律法规要求进行保护和管理。历史文化保护线内不得建设污染文物保护单位及其环境的设施，不得进行可能影响文物保护安全及其环境的活动。开发建设前应开展历史文化资源建设影响评估，对历史文化保护线内可能存在历史文化遗存的土地，实行“先考古，后出让”。</w:t>
      </w:r>
    </w:p>
    <w:p w14:paraId="246BF500">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根据非物质文化遗产代表性项目的不同特点，采取具有针对性的保护措施，并对濒危项目实施抢救。加强对非物质文化遗产展示空间的建立，建立非物质文化遗产的资料库、博物馆或展示中心等文化设施，并将各类传统保护与非遗项目保护、文化展示相结合。加强对非遗保护工作的宣传，鼓励和支持公民、法人和其他组织参与非遗保护工作。建立完善的教育制度，为传承手工艺、民间技艺和表演艺术培养后备人才。</w:t>
      </w:r>
    </w:p>
    <w:p w14:paraId="2B3AD268">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符合省、市、县级文物保护单位管理的其他要求。</w:t>
      </w:r>
    </w:p>
    <w:p w14:paraId="61D15645">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16" w:name="_Toc229039150"/>
      <w:bookmarkStart w:id="17" w:name="_Toc578"/>
      <w:r>
        <w:rPr>
          <w:rFonts w:ascii="黑体" w:hAnsi="黑体" w:eastAsia="黑体"/>
          <w:b w:val="0"/>
          <w:sz w:val="32"/>
          <w:szCs w:val="32"/>
        </w:rPr>
        <w:t>洪涝风险控制线</w:t>
      </w:r>
      <w:bookmarkEnd w:id="16"/>
      <w:bookmarkEnd w:id="17"/>
    </w:p>
    <w:p w14:paraId="3D66BF8F">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落实宁晋县国土空间总体规划确定的洪涝风险控制线面积</w:t>
      </w:r>
      <w:r>
        <w:rPr>
          <w:rFonts w:ascii="Times New Roman" w:hAnsi="Times New Roman" w:eastAsia="仿宋_GB2312"/>
          <w:kern w:val="2"/>
          <w:sz w:val="32"/>
          <w:szCs w:val="22"/>
        </w:rPr>
        <w:t>33998</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1881</w:t>
      </w:r>
      <w:r>
        <w:rPr>
          <w:rFonts w:hint="eastAsia" w:ascii="Times New Roman" w:hAnsi="Times New Roman" w:eastAsia="仿宋_GB2312" w:cstheme="minorBidi"/>
          <w:kern w:val="2"/>
          <w:sz w:val="32"/>
          <w:szCs w:val="22"/>
        </w:rPr>
        <w:t>公顷。根据蓄滞洪区和河道管理范围，结合防洪要求，将宁晋泊蓄滞洪区以及主要行洪排沥河道的河道管理范围划定为洪涝风险控制线。其中凤凰镇落实洪涝风险控制线面积</w:t>
      </w:r>
      <w:r>
        <w:rPr>
          <w:rFonts w:ascii="Times New Roman" w:hAnsi="Times New Roman" w:eastAsia="仿宋_GB2312"/>
          <w:kern w:val="2"/>
          <w:sz w:val="32"/>
          <w:szCs w:val="22"/>
        </w:rPr>
        <w:t>581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1944</w:t>
      </w:r>
      <w:r>
        <w:rPr>
          <w:rFonts w:hint="eastAsia" w:ascii="Times New Roman" w:hAnsi="Times New Roman" w:eastAsia="仿宋_GB2312" w:cstheme="minorBidi"/>
          <w:kern w:val="2"/>
          <w:sz w:val="32"/>
          <w:szCs w:val="22"/>
        </w:rPr>
        <w:t>公顷，宁北街道落实洪涝风险控制线面积</w:t>
      </w:r>
      <w:r>
        <w:rPr>
          <w:rFonts w:ascii="Times New Roman" w:hAnsi="Times New Roman" w:eastAsia="仿宋_GB2312"/>
          <w:kern w:val="2"/>
          <w:sz w:val="32"/>
          <w:szCs w:val="22"/>
        </w:rPr>
        <w:t>10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5215</w:t>
      </w:r>
      <w:r>
        <w:rPr>
          <w:rFonts w:hint="eastAsia" w:ascii="Times New Roman" w:hAnsi="Times New Roman" w:eastAsia="仿宋_GB2312" w:cstheme="minorBidi"/>
          <w:kern w:val="2"/>
          <w:sz w:val="32"/>
          <w:szCs w:val="22"/>
        </w:rPr>
        <w:t>公顷，东汪镇落实洪涝风险控制线面积</w:t>
      </w:r>
      <w:r>
        <w:rPr>
          <w:rFonts w:ascii="Times New Roman" w:hAnsi="Times New Roman" w:eastAsia="仿宋_GB2312"/>
          <w:kern w:val="2"/>
          <w:sz w:val="32"/>
          <w:szCs w:val="22"/>
        </w:rPr>
        <w:t>600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3453</w:t>
      </w:r>
      <w:r>
        <w:rPr>
          <w:rFonts w:hint="eastAsia" w:ascii="Times New Roman" w:hAnsi="Times New Roman" w:eastAsia="仿宋_GB2312" w:cstheme="minorBidi"/>
          <w:kern w:val="2"/>
          <w:sz w:val="32"/>
          <w:szCs w:val="22"/>
        </w:rPr>
        <w:t>公顷，河渠镇落实洪涝风险控制线面积</w:t>
      </w:r>
      <w:r>
        <w:rPr>
          <w:rFonts w:ascii="Times New Roman" w:hAnsi="Times New Roman" w:eastAsia="仿宋_GB2312"/>
          <w:kern w:val="2"/>
          <w:sz w:val="32"/>
          <w:szCs w:val="22"/>
        </w:rPr>
        <w:t>6113</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9245</w:t>
      </w:r>
      <w:r>
        <w:rPr>
          <w:rFonts w:hint="eastAsia" w:ascii="Times New Roman" w:hAnsi="Times New Roman" w:eastAsia="仿宋_GB2312" w:cstheme="minorBidi"/>
          <w:kern w:val="2"/>
          <w:sz w:val="32"/>
          <w:szCs w:val="22"/>
        </w:rPr>
        <w:t>公顷，侯口镇落实洪涝风险控制线面积</w:t>
      </w:r>
      <w:r>
        <w:rPr>
          <w:rFonts w:ascii="Times New Roman" w:hAnsi="Times New Roman" w:eastAsia="仿宋_GB2312"/>
          <w:kern w:val="2"/>
          <w:sz w:val="32"/>
          <w:szCs w:val="22"/>
        </w:rPr>
        <w:t>41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1601</w:t>
      </w:r>
      <w:r>
        <w:rPr>
          <w:rFonts w:hint="eastAsia" w:ascii="Times New Roman" w:hAnsi="Times New Roman" w:eastAsia="仿宋_GB2312" w:cstheme="minorBidi"/>
          <w:kern w:val="2"/>
          <w:sz w:val="32"/>
          <w:szCs w:val="22"/>
        </w:rPr>
        <w:t>公顷，耿庄桥镇落实洪涝风险控制线面积</w:t>
      </w:r>
      <w:r>
        <w:rPr>
          <w:rFonts w:ascii="Times New Roman" w:hAnsi="Times New Roman" w:eastAsia="仿宋_GB2312"/>
          <w:kern w:val="2"/>
          <w:sz w:val="32"/>
          <w:szCs w:val="22"/>
        </w:rPr>
        <w:t>10964</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9496</w:t>
      </w:r>
      <w:r>
        <w:rPr>
          <w:rFonts w:hint="eastAsia" w:ascii="Times New Roman" w:hAnsi="Times New Roman" w:eastAsia="仿宋_GB2312" w:cstheme="minorBidi"/>
          <w:kern w:val="2"/>
          <w:sz w:val="32"/>
          <w:szCs w:val="22"/>
        </w:rPr>
        <w:t>公顷，北河庄镇落实洪涝风险控制线面积</w:t>
      </w:r>
      <w:r>
        <w:rPr>
          <w:rFonts w:ascii="Times New Roman" w:hAnsi="Times New Roman" w:eastAsia="仿宋_GB2312"/>
          <w:kern w:val="2"/>
          <w:sz w:val="32"/>
          <w:szCs w:val="22"/>
        </w:rPr>
        <w:t>5957</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6323</w:t>
      </w:r>
      <w:r>
        <w:rPr>
          <w:rFonts w:hint="eastAsia" w:ascii="Times New Roman" w:hAnsi="Times New Roman" w:eastAsia="仿宋_GB2312" w:cstheme="minorBidi"/>
          <w:kern w:val="2"/>
          <w:sz w:val="32"/>
          <w:szCs w:val="22"/>
        </w:rPr>
        <w:t>公顷，换马店镇落实洪涝风险控制线面积</w:t>
      </w:r>
      <w:r>
        <w:rPr>
          <w:rFonts w:ascii="Times New Roman" w:hAnsi="Times New Roman" w:eastAsia="仿宋_GB2312"/>
          <w:kern w:val="2"/>
          <w:sz w:val="32"/>
          <w:szCs w:val="22"/>
        </w:rPr>
        <w:t>191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8780</w:t>
      </w:r>
      <w:r>
        <w:rPr>
          <w:rFonts w:hint="eastAsia" w:ascii="Times New Roman" w:hAnsi="Times New Roman" w:eastAsia="仿宋_GB2312" w:cstheme="minorBidi"/>
          <w:kern w:val="2"/>
          <w:sz w:val="32"/>
          <w:szCs w:val="22"/>
        </w:rPr>
        <w:t>公顷，大曹庄镇落实洪涝风险控制线面积</w:t>
      </w:r>
      <w:r>
        <w:rPr>
          <w:rFonts w:ascii="Times New Roman" w:hAnsi="Times New Roman" w:eastAsia="仿宋_GB2312"/>
          <w:kern w:val="2"/>
          <w:sz w:val="32"/>
          <w:szCs w:val="22"/>
        </w:rPr>
        <w:t>2185</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7827</w:t>
      </w:r>
      <w:r>
        <w:rPr>
          <w:rFonts w:hint="eastAsia" w:ascii="Times New Roman" w:hAnsi="Times New Roman" w:eastAsia="仿宋_GB2312" w:cstheme="minorBidi"/>
          <w:kern w:val="2"/>
          <w:sz w:val="32"/>
          <w:szCs w:val="22"/>
        </w:rPr>
        <w:t>公顷，徐家河乡落实洪涝风险控制线面积</w:t>
      </w:r>
      <w:r>
        <w:rPr>
          <w:rFonts w:ascii="Times New Roman" w:hAnsi="Times New Roman" w:eastAsia="仿宋_GB2312"/>
          <w:kern w:val="2"/>
          <w:sz w:val="32"/>
          <w:szCs w:val="22"/>
        </w:rPr>
        <w:t>5289</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5478</w:t>
      </w:r>
      <w:r>
        <w:rPr>
          <w:rFonts w:hint="eastAsia" w:ascii="Times New Roman" w:hAnsi="Times New Roman" w:eastAsia="仿宋_GB2312" w:cstheme="minorBidi"/>
          <w:kern w:val="2"/>
          <w:sz w:val="32"/>
          <w:szCs w:val="22"/>
        </w:rPr>
        <w:t>公顷，北鱼乡落实洪涝风险控制线面积</w:t>
      </w:r>
      <w:r>
        <w:rPr>
          <w:rFonts w:ascii="Times New Roman" w:hAnsi="Times New Roman" w:eastAsia="仿宋_GB2312"/>
          <w:kern w:val="2"/>
          <w:sz w:val="32"/>
          <w:szCs w:val="22"/>
        </w:rPr>
        <w:t>2061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2518</w:t>
      </w:r>
      <w:r>
        <w:rPr>
          <w:rFonts w:hint="eastAsia" w:ascii="Times New Roman" w:hAnsi="Times New Roman" w:eastAsia="仿宋_GB2312" w:cstheme="minorBidi"/>
          <w:kern w:val="2"/>
          <w:sz w:val="32"/>
          <w:szCs w:val="22"/>
        </w:rPr>
        <w:t>公顷。按照相关法律法规要求，严格洪涝风险控制线内空间管控。</w:t>
      </w:r>
    </w:p>
    <w:p w14:paraId="485DDA4C">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对河道管理范围内的建设项目管理，应按照水利部《河道管理范围内建设项目管理的有关规定》（</w:t>
      </w:r>
      <w:r>
        <w:rPr>
          <w:rFonts w:ascii="Times New Roman" w:hAnsi="Times New Roman" w:eastAsia="仿宋_GB2312"/>
          <w:kern w:val="2"/>
          <w:sz w:val="32"/>
          <w:szCs w:val="22"/>
        </w:rPr>
        <w:t>2017</w:t>
      </w:r>
      <w:r>
        <w:rPr>
          <w:rFonts w:hint="eastAsia" w:ascii="Times New Roman" w:hAnsi="Times New Roman" w:eastAsia="仿宋_GB2312" w:cstheme="minorBidi"/>
          <w:kern w:val="2"/>
          <w:sz w:val="32"/>
          <w:szCs w:val="22"/>
        </w:rPr>
        <w:t>年修正）执行；对洪涝风险控制线内其他区域的建设项目管理，参照水利部《河道管理范围内建设项目管理的有关规定》（</w:t>
      </w:r>
      <w:r>
        <w:rPr>
          <w:rFonts w:ascii="Times New Roman" w:hAnsi="Times New Roman" w:eastAsia="仿宋_GB2312"/>
          <w:kern w:val="2"/>
          <w:sz w:val="32"/>
          <w:szCs w:val="22"/>
        </w:rPr>
        <w:t>2017</w:t>
      </w:r>
      <w:r>
        <w:rPr>
          <w:rFonts w:hint="eastAsia" w:ascii="Times New Roman" w:hAnsi="Times New Roman" w:eastAsia="仿宋_GB2312" w:cstheme="minorBidi"/>
          <w:kern w:val="2"/>
          <w:sz w:val="32"/>
          <w:szCs w:val="22"/>
        </w:rPr>
        <w:t>年修正）执行。对于蓄滞洪区内的建设项目管理，应按照上位国土空间总体规划要求，确定蓄滞洪区的启用标准、防洪标准和校核标准，并</w:t>
      </w:r>
      <w:r>
        <w:rPr>
          <w:rFonts w:ascii="Times New Roman" w:hAnsi="Times New Roman" w:eastAsia="仿宋_GB2312" w:cstheme="minorBidi"/>
          <w:kern w:val="2"/>
          <w:sz w:val="32"/>
          <w:szCs w:val="22"/>
        </w:rPr>
        <w:t>通过工程建设和安全设施配置，在宁晋泊蓄滞洪区内建立完备的防洪工程体系和切实有效的生命财产安全保障体系。</w:t>
      </w:r>
    </w:p>
    <w:p w14:paraId="27265A57">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18" w:name="_Toc24503"/>
      <w:bookmarkStart w:id="19" w:name="_Toc229039151"/>
      <w:r>
        <w:rPr>
          <w:rFonts w:ascii="黑体" w:hAnsi="黑体" w:eastAsia="黑体"/>
          <w:b w:val="0"/>
          <w:sz w:val="32"/>
          <w:szCs w:val="32"/>
        </w:rPr>
        <w:t>化工产业空间安全控制线</w:t>
      </w:r>
      <w:bookmarkEnd w:id="18"/>
      <w:bookmarkEnd w:id="19"/>
    </w:p>
    <w:p w14:paraId="00FC2B2C">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落实宁晋县国土空间总体规划确定的化工产业空间安全控制线，主要分布在侯口镇、贾家口镇和徐家河乡。</w:t>
      </w:r>
    </w:p>
    <w:p w14:paraId="3A5E6AA7">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严格控制安全控制线内土地开发利用，严禁在安全控制线内建设商业、学校、医院、居民点等设施。对安全控制线内现存的商业、学校、医院、居民点等设施，使用者应与化工园区管理部门协商后妥善解决。</w:t>
      </w:r>
    </w:p>
    <w:p w14:paraId="3C4783CA">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新增建设应严格执行相关安全标准，确保居民生活区、商业区、学校、医院等人员密集场所与易燃易爆、有毒有害物质生产和存储区域保持足够安全防护距离。</w:t>
      </w:r>
    </w:p>
    <w:p w14:paraId="7723CE0A">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按国家、省、市相关要求对化工重点监控点周边区域开展安全评价工作，并落实安全评价提出的相关管控要求。化工重点监控点企业生产、储存装置与周边学校、医院、居民集中区等敏感点的距离应确保符合外部安全、大气环境防护距离有关要求。</w:t>
      </w:r>
    </w:p>
    <w:p w14:paraId="2776550F">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新建危险化学品项目应明确相关安全距离范围。</w:t>
      </w:r>
    </w:p>
    <w:p w14:paraId="21F33F2F">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0" w:name="_Toc229039152"/>
      <w:r>
        <w:rPr>
          <w:rFonts w:ascii="黑体" w:hAnsi="黑体" w:eastAsia="黑体"/>
          <w:b w:val="0"/>
          <w:sz w:val="32"/>
          <w:szCs w:val="32"/>
        </w:rPr>
        <w:t>其他管控要求</w:t>
      </w:r>
      <w:bookmarkEnd w:id="20"/>
    </w:p>
    <w:p w14:paraId="7C4BCB87">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涉及地质灾害、矿产资源勘查开采的安全控制范围以及高电压等级电力线路、油气长输管道、高压燃气管道、高速、高铁等重大基础设施廊道控制范围和城市通风廊道范围的，应符合相关准入管理要求，并按照法律法规要求办理相关手续。</w:t>
      </w:r>
    </w:p>
    <w:p w14:paraId="271EF180">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1" w:name="_Toc229039153"/>
      <w:r>
        <w:rPr>
          <w:rFonts w:ascii="黑体" w:hAnsi="黑体" w:eastAsia="黑体"/>
          <w:b w:val="0"/>
          <w:sz w:val="32"/>
          <w:szCs w:val="32"/>
        </w:rPr>
        <w:t>重大建设项目</w:t>
      </w:r>
      <w:bookmarkEnd w:id="21"/>
    </w:p>
    <w:p w14:paraId="2F66DDA6">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落实上位规划确定的重大建设项目。衔接年度国土空间总体规划动态维护，按照项目类型，对项目实施的空间区域进行相应管控。</w:t>
      </w:r>
    </w:p>
    <w:p w14:paraId="12B275FA">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2" w:name="_Toc229039154"/>
      <w:r>
        <w:rPr>
          <w:rFonts w:ascii="黑体" w:hAnsi="黑体" w:eastAsia="黑体"/>
          <w:b w:val="0"/>
          <w:sz w:val="32"/>
          <w:szCs w:val="32"/>
        </w:rPr>
        <w:t>负面清单管控</w:t>
      </w:r>
      <w:bookmarkEnd w:id="22"/>
    </w:p>
    <w:p w14:paraId="58EBF539">
      <w:pPr>
        <w:widowControl w:val="0"/>
        <w:spacing w:line="560" w:lineRule="exact"/>
        <w:ind w:firstLine="640" w:firstLineChars="200"/>
        <w:jc w:val="both"/>
        <w:rPr>
          <w:rFonts w:ascii="Times New Roman" w:hAnsi="Times New Roman" w:eastAsia="仿宋_GB2312" w:cstheme="minorBidi"/>
          <w:kern w:val="2"/>
          <w:sz w:val="32"/>
          <w:szCs w:val="22"/>
        </w:rPr>
        <w:sectPr>
          <w:footerReference r:id="rId4" w:type="default"/>
          <w:pgSz w:w="11906" w:h="16838"/>
          <w:pgMar w:top="1440" w:right="1800" w:bottom="1440" w:left="1800" w:header="851" w:footer="992" w:gutter="0"/>
          <w:pgNumType w:start="1"/>
          <w:cols w:space="425" w:num="1"/>
          <w:docGrid w:type="lines" w:linePitch="312" w:charSpace="0"/>
        </w:sectPr>
      </w:pPr>
      <w:r>
        <w:rPr>
          <w:rFonts w:hint="eastAsia" w:ascii="Times New Roman" w:hAnsi="Times New Roman" w:eastAsia="仿宋_GB2312" w:cstheme="minorBidi"/>
          <w:kern w:val="2"/>
          <w:sz w:val="32"/>
          <w:szCs w:val="22"/>
        </w:rPr>
        <w:t>根据土地管理法等法律法规、农村乱占耕地建房“八不准”等政策规定，制定国土空间用途管制负面清单。详见附表。</w:t>
      </w:r>
    </w:p>
    <w:p w14:paraId="1363F51F">
      <w:pPr>
        <w:pStyle w:val="3"/>
        <w:pageBreakBefore/>
        <w:widowControl w:val="0"/>
        <w:spacing w:beforeLines="300" w:beforeAutospacing="0" w:afterLines="150" w:afterAutospacing="0" w:line="560" w:lineRule="exact"/>
        <w:jc w:val="center"/>
        <w:rPr>
          <w:rFonts w:hint="default" w:ascii="方正小标宋简体" w:hAnsi="方正小标宋_GBK" w:eastAsia="方正小标宋简体" w:cs="宋体"/>
          <w:b w:val="0"/>
          <w:sz w:val="40"/>
          <w:szCs w:val="32"/>
        </w:rPr>
      </w:pPr>
      <w:bookmarkStart w:id="23" w:name="_Toc26787"/>
      <w:bookmarkStart w:id="24" w:name="_Toc229039155"/>
      <w:bookmarkStart w:id="25" w:name="_Toc228348597"/>
      <w:r>
        <w:rPr>
          <w:rFonts w:ascii="方正小标宋简体" w:hAnsi="方正小标宋_GBK" w:eastAsia="方正小标宋简体" w:cs="宋体"/>
          <w:b w:val="0"/>
          <w:sz w:val="40"/>
          <w:szCs w:val="32"/>
        </w:rPr>
        <w:t>第三章 规划管控</w:t>
      </w:r>
      <w:bookmarkEnd w:id="23"/>
      <w:r>
        <w:rPr>
          <w:rFonts w:ascii="方正小标宋简体" w:hAnsi="方正小标宋_GBK" w:eastAsia="方正小标宋简体" w:cs="宋体"/>
          <w:b w:val="0"/>
          <w:sz w:val="40"/>
          <w:szCs w:val="32"/>
        </w:rPr>
        <w:t>指引</w:t>
      </w:r>
      <w:bookmarkEnd w:id="24"/>
      <w:bookmarkEnd w:id="25"/>
    </w:p>
    <w:p w14:paraId="5B876AC9">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6" w:name="_Toc229039156"/>
      <w:bookmarkStart w:id="27" w:name="_Toc32432"/>
      <w:r>
        <w:rPr>
          <w:rFonts w:ascii="黑体" w:hAnsi="黑体" w:eastAsia="黑体"/>
          <w:b w:val="0"/>
          <w:sz w:val="32"/>
          <w:szCs w:val="32"/>
        </w:rPr>
        <w:t>村庄建设边界</w:t>
      </w:r>
      <w:bookmarkEnd w:id="26"/>
      <w:bookmarkEnd w:id="27"/>
    </w:p>
    <w:p w14:paraId="276C8DE7">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落实宁晋县和各乡镇国土空间总体规划确定的村庄建设边界，规模共</w:t>
      </w:r>
      <w:r>
        <w:rPr>
          <w:rFonts w:ascii="Times New Roman" w:hAnsi="Times New Roman" w:eastAsia="仿宋_GB2312"/>
          <w:kern w:val="2"/>
          <w:sz w:val="32"/>
          <w:szCs w:val="22"/>
        </w:rPr>
        <w:t>13019</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41</w:t>
      </w:r>
      <w:r>
        <w:rPr>
          <w:rFonts w:hint="eastAsia" w:ascii="Times New Roman" w:hAnsi="Times New Roman" w:eastAsia="仿宋_GB2312" w:cstheme="minorBidi"/>
          <w:kern w:val="2"/>
          <w:sz w:val="32"/>
          <w:szCs w:val="22"/>
        </w:rPr>
        <w:t>公顷。各村庄应严格按照上位国土空间总体规划指标分解落实。</w:t>
      </w:r>
    </w:p>
    <w:p w14:paraId="0AFBE0CF">
      <w:pPr>
        <w:widowControl w:val="0"/>
        <w:spacing w:line="560" w:lineRule="exact"/>
        <w:ind w:firstLine="640" w:firstLineChars="200"/>
        <w:jc w:val="both"/>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通过土地综合整治、城乡建设用地增减挂钩等方式优化土地资源配置，提高村庄建设边界内土地的节约集约利用水平，保障村庄新增建设用地需求，控制村庄建设边界和建设用地总量。具体的村庄建设用地规模，应以审批的各层级国土空间总体规划为准，并可根据实际情况和每年的规划动态维护同步调整。</w:t>
      </w:r>
    </w:p>
    <w:p w14:paraId="3A5A72DB">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8" w:name="_Toc229039157"/>
      <w:r>
        <w:rPr>
          <w:rFonts w:ascii="黑体" w:hAnsi="黑体" w:eastAsia="黑体"/>
          <w:b w:val="0"/>
          <w:sz w:val="32"/>
          <w:szCs w:val="32"/>
        </w:rPr>
        <w:t>通用选址要求</w:t>
      </w:r>
      <w:bookmarkEnd w:id="28"/>
    </w:p>
    <w:p w14:paraId="3DCD09D8">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落实上位国土空间总体规划确定的村庄建设边界，以及村庄建设用地增量和减量空间，乡村建设项目应优先利用存量建设用地，选址原则上安排在村庄建设边界内，并符合上位规划及相关行业要求。</w:t>
      </w:r>
    </w:p>
    <w:p w14:paraId="219994D4">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规范预留用地使用管理，对预留用地实行总量控制和动态优化。对未划入村庄建设边界的预留机动指标，可用于有特殊选址要求的乡村独立体育、文化、旅游设施、农业设施、乡村公共服务设施、公用设施、生态设施项目，确需零星分散的村民居住，以及确需选址在村庄建设边界外的农产品初加工等建设项目使用。</w:t>
      </w:r>
    </w:p>
    <w:p w14:paraId="07ED0DC0">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29" w:name="_Toc7679"/>
      <w:bookmarkStart w:id="30" w:name="_Toc229039158"/>
      <w:r>
        <w:rPr>
          <w:rFonts w:ascii="黑体" w:hAnsi="黑体" w:eastAsia="黑体"/>
          <w:b w:val="0"/>
          <w:sz w:val="32"/>
          <w:szCs w:val="32"/>
        </w:rPr>
        <w:t>农村宅基地</w:t>
      </w:r>
      <w:bookmarkEnd w:id="29"/>
      <w:bookmarkEnd w:id="30"/>
    </w:p>
    <w:p w14:paraId="7402018A">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农村村民原则上一户只能拥有一处宅基地，且每处新增宅基地面积不得超过</w:t>
      </w:r>
      <w:r>
        <w:rPr>
          <w:rFonts w:ascii="Times New Roman" w:hAnsi="Times New Roman" w:eastAsia="仿宋_GB2312"/>
          <w:kern w:val="2"/>
          <w:sz w:val="32"/>
          <w:szCs w:val="22"/>
        </w:rPr>
        <w:t>2</w:t>
      </w:r>
      <w:r>
        <w:rPr>
          <w:rFonts w:hint="eastAsia" w:ascii="Times New Roman" w:hAnsi="Times New Roman" w:eastAsia="仿宋_GB2312"/>
          <w:kern w:val="2"/>
          <w:sz w:val="32"/>
          <w:szCs w:val="22"/>
        </w:rPr>
        <w:t>33</w:t>
      </w:r>
      <w:r>
        <w:rPr>
          <w:rFonts w:hint="eastAsia" w:ascii="Times New Roman" w:hAnsi="Times New Roman" w:eastAsia="仿宋_GB2312" w:cstheme="minorBidi"/>
          <w:kern w:val="2"/>
          <w:sz w:val="32"/>
          <w:szCs w:val="22"/>
        </w:rPr>
        <w:t>平方米。</w:t>
      </w:r>
    </w:p>
    <w:p w14:paraId="246DA8ED">
      <w:pPr>
        <w:adjustRightInd w:val="0"/>
        <w:snapToGrid w:val="0"/>
        <w:spacing w:line="560" w:lineRule="exact"/>
        <w:ind w:firstLine="640" w:firstLineChars="200"/>
        <w:rPr>
          <w:rFonts w:ascii="Times New Roman" w:hAnsi="Times New Roman" w:eastAsia="仿宋_GB2312" w:cstheme="minorBidi"/>
          <w:kern w:val="2"/>
          <w:sz w:val="32"/>
          <w:szCs w:val="22"/>
        </w:rPr>
      </w:pPr>
      <w:r>
        <w:rPr>
          <w:rFonts w:ascii="Times New Roman" w:hAnsi="Times New Roman" w:eastAsia="仿宋_GB2312" w:cstheme="minorBidi"/>
          <w:kern w:val="2"/>
          <w:sz w:val="32"/>
          <w:szCs w:val="22"/>
        </w:rPr>
        <w:t>新建</w:t>
      </w:r>
      <w:r>
        <w:rPr>
          <w:rFonts w:hint="eastAsia" w:ascii="Times New Roman" w:hAnsi="Times New Roman" w:eastAsia="仿宋_GB2312" w:cstheme="minorBidi"/>
          <w:kern w:val="2"/>
          <w:sz w:val="32"/>
          <w:szCs w:val="22"/>
        </w:rPr>
        <w:t>、改建村民住宅建筑朝向、建筑间距应满足卫生、采光、通风和防灾要求，同时建筑高度不应妨碍相邻建筑物的通风、采光和日照，日照标准不应低于大寒日</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小时。建筑层数一般不超过</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层，建筑高度一般不超过</w:t>
      </w:r>
      <w:r>
        <w:rPr>
          <w:rFonts w:ascii="Times New Roman" w:hAnsi="Times New Roman" w:eastAsia="仿宋_GB2312"/>
          <w:kern w:val="2"/>
          <w:sz w:val="32"/>
          <w:szCs w:val="22"/>
        </w:rPr>
        <w:t>1</w:t>
      </w:r>
      <w:r>
        <w:rPr>
          <w:rFonts w:hint="eastAsia" w:ascii="Times New Roman" w:hAnsi="Times New Roman" w:eastAsia="仿宋_GB2312"/>
          <w:kern w:val="2"/>
          <w:sz w:val="32"/>
          <w:szCs w:val="22"/>
        </w:rPr>
        <w:t>0</w:t>
      </w:r>
      <w:r>
        <w:rPr>
          <w:rFonts w:hint="eastAsia" w:ascii="Times New Roman" w:hAnsi="Times New Roman" w:eastAsia="仿宋_GB2312" w:cstheme="minorBidi"/>
          <w:kern w:val="2"/>
          <w:sz w:val="32"/>
          <w:szCs w:val="22"/>
        </w:rPr>
        <w:t>米。</w:t>
      </w:r>
      <w:r>
        <w:rPr>
          <w:rFonts w:ascii="Times New Roman" w:hAnsi="Times New Roman" w:eastAsia="仿宋_GB2312" w:cstheme="minorBidi"/>
          <w:kern w:val="2"/>
          <w:sz w:val="32"/>
          <w:szCs w:val="22"/>
        </w:rPr>
        <w:t>建筑的外观、风格、比例、尺度、色彩、材料等</w:t>
      </w:r>
      <w:r>
        <w:rPr>
          <w:rFonts w:hint="eastAsia" w:ascii="Times New Roman" w:hAnsi="Times New Roman" w:eastAsia="仿宋_GB2312" w:cstheme="minorBidi"/>
          <w:kern w:val="2"/>
          <w:sz w:val="32"/>
          <w:szCs w:val="22"/>
        </w:rPr>
        <w:t>宜</w:t>
      </w:r>
      <w:r>
        <w:rPr>
          <w:rFonts w:ascii="Times New Roman" w:hAnsi="Times New Roman" w:eastAsia="仿宋_GB2312" w:cstheme="minorBidi"/>
          <w:kern w:val="2"/>
          <w:sz w:val="32"/>
          <w:szCs w:val="22"/>
        </w:rPr>
        <w:t>与村庄整体风貌相协调</w:t>
      </w:r>
      <w:r>
        <w:rPr>
          <w:rFonts w:hint="eastAsia" w:ascii="Times New Roman" w:hAnsi="Times New Roman" w:eastAsia="仿宋_GB2312" w:cstheme="minorBidi"/>
          <w:kern w:val="2"/>
          <w:sz w:val="32"/>
          <w:szCs w:val="22"/>
        </w:rPr>
        <w:t>。村民可选用河北省住房和城乡建设厅提供设计的《农村住宅标准设计图集》进行设计建设。</w:t>
      </w:r>
    </w:p>
    <w:p w14:paraId="26AAFF44">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31" w:name="_Toc25890"/>
      <w:bookmarkStart w:id="32" w:name="_Toc388"/>
      <w:bookmarkStart w:id="33" w:name="_Toc229039159"/>
      <w:r>
        <w:rPr>
          <w:rFonts w:ascii="黑体" w:hAnsi="黑体" w:eastAsia="黑体"/>
          <w:b w:val="0"/>
          <w:sz w:val="32"/>
          <w:szCs w:val="32"/>
        </w:rPr>
        <w:t>公共服务类</w:t>
      </w:r>
      <w:bookmarkEnd w:id="31"/>
      <w:bookmarkEnd w:id="32"/>
      <w:bookmarkEnd w:id="33"/>
    </w:p>
    <w:p w14:paraId="3BA0007E">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（一）农村社区服务设施用地</w:t>
      </w:r>
    </w:p>
    <w:p w14:paraId="0AB39008">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农村社区服务设施建筑高度原则上控制在</w:t>
      </w:r>
      <w:r>
        <w:rPr>
          <w:rFonts w:ascii="Times New Roman" w:hAnsi="Times New Roman" w:eastAsia="仿宋_GB2312"/>
          <w:kern w:val="2"/>
          <w:sz w:val="32"/>
          <w:szCs w:val="22"/>
        </w:rPr>
        <w:t>12</w:t>
      </w:r>
      <w:r>
        <w:rPr>
          <w:rFonts w:hint="eastAsia" w:ascii="Times New Roman" w:hAnsi="Times New Roman" w:eastAsia="仿宋_GB2312" w:cstheme="minorBidi"/>
          <w:kern w:val="2"/>
          <w:sz w:val="32"/>
          <w:szCs w:val="22"/>
        </w:rPr>
        <w:t>米以下，建筑层数一般不超过</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层，容积率一般不大于</w:t>
      </w:r>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。鼓励各类农村社区服务设施（除中小学、幼儿园外）集中复合布置，提高土地使用效率。复合设置用地标准按《河北省建设用地使用标准（</w:t>
      </w:r>
      <w:r>
        <w:rPr>
          <w:rFonts w:ascii="Times New Roman" w:hAnsi="Times New Roman" w:eastAsia="仿宋_GB2312"/>
          <w:kern w:val="2"/>
          <w:sz w:val="32"/>
          <w:szCs w:val="22"/>
        </w:rPr>
        <w:t>2024</w:t>
      </w:r>
      <w:r>
        <w:rPr>
          <w:rFonts w:hint="eastAsia" w:ascii="Times New Roman" w:hAnsi="Times New Roman" w:eastAsia="仿宋_GB2312" w:cstheme="minorBidi"/>
          <w:kern w:val="2"/>
          <w:sz w:val="32"/>
          <w:szCs w:val="22"/>
        </w:rPr>
        <w:t>年版）》逐项加和执行，并符合行业主管部门规定。</w:t>
      </w:r>
    </w:p>
    <w:p w14:paraId="0E493183">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（二）公共管理与公共服务用地</w:t>
      </w:r>
    </w:p>
    <w:p w14:paraId="68604359">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新建幼儿园容积率</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55</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65</w:t>
      </w:r>
      <w:r>
        <w:rPr>
          <w:rFonts w:hint="eastAsia" w:ascii="Times New Roman" w:hAnsi="Times New Roman" w:eastAsia="仿宋_GB2312" w:cstheme="minorBidi"/>
          <w:kern w:val="2"/>
          <w:sz w:val="32"/>
          <w:szCs w:val="22"/>
        </w:rPr>
        <w:t>，绿地率不宜低于</w:t>
      </w:r>
      <w:r>
        <w:rPr>
          <w:rFonts w:ascii="Times New Roman" w:hAnsi="Times New Roman" w:eastAsia="仿宋_GB2312"/>
          <w:kern w:val="2"/>
          <w:sz w:val="32"/>
          <w:szCs w:val="22"/>
        </w:rPr>
        <w:t>30</w:t>
      </w:r>
      <w:r>
        <w:rPr>
          <w:rFonts w:hint="eastAsia" w:ascii="Times New Roman" w:hAnsi="Times New Roman" w:eastAsia="仿宋_GB2312" w:cstheme="minorBidi"/>
          <w:kern w:val="2"/>
          <w:sz w:val="32"/>
          <w:szCs w:val="22"/>
        </w:rPr>
        <w:t>%，幼儿园生活用房应满足冬至日底层满窗日照不少于</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小时；</w:t>
      </w:r>
    </w:p>
    <w:p w14:paraId="2175C54F">
      <w:pPr>
        <w:adjustRightInd w:val="0"/>
        <w:snapToGrid w:val="0"/>
        <w:spacing w:line="560" w:lineRule="exact"/>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新建、改建中小学设施容积率不大于</w:t>
      </w:r>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，建筑密度不超过</w:t>
      </w:r>
      <w:r>
        <w:rPr>
          <w:rFonts w:ascii="Times New Roman" w:hAnsi="Times New Roman" w:eastAsia="仿宋_GB2312"/>
          <w:kern w:val="2"/>
          <w:sz w:val="32"/>
          <w:szCs w:val="22"/>
        </w:rPr>
        <w:t>35</w:t>
      </w:r>
      <w:r>
        <w:rPr>
          <w:rFonts w:hint="eastAsia" w:ascii="Times New Roman" w:hAnsi="Times New Roman" w:eastAsia="仿宋_GB2312" w:cstheme="minorBidi"/>
          <w:kern w:val="2"/>
          <w:sz w:val="32"/>
          <w:szCs w:val="22"/>
        </w:rPr>
        <w:t>%，绿地率不低于</w:t>
      </w:r>
      <w:r>
        <w:rPr>
          <w:rFonts w:ascii="Times New Roman" w:hAnsi="Times New Roman" w:eastAsia="仿宋_GB2312"/>
          <w:kern w:val="2"/>
          <w:sz w:val="32"/>
          <w:szCs w:val="22"/>
        </w:rPr>
        <w:t>35</w:t>
      </w:r>
      <w:r>
        <w:rPr>
          <w:rFonts w:hint="eastAsia" w:ascii="Times New Roman" w:hAnsi="Times New Roman" w:eastAsia="仿宋_GB2312" w:cstheme="minorBidi"/>
          <w:kern w:val="2"/>
          <w:sz w:val="32"/>
          <w:szCs w:val="22"/>
        </w:rPr>
        <w:t>%，普通教室冬至日满窗日照不应小于</w:t>
      </w:r>
      <w:r>
        <w:rPr>
          <w:rFonts w:ascii="Times New Roman" w:hAnsi="Times New Roman" w:eastAsia="仿宋_GB2312"/>
          <w:kern w:val="2"/>
          <w:sz w:val="32"/>
          <w:szCs w:val="22"/>
        </w:rPr>
        <w:t>2</w:t>
      </w:r>
      <w:r>
        <w:rPr>
          <w:rFonts w:hint="eastAsia" w:ascii="Times New Roman" w:hAnsi="Times New Roman" w:eastAsia="仿宋_GB2312" w:cstheme="minorBidi"/>
          <w:kern w:val="2"/>
          <w:sz w:val="32"/>
          <w:szCs w:val="22"/>
        </w:rPr>
        <w:t>小时；新建、改建社会福利设施容积率不大于</w:t>
      </w:r>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w:t>
      </w:r>
      <w:r>
        <w:rPr>
          <w:rFonts w:hint="eastAsia" w:ascii="Times New Roman" w:hAnsi="Times New Roman" w:eastAsia="仿宋_GB2312" w:cstheme="minorBidi"/>
          <w:kern w:val="2"/>
          <w:sz w:val="32"/>
          <w:szCs w:val="22"/>
        </w:rPr>
        <w:t>，建筑密度不超过</w:t>
      </w:r>
      <w:r>
        <w:rPr>
          <w:rFonts w:ascii="Times New Roman" w:hAnsi="Times New Roman" w:eastAsia="仿宋_GB2312"/>
          <w:kern w:val="2"/>
          <w:sz w:val="32"/>
          <w:szCs w:val="22"/>
        </w:rPr>
        <w:t>30</w:t>
      </w:r>
      <w:r>
        <w:rPr>
          <w:rFonts w:hint="eastAsia" w:ascii="Times New Roman" w:hAnsi="Times New Roman" w:eastAsia="仿宋_GB2312" w:cstheme="minorBidi"/>
          <w:kern w:val="2"/>
          <w:sz w:val="32"/>
          <w:szCs w:val="22"/>
        </w:rPr>
        <w:t>%，绿地率不低于</w:t>
      </w:r>
      <w:r>
        <w:rPr>
          <w:rFonts w:ascii="Times New Roman" w:hAnsi="Times New Roman" w:eastAsia="仿宋_GB2312"/>
          <w:kern w:val="2"/>
          <w:sz w:val="32"/>
          <w:szCs w:val="22"/>
        </w:rPr>
        <w:t>35</w:t>
      </w:r>
      <w:r>
        <w:rPr>
          <w:rFonts w:hint="eastAsia" w:ascii="Times New Roman" w:hAnsi="Times New Roman" w:eastAsia="仿宋_GB2312" w:cstheme="minorBidi"/>
          <w:kern w:val="2"/>
          <w:sz w:val="32"/>
          <w:szCs w:val="22"/>
        </w:rPr>
        <w:t>%，建筑高度不高于</w:t>
      </w:r>
      <w:r>
        <w:rPr>
          <w:rFonts w:ascii="Times New Roman" w:hAnsi="Times New Roman" w:eastAsia="仿宋_GB2312"/>
          <w:kern w:val="2"/>
          <w:sz w:val="32"/>
          <w:szCs w:val="22"/>
        </w:rPr>
        <w:t>24</w:t>
      </w:r>
      <w:r>
        <w:rPr>
          <w:rFonts w:hint="eastAsia" w:ascii="Times New Roman" w:hAnsi="Times New Roman" w:eastAsia="仿宋_GB2312" w:cstheme="minorBidi"/>
          <w:kern w:val="2"/>
          <w:sz w:val="32"/>
          <w:szCs w:val="22"/>
        </w:rPr>
        <w:t>米。</w:t>
      </w:r>
    </w:p>
    <w:p w14:paraId="041C5F9D">
      <w:pPr>
        <w:autoSpaceDE w:val="0"/>
        <w:autoSpaceDN w:val="0"/>
        <w:spacing w:line="560" w:lineRule="exact"/>
        <w:ind w:firstLine="640"/>
      </w:pPr>
      <w:r>
        <w:rPr>
          <w:rFonts w:hint="eastAsia" w:eastAsia="仿宋_GB2312"/>
          <w:sz w:val="32"/>
          <w:szCs w:val="32"/>
          <w:shd w:val="clear" w:color="auto" w:fill="FFFFFF"/>
        </w:rPr>
        <w:t>其他各类用地建设开发强度按照《河北省建设用地使用标准（</w:t>
      </w:r>
      <w:r>
        <w:rPr>
          <w:rFonts w:ascii="Times New Roman" w:hAnsi="Times New Roman" w:eastAsia="仿宋_GB2312"/>
          <w:sz w:val="32"/>
          <w:szCs w:val="32"/>
          <w:shd w:val="clear" w:color="auto" w:fill="FFFFFF"/>
        </w:rPr>
        <w:t>2024</w:t>
      </w:r>
      <w:r>
        <w:rPr>
          <w:rFonts w:hint="eastAsia" w:eastAsia="仿宋_GB2312"/>
          <w:sz w:val="32"/>
          <w:szCs w:val="32"/>
          <w:shd w:val="clear" w:color="auto" w:fill="FFFFFF"/>
        </w:rPr>
        <w:t>年版）》内具体规定严格执行，并同时应符合行业主管部门规定。</w:t>
      </w:r>
    </w:p>
    <w:p w14:paraId="3FEC7A4D">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34" w:name="_Toc19724"/>
      <w:bookmarkStart w:id="35" w:name="_Toc26013"/>
      <w:bookmarkStart w:id="36" w:name="_Toc229039160"/>
      <w:r>
        <w:rPr>
          <w:rFonts w:ascii="黑体" w:hAnsi="黑体" w:eastAsia="黑体"/>
          <w:b w:val="0"/>
          <w:sz w:val="32"/>
          <w:szCs w:val="32"/>
        </w:rPr>
        <w:t>公用设施类</w:t>
      </w:r>
      <w:bookmarkEnd w:id="34"/>
      <w:bookmarkEnd w:id="35"/>
      <w:bookmarkEnd w:id="36"/>
    </w:p>
    <w:p w14:paraId="71CCE7D2">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公用设施建设应符合上位国土空间总体规划及行业主管部门明确的建设标准。公用设施类项目建筑高度原则上控制在</w:t>
      </w:r>
      <w:r>
        <w:rPr>
          <w:rFonts w:ascii="Times New Roman" w:hAnsi="Times New Roman" w:eastAsia="仿宋_GB2312"/>
          <w:kern w:val="2"/>
          <w:sz w:val="32"/>
          <w:szCs w:val="22"/>
        </w:rPr>
        <w:t>12</w:t>
      </w:r>
      <w:r>
        <w:rPr>
          <w:rFonts w:hint="eastAsia" w:ascii="Times New Roman" w:hAnsi="Times New Roman" w:eastAsia="仿宋_GB2312" w:cstheme="minorBidi"/>
          <w:kern w:val="2"/>
          <w:sz w:val="32"/>
          <w:szCs w:val="22"/>
        </w:rPr>
        <w:t>米以下，建筑层数一般不超过</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层。同时各类型公用设施用地应考虑邻避效应、管网铺设、线路进出和公用设施廊道的控制要求。</w:t>
      </w:r>
    </w:p>
    <w:p w14:paraId="4B23B386">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37" w:name="_Toc262"/>
      <w:bookmarkStart w:id="38" w:name="_Toc15966"/>
      <w:bookmarkStart w:id="39" w:name="_Toc229039161"/>
      <w:r>
        <w:rPr>
          <w:rFonts w:ascii="黑体" w:hAnsi="黑体" w:eastAsia="黑体"/>
          <w:b w:val="0"/>
          <w:sz w:val="32"/>
          <w:szCs w:val="32"/>
        </w:rPr>
        <w:t>产业项目类</w:t>
      </w:r>
      <w:bookmarkEnd w:id="37"/>
      <w:bookmarkEnd w:id="38"/>
      <w:bookmarkEnd w:id="39"/>
    </w:p>
    <w:p w14:paraId="094C09DA">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（一）商业服务业用地</w:t>
      </w:r>
    </w:p>
    <w:p w14:paraId="6DC469B8">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新建、改建商业服务业建筑容积率不大于</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，建筑高度不超过</w:t>
      </w:r>
      <w:r>
        <w:rPr>
          <w:rFonts w:ascii="Times New Roman" w:hAnsi="Times New Roman" w:eastAsia="仿宋_GB2312"/>
          <w:kern w:val="2"/>
          <w:sz w:val="32"/>
          <w:szCs w:val="22"/>
        </w:rPr>
        <w:t>16</w:t>
      </w:r>
      <w:r>
        <w:rPr>
          <w:rFonts w:hint="eastAsia" w:ascii="Times New Roman" w:hAnsi="Times New Roman" w:eastAsia="仿宋_GB2312" w:cstheme="minorBidi"/>
          <w:kern w:val="2"/>
          <w:sz w:val="32"/>
          <w:szCs w:val="22"/>
        </w:rPr>
        <w:t>米。农产品批发市场容积率</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7</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1</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，建筑密度</w:t>
      </w:r>
      <w:r>
        <w:rPr>
          <w:rFonts w:ascii="Times New Roman" w:hAnsi="Times New Roman" w:eastAsia="仿宋_GB2312"/>
          <w:kern w:val="2"/>
          <w:sz w:val="32"/>
          <w:szCs w:val="22"/>
        </w:rPr>
        <w:t>40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50</w:t>
      </w:r>
      <w:r>
        <w:rPr>
          <w:rFonts w:hint="eastAsia" w:ascii="Times New Roman" w:hAnsi="Times New Roman" w:eastAsia="仿宋_GB2312" w:cstheme="minorBidi"/>
          <w:kern w:val="2"/>
          <w:sz w:val="32"/>
          <w:szCs w:val="22"/>
        </w:rPr>
        <w:t>%。加油、加气、充换电站等营业网点还应符合行业要求。</w:t>
      </w:r>
    </w:p>
    <w:p w14:paraId="14D47C04">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（二）工业、仓储用地</w:t>
      </w:r>
    </w:p>
    <w:p w14:paraId="61CD84B2">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新建、改建工业项目一般情况下容积率不小于</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8</w:t>
      </w:r>
      <w:r>
        <w:rPr>
          <w:rFonts w:hint="eastAsia" w:ascii="Times New Roman" w:hAnsi="Times New Roman" w:eastAsia="仿宋_GB2312" w:cstheme="minorBidi"/>
          <w:kern w:val="2"/>
          <w:sz w:val="32"/>
          <w:szCs w:val="22"/>
        </w:rPr>
        <w:t>、建筑系数不小于</w:t>
      </w:r>
      <w:r>
        <w:rPr>
          <w:rFonts w:ascii="Times New Roman" w:hAnsi="Times New Roman" w:eastAsia="仿宋_GB2312"/>
          <w:kern w:val="2"/>
          <w:sz w:val="32"/>
          <w:szCs w:val="22"/>
        </w:rPr>
        <w:t>40</w:t>
      </w:r>
      <w:r>
        <w:rPr>
          <w:rFonts w:ascii="Times New Roman" w:hAnsi="Times New Roman" w:eastAsia="仿宋_GB2312" w:cstheme="minorBidi"/>
          <w:kern w:val="2"/>
          <w:sz w:val="32"/>
          <w:szCs w:val="22"/>
        </w:rPr>
        <w:t>%</w:t>
      </w:r>
      <w:r>
        <w:rPr>
          <w:rFonts w:hint="eastAsia" w:ascii="Times New Roman" w:hAnsi="Times New Roman" w:eastAsia="仿宋_GB2312" w:cstheme="minorBidi"/>
          <w:kern w:val="2"/>
          <w:sz w:val="32"/>
          <w:szCs w:val="22"/>
        </w:rPr>
        <w:t>、</w:t>
      </w:r>
      <w:r>
        <w:rPr>
          <w:rFonts w:ascii="Times New Roman" w:hAnsi="Times New Roman" w:eastAsia="仿宋_GB2312" w:cstheme="minorBidi"/>
          <w:kern w:val="2"/>
          <w:sz w:val="32"/>
          <w:szCs w:val="22"/>
        </w:rPr>
        <w:t>绿地率不大于</w:t>
      </w:r>
      <w:r>
        <w:rPr>
          <w:rFonts w:ascii="Times New Roman" w:hAnsi="Times New Roman" w:eastAsia="仿宋_GB2312"/>
          <w:kern w:val="2"/>
          <w:sz w:val="32"/>
          <w:szCs w:val="22"/>
        </w:rPr>
        <w:t>20</w:t>
      </w:r>
      <w:r>
        <w:rPr>
          <w:rFonts w:ascii="Times New Roman" w:hAnsi="Times New Roman" w:eastAsia="仿宋_GB2312" w:cstheme="minorBidi"/>
          <w:kern w:val="2"/>
          <w:sz w:val="32"/>
          <w:szCs w:val="22"/>
        </w:rPr>
        <w:t>%</w:t>
      </w:r>
      <w:r>
        <w:rPr>
          <w:rFonts w:hint="eastAsia" w:ascii="Times New Roman" w:hAnsi="Times New Roman" w:eastAsia="仿宋_GB2312" w:cstheme="minorBidi"/>
          <w:kern w:val="2"/>
          <w:sz w:val="32"/>
          <w:szCs w:val="22"/>
        </w:rPr>
        <w:t>，建筑限高</w:t>
      </w:r>
      <w:r>
        <w:rPr>
          <w:rFonts w:ascii="Times New Roman" w:hAnsi="Times New Roman" w:eastAsia="仿宋_GB2312"/>
          <w:kern w:val="2"/>
          <w:sz w:val="32"/>
          <w:szCs w:val="22"/>
        </w:rPr>
        <w:t>36</w:t>
      </w:r>
      <w:r>
        <w:rPr>
          <w:rFonts w:hint="eastAsia" w:ascii="Times New Roman" w:hAnsi="Times New Roman" w:eastAsia="仿宋_GB2312" w:cstheme="minorBidi"/>
          <w:kern w:val="2"/>
          <w:sz w:val="32"/>
          <w:szCs w:val="22"/>
        </w:rPr>
        <w:t>米，行政办公及生活服务设施用地面积不大于工业项目总用地面积的</w:t>
      </w:r>
      <w:r>
        <w:rPr>
          <w:rFonts w:ascii="Times New Roman" w:hAnsi="Times New Roman" w:eastAsia="仿宋_GB2312"/>
          <w:kern w:val="2"/>
          <w:sz w:val="32"/>
          <w:szCs w:val="22"/>
        </w:rPr>
        <w:t>7</w:t>
      </w:r>
      <w:r>
        <w:rPr>
          <w:rFonts w:hint="eastAsia" w:ascii="Times New Roman" w:hAnsi="Times New Roman" w:eastAsia="仿宋_GB2312" w:cstheme="minorBidi"/>
          <w:kern w:val="2"/>
          <w:sz w:val="32"/>
          <w:szCs w:val="22"/>
        </w:rPr>
        <w:t>%,且建筑面积不大于工业项目总建筑面积的</w:t>
      </w:r>
      <w:r>
        <w:rPr>
          <w:rFonts w:ascii="Times New Roman" w:hAnsi="Times New Roman" w:eastAsia="仿宋_GB2312"/>
          <w:kern w:val="2"/>
          <w:sz w:val="32"/>
          <w:szCs w:val="22"/>
        </w:rPr>
        <w:t>15</w:t>
      </w:r>
      <w:r>
        <w:rPr>
          <w:rFonts w:hint="eastAsia" w:ascii="Times New Roman" w:hAnsi="Times New Roman" w:eastAsia="仿宋_GB2312" w:cstheme="minorBidi"/>
          <w:kern w:val="2"/>
          <w:sz w:val="32"/>
          <w:szCs w:val="22"/>
        </w:rPr>
        <w:t>%。具体不同行业容积率可参考《河北省建设用地使用标准（</w:t>
      </w:r>
      <w:r>
        <w:rPr>
          <w:rFonts w:ascii="Times New Roman" w:hAnsi="Times New Roman" w:eastAsia="仿宋_GB2312"/>
          <w:kern w:val="2"/>
          <w:sz w:val="32"/>
          <w:szCs w:val="22"/>
        </w:rPr>
        <w:t>2024</w:t>
      </w:r>
      <w:r>
        <w:rPr>
          <w:rFonts w:hint="eastAsia" w:ascii="Times New Roman" w:hAnsi="Times New Roman" w:eastAsia="仿宋_GB2312" w:cstheme="minorBidi"/>
          <w:kern w:val="2"/>
          <w:sz w:val="32"/>
          <w:szCs w:val="22"/>
        </w:rPr>
        <w:t>年版）》中工业用地标准执行，因设备或者生产工艺需要的建筑物、构筑物不受此高度限制。</w:t>
      </w:r>
    </w:p>
    <w:p w14:paraId="08F47813">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新建、改建仓储项目一般情况下容积率不小于</w:t>
      </w:r>
      <w:r>
        <w:rPr>
          <w:rFonts w:ascii="Times New Roman" w:hAnsi="Times New Roman" w:eastAsia="仿宋_GB2312"/>
          <w:kern w:val="2"/>
          <w:sz w:val="32"/>
          <w:szCs w:val="22"/>
        </w:rPr>
        <w:t>0</w:t>
      </w:r>
      <w:r>
        <w:rPr>
          <w:rFonts w:hint="eastAsia" w:ascii="Times New Roman" w:hAnsi="Times New Roman" w:eastAsia="仿宋_GB2312" w:cstheme="minorBidi"/>
          <w:kern w:val="2"/>
          <w:sz w:val="32"/>
          <w:szCs w:val="22"/>
        </w:rPr>
        <w:t>.</w:t>
      </w:r>
      <w:r>
        <w:rPr>
          <w:rFonts w:ascii="Times New Roman" w:hAnsi="Times New Roman" w:eastAsia="仿宋_GB2312"/>
          <w:kern w:val="2"/>
          <w:sz w:val="32"/>
          <w:szCs w:val="22"/>
        </w:rPr>
        <w:t>5</w:t>
      </w:r>
      <w:r>
        <w:rPr>
          <w:rFonts w:hint="eastAsia" w:ascii="Times New Roman" w:hAnsi="Times New Roman" w:eastAsia="仿宋_GB2312" w:cstheme="minorBidi"/>
          <w:kern w:val="2"/>
          <w:sz w:val="32"/>
          <w:szCs w:val="22"/>
        </w:rPr>
        <w:t>，建筑系数不小于</w:t>
      </w:r>
      <w:r>
        <w:rPr>
          <w:rFonts w:ascii="Times New Roman" w:hAnsi="Times New Roman" w:eastAsia="仿宋_GB2312"/>
          <w:kern w:val="2"/>
          <w:sz w:val="32"/>
          <w:szCs w:val="22"/>
        </w:rPr>
        <w:t>30</w:t>
      </w:r>
      <w:r>
        <w:rPr>
          <w:rFonts w:hint="eastAsia" w:ascii="Times New Roman" w:hAnsi="Times New Roman" w:eastAsia="仿宋_GB2312" w:cstheme="minorBidi"/>
          <w:kern w:val="2"/>
          <w:sz w:val="32"/>
          <w:szCs w:val="22"/>
        </w:rPr>
        <w:t>%，建筑高度不超过</w:t>
      </w:r>
      <w:r>
        <w:rPr>
          <w:rFonts w:ascii="Times New Roman" w:hAnsi="Times New Roman" w:eastAsia="仿宋_GB2312"/>
          <w:kern w:val="2"/>
          <w:sz w:val="32"/>
          <w:szCs w:val="22"/>
        </w:rPr>
        <w:t>24</w:t>
      </w:r>
      <w:r>
        <w:rPr>
          <w:rFonts w:hint="eastAsia" w:ascii="Times New Roman" w:hAnsi="Times New Roman" w:eastAsia="仿宋_GB2312" w:cstheme="minorBidi"/>
          <w:kern w:val="2"/>
          <w:sz w:val="32"/>
          <w:szCs w:val="22"/>
        </w:rPr>
        <w:t>米（当建筑物层高超过</w:t>
      </w:r>
      <w:r>
        <w:rPr>
          <w:rFonts w:ascii="Times New Roman" w:hAnsi="Times New Roman" w:eastAsia="仿宋_GB2312"/>
          <w:kern w:val="2"/>
          <w:sz w:val="32"/>
          <w:szCs w:val="22"/>
        </w:rPr>
        <w:t>8</w:t>
      </w:r>
      <w:r>
        <w:rPr>
          <w:rFonts w:hint="eastAsia" w:ascii="Times New Roman" w:hAnsi="Times New Roman" w:eastAsia="仿宋_GB2312" w:cstheme="minorBidi"/>
          <w:kern w:val="2"/>
          <w:sz w:val="32"/>
          <w:szCs w:val="22"/>
        </w:rPr>
        <w:t>米，在计算容积率时该层建筑面积加倍计算）。具体情况按《河北省建设用地使用标准（</w:t>
      </w:r>
      <w:r>
        <w:rPr>
          <w:rFonts w:ascii="Times New Roman" w:hAnsi="Times New Roman" w:eastAsia="仿宋_GB2312"/>
          <w:kern w:val="2"/>
          <w:sz w:val="32"/>
          <w:szCs w:val="22"/>
        </w:rPr>
        <w:t>2024</w:t>
      </w:r>
      <w:r>
        <w:rPr>
          <w:rFonts w:hint="eastAsia" w:ascii="Times New Roman" w:hAnsi="Times New Roman" w:eastAsia="仿宋_GB2312" w:cstheme="minorBidi"/>
          <w:kern w:val="2"/>
          <w:sz w:val="32"/>
          <w:szCs w:val="22"/>
        </w:rPr>
        <w:t>年版）》中河北省仓储项目建设用地指标控制要求执行。</w:t>
      </w:r>
    </w:p>
    <w:p w14:paraId="39B8A20A">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规模较大、工业化程度高、分散布局配套设施成本高的产业项目要进产业园区；具有一定规模的农产品加工要向县城或有条件的乡镇城镇开发边界内集聚；直接服务种植养殖业的农产品加工、电子商务、仓储保鲜冷链、产地低温直销配送等产业，原则上应布局在村庄建设边界内。</w:t>
      </w:r>
    </w:p>
    <w:p w14:paraId="30B562C2">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40" w:name="_Toc229039162"/>
      <w:r>
        <w:rPr>
          <w:rFonts w:ascii="黑体" w:hAnsi="黑体" w:eastAsia="黑体"/>
          <w:b w:val="0"/>
          <w:sz w:val="32"/>
          <w:szCs w:val="32"/>
        </w:rPr>
        <w:t>特殊用地</w:t>
      </w:r>
      <w:bookmarkEnd w:id="40"/>
    </w:p>
    <w:p w14:paraId="5444510B">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特殊用地项目建筑高度原则上控制在</w:t>
      </w:r>
      <w:r>
        <w:rPr>
          <w:rFonts w:ascii="Times New Roman" w:hAnsi="Times New Roman" w:eastAsia="仿宋_GB2312"/>
          <w:kern w:val="2"/>
          <w:sz w:val="32"/>
          <w:szCs w:val="22"/>
        </w:rPr>
        <w:t>12</w:t>
      </w:r>
      <w:r>
        <w:rPr>
          <w:rFonts w:hint="eastAsia" w:ascii="Times New Roman" w:hAnsi="Times New Roman" w:eastAsia="仿宋_GB2312" w:cstheme="minorBidi"/>
          <w:kern w:val="2"/>
          <w:sz w:val="32"/>
          <w:szCs w:val="22"/>
        </w:rPr>
        <w:t>米以下，建筑层数一般不超过</w:t>
      </w:r>
      <w:r>
        <w:rPr>
          <w:rFonts w:ascii="Times New Roman" w:hAnsi="Times New Roman" w:eastAsia="仿宋_GB2312"/>
          <w:kern w:val="2"/>
          <w:sz w:val="32"/>
          <w:szCs w:val="22"/>
        </w:rPr>
        <w:t>3</w:t>
      </w:r>
      <w:r>
        <w:rPr>
          <w:rFonts w:hint="eastAsia" w:ascii="Times New Roman" w:hAnsi="Times New Roman" w:eastAsia="仿宋_GB2312" w:cstheme="minorBidi"/>
          <w:kern w:val="2"/>
          <w:sz w:val="32"/>
          <w:szCs w:val="22"/>
        </w:rPr>
        <w:t>层。殡葬设施布局应落实上位国土空间总体规划及河北省相关专项规划要求，同时符合行业主管部门规定。</w:t>
      </w:r>
    </w:p>
    <w:p w14:paraId="11267B2B">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41" w:name="_Toc229039163"/>
      <w:r>
        <w:rPr>
          <w:rFonts w:ascii="黑体" w:hAnsi="黑体" w:eastAsia="黑体"/>
          <w:b w:val="0"/>
          <w:sz w:val="32"/>
          <w:szCs w:val="32"/>
        </w:rPr>
        <w:t>历史文化保护</w:t>
      </w:r>
      <w:bookmarkEnd w:id="41"/>
    </w:p>
    <w:p w14:paraId="29E27A25">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涉及历史建筑等重要历史文化资源的，按照各级文物的保护要求，相关保护范围由其行业主管部门划定，并应严格按照相关法律法规要求进行保护和管理，加强日常巡视保护工作。</w:t>
      </w:r>
    </w:p>
    <w:p w14:paraId="072CB6DA">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42" w:name="_Toc15517"/>
      <w:bookmarkStart w:id="43" w:name="_Toc10787"/>
      <w:bookmarkStart w:id="44" w:name="_Toc229039164"/>
      <w:r>
        <w:rPr>
          <w:rFonts w:ascii="黑体" w:hAnsi="黑体" w:eastAsia="黑体"/>
          <w:b w:val="0"/>
          <w:sz w:val="32"/>
          <w:szCs w:val="32"/>
        </w:rPr>
        <w:t>地块控制</w:t>
      </w:r>
      <w:bookmarkEnd w:id="42"/>
      <w:bookmarkEnd w:id="43"/>
      <w:bookmarkEnd w:id="44"/>
    </w:p>
    <w:p w14:paraId="085CD179">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（一）建筑退距控制</w:t>
      </w:r>
    </w:p>
    <w:p w14:paraId="51F16301">
      <w:pPr>
        <w:adjustRightInd w:val="0"/>
        <w:snapToGrid w:val="0"/>
        <w:spacing w:line="560" w:lineRule="exact"/>
        <w:ind w:firstLine="640" w:firstLineChars="200"/>
        <w:rPr>
          <w:rFonts w:ascii="Times New Roman" w:hAnsi="Times New Roman" w:eastAsia="仿宋_GB2312" w:cstheme="minorBidi"/>
          <w:kern w:val="2"/>
          <w:sz w:val="32"/>
          <w:szCs w:val="22"/>
        </w:rPr>
      </w:pPr>
      <w:r>
        <w:rPr>
          <w:rFonts w:ascii="Times New Roman" w:hAnsi="Times New Roman" w:eastAsia="仿宋_GB2312" w:cstheme="minorBidi"/>
          <w:kern w:val="2"/>
          <w:sz w:val="32"/>
          <w:szCs w:val="22"/>
        </w:rPr>
        <w:t>铁路、公路、城市道路、河道、</w:t>
      </w:r>
      <w:r>
        <w:rPr>
          <w:rFonts w:hint="eastAsia" w:ascii="Times New Roman" w:hAnsi="Times New Roman" w:eastAsia="仿宋_GB2312" w:cstheme="minorBidi"/>
          <w:kern w:val="2"/>
          <w:sz w:val="32"/>
          <w:szCs w:val="22"/>
        </w:rPr>
        <w:t>高电压等级电力线路</w:t>
      </w:r>
      <w:r>
        <w:rPr>
          <w:rFonts w:ascii="Times New Roman" w:hAnsi="Times New Roman" w:eastAsia="仿宋_GB2312" w:cstheme="minorBidi"/>
          <w:kern w:val="2"/>
          <w:sz w:val="32"/>
          <w:szCs w:val="22"/>
        </w:rPr>
        <w:t>、</w:t>
      </w:r>
      <w:r>
        <w:rPr>
          <w:rFonts w:hint="eastAsia" w:ascii="Times New Roman" w:hAnsi="Times New Roman" w:eastAsia="仿宋_GB2312" w:cstheme="minorBidi"/>
          <w:kern w:val="2"/>
          <w:sz w:val="32"/>
          <w:szCs w:val="22"/>
        </w:rPr>
        <w:t>油气长输管道、高压燃气管道、化工企业、化工产业安全控制线、</w:t>
      </w:r>
      <w:r>
        <w:rPr>
          <w:rFonts w:ascii="Times New Roman" w:hAnsi="Times New Roman" w:eastAsia="仿宋_GB2312" w:cstheme="minorBidi"/>
          <w:kern w:val="2"/>
          <w:sz w:val="32"/>
          <w:szCs w:val="22"/>
        </w:rPr>
        <w:t>加油站油罐区</w:t>
      </w:r>
      <w:r>
        <w:rPr>
          <w:rFonts w:hint="eastAsia" w:ascii="Times New Roman" w:hAnsi="Times New Roman" w:eastAsia="仿宋_GB2312" w:cstheme="minorBidi"/>
          <w:kern w:val="2"/>
          <w:sz w:val="32"/>
          <w:szCs w:val="22"/>
        </w:rPr>
        <w:t>、文物保护单位</w:t>
      </w:r>
      <w:r>
        <w:rPr>
          <w:rFonts w:ascii="Times New Roman" w:hAnsi="Times New Roman" w:eastAsia="仿宋_GB2312" w:cstheme="minorBidi"/>
          <w:kern w:val="2"/>
          <w:sz w:val="32"/>
          <w:szCs w:val="22"/>
        </w:rPr>
        <w:t>等的</w:t>
      </w:r>
      <w:r>
        <w:rPr>
          <w:rFonts w:hint="eastAsia" w:ascii="Times New Roman" w:hAnsi="Times New Roman" w:eastAsia="仿宋_GB2312" w:cstheme="minorBidi"/>
          <w:kern w:val="2"/>
          <w:sz w:val="32"/>
          <w:szCs w:val="22"/>
        </w:rPr>
        <w:t>建筑退距</w:t>
      </w:r>
      <w:r>
        <w:rPr>
          <w:rFonts w:ascii="Times New Roman" w:hAnsi="Times New Roman" w:eastAsia="仿宋_GB2312" w:cstheme="minorBidi"/>
          <w:kern w:val="2"/>
          <w:sz w:val="32"/>
          <w:szCs w:val="22"/>
        </w:rPr>
        <w:t>为刚性控制内容，应符合国家、省</w:t>
      </w:r>
      <w:r>
        <w:rPr>
          <w:rFonts w:hint="eastAsia" w:ascii="Times New Roman" w:hAnsi="Times New Roman" w:eastAsia="仿宋_GB2312" w:cstheme="minorBidi"/>
          <w:kern w:val="2"/>
          <w:sz w:val="32"/>
          <w:szCs w:val="22"/>
        </w:rPr>
        <w:t>市</w:t>
      </w:r>
      <w:r>
        <w:rPr>
          <w:rFonts w:ascii="Times New Roman" w:hAnsi="Times New Roman" w:eastAsia="仿宋_GB2312" w:cstheme="minorBidi"/>
          <w:kern w:val="2"/>
          <w:sz w:val="32"/>
          <w:szCs w:val="22"/>
        </w:rPr>
        <w:t>相关规范或规定要求。</w:t>
      </w:r>
    </w:p>
    <w:p w14:paraId="4723DEE1">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（二）建筑间距控制</w:t>
      </w:r>
    </w:p>
    <w:p w14:paraId="1FD48726">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建筑间距应满足卫生、采光、通风、消防、施工、安全等国家、省、市、区相关规范。</w:t>
      </w:r>
    </w:p>
    <w:p w14:paraId="1FCD74C6"/>
    <w:p w14:paraId="6F71500A">
      <w:pPr>
        <w:pStyle w:val="3"/>
        <w:pageBreakBefore/>
        <w:widowControl w:val="0"/>
        <w:spacing w:beforeLines="300" w:beforeAutospacing="0" w:afterLines="150" w:afterAutospacing="0" w:line="560" w:lineRule="exact"/>
        <w:jc w:val="center"/>
        <w:rPr>
          <w:rFonts w:hint="default" w:ascii="方正小标宋简体" w:hAnsi="方正小标宋_GBK" w:eastAsia="方正小标宋简体" w:cs="宋体"/>
          <w:b w:val="0"/>
          <w:sz w:val="40"/>
          <w:szCs w:val="32"/>
        </w:rPr>
      </w:pPr>
      <w:bookmarkStart w:id="45" w:name="_Toc29074"/>
      <w:bookmarkStart w:id="46" w:name="_Toc228348598"/>
      <w:bookmarkStart w:id="47" w:name="_Toc229039165"/>
      <w:r>
        <w:rPr>
          <w:rFonts w:ascii="方正小标宋简体" w:hAnsi="方正小标宋_GBK" w:eastAsia="方正小标宋简体" w:cs="宋体"/>
          <w:b w:val="0"/>
          <w:sz w:val="40"/>
          <w:szCs w:val="32"/>
        </w:rPr>
        <w:t>第四章 其他条款</w:t>
      </w:r>
      <w:bookmarkEnd w:id="45"/>
      <w:bookmarkEnd w:id="46"/>
      <w:bookmarkEnd w:id="47"/>
    </w:p>
    <w:p w14:paraId="660D9CAC">
      <w:pPr>
        <w:pStyle w:val="5"/>
        <w:keepNext/>
        <w:keepLines/>
        <w:numPr>
          <w:ilvl w:val="0"/>
          <w:numId w:val="1"/>
        </w:numPr>
        <w:spacing w:beforeAutospacing="0" w:afterAutospacing="0" w:line="560" w:lineRule="exact"/>
        <w:ind w:left="0" w:firstLine="640" w:firstLineChars="200"/>
        <w:contextualSpacing/>
        <w:jc w:val="both"/>
        <w:rPr>
          <w:rFonts w:hint="default" w:ascii="黑体" w:hAnsi="黑体" w:eastAsia="黑体"/>
          <w:b w:val="0"/>
          <w:sz w:val="32"/>
          <w:szCs w:val="32"/>
        </w:rPr>
      </w:pPr>
      <w:bookmarkStart w:id="48" w:name="_Toc8093"/>
      <w:bookmarkStart w:id="49" w:name="_Toc229039166"/>
      <w:bookmarkStart w:id="50" w:name="_Toc10234"/>
      <w:r>
        <w:rPr>
          <w:rFonts w:ascii="黑体" w:hAnsi="黑体" w:eastAsia="黑体"/>
          <w:b w:val="0"/>
          <w:sz w:val="32"/>
          <w:szCs w:val="32"/>
        </w:rPr>
        <w:t>规划调整</w:t>
      </w:r>
      <w:bookmarkEnd w:id="48"/>
      <w:bookmarkEnd w:id="49"/>
    </w:p>
    <w:bookmarkEnd w:id="50"/>
    <w:p w14:paraId="62CDE665">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总体规划发生调整的，本规定底线管控条款按调整后实际纳入相应边界类型进行管控。</w:t>
      </w:r>
    </w:p>
    <w:p w14:paraId="002B2798">
      <w:pPr>
        <w:pStyle w:val="2"/>
      </w:pPr>
    </w:p>
    <w:p w14:paraId="634A3FEE">
      <w:pPr>
        <w:pStyle w:val="2"/>
      </w:pPr>
    </w:p>
    <w:p w14:paraId="0CA991E0">
      <w:pPr>
        <w:pStyle w:val="2"/>
      </w:pPr>
    </w:p>
    <w:p w14:paraId="5A71981E">
      <w:pPr>
        <w:pStyle w:val="2"/>
      </w:pPr>
    </w:p>
    <w:p w14:paraId="2E44C865">
      <w:pPr>
        <w:pStyle w:val="2"/>
      </w:pPr>
    </w:p>
    <w:p w14:paraId="068290D0">
      <w:pPr>
        <w:pStyle w:val="2"/>
      </w:pPr>
    </w:p>
    <w:p w14:paraId="7D607353">
      <w:pPr>
        <w:pStyle w:val="2"/>
      </w:pPr>
    </w:p>
    <w:p w14:paraId="0146F4F1">
      <w:pPr>
        <w:pStyle w:val="2"/>
      </w:pPr>
    </w:p>
    <w:p w14:paraId="78E1FBC0">
      <w:pPr>
        <w:pStyle w:val="2"/>
      </w:pPr>
    </w:p>
    <w:p w14:paraId="6B353984">
      <w:pPr>
        <w:pStyle w:val="2"/>
      </w:pPr>
    </w:p>
    <w:p w14:paraId="44895E2B">
      <w:pPr>
        <w:pStyle w:val="2"/>
      </w:pPr>
    </w:p>
    <w:p w14:paraId="7E861D28">
      <w:pPr>
        <w:pStyle w:val="2"/>
      </w:pPr>
    </w:p>
    <w:p w14:paraId="694DA7DA">
      <w:pPr>
        <w:pStyle w:val="2"/>
      </w:pPr>
    </w:p>
    <w:p w14:paraId="5E2D4289">
      <w:pPr>
        <w:pStyle w:val="2"/>
      </w:pPr>
    </w:p>
    <w:p w14:paraId="75D31092">
      <w:pPr>
        <w:pStyle w:val="2"/>
      </w:pPr>
    </w:p>
    <w:p w14:paraId="371C946B">
      <w:pPr>
        <w:pStyle w:val="2"/>
      </w:pPr>
    </w:p>
    <w:p w14:paraId="1D5790CE">
      <w:pPr>
        <w:pStyle w:val="2"/>
      </w:pPr>
    </w:p>
    <w:p w14:paraId="1263BECE">
      <w:pPr>
        <w:pStyle w:val="2"/>
      </w:pPr>
    </w:p>
    <w:p w14:paraId="6AD1137F">
      <w:pPr>
        <w:pStyle w:val="2"/>
      </w:pPr>
    </w:p>
    <w:p w14:paraId="5E9070D2">
      <w:pPr>
        <w:pStyle w:val="2"/>
      </w:pPr>
    </w:p>
    <w:p w14:paraId="1CE65A13">
      <w:pPr>
        <w:pStyle w:val="2"/>
      </w:pPr>
    </w:p>
    <w:p w14:paraId="399446EF">
      <w:pPr>
        <w:pStyle w:val="2"/>
      </w:pPr>
    </w:p>
    <w:p w14:paraId="6FAD34F8">
      <w:pPr>
        <w:pStyle w:val="2"/>
      </w:pPr>
    </w:p>
    <w:p w14:paraId="50CB45B4">
      <w:pPr>
        <w:pStyle w:val="2"/>
      </w:pPr>
    </w:p>
    <w:p w14:paraId="2B2B01A2">
      <w:pPr>
        <w:pStyle w:val="2"/>
      </w:pPr>
    </w:p>
    <w:p w14:paraId="5E1A388B">
      <w:pPr>
        <w:pStyle w:val="2"/>
      </w:pPr>
    </w:p>
    <w:p w14:paraId="37F02AA6">
      <w:pPr>
        <w:pStyle w:val="2"/>
      </w:pPr>
    </w:p>
    <w:p w14:paraId="2E99EA57">
      <w:pPr>
        <w:pStyle w:val="2"/>
      </w:pPr>
    </w:p>
    <w:p w14:paraId="53D88516">
      <w:pPr>
        <w:pStyle w:val="2"/>
      </w:pPr>
    </w:p>
    <w:p w14:paraId="21A65190">
      <w:pPr>
        <w:pStyle w:val="2"/>
      </w:pPr>
    </w:p>
    <w:p w14:paraId="6BD69903">
      <w:pPr>
        <w:pStyle w:val="2"/>
      </w:pPr>
    </w:p>
    <w:p w14:paraId="4063F5C7">
      <w:pPr>
        <w:pStyle w:val="2"/>
      </w:pPr>
    </w:p>
    <w:p w14:paraId="76ABC7CF">
      <w:pPr>
        <w:pStyle w:val="2"/>
      </w:pPr>
    </w:p>
    <w:p w14:paraId="2AABF71B">
      <w:pPr>
        <w:pStyle w:val="2"/>
      </w:pPr>
    </w:p>
    <w:p w14:paraId="16A3D209">
      <w:pPr>
        <w:pStyle w:val="2"/>
      </w:pPr>
    </w:p>
    <w:p w14:paraId="4152B3F3">
      <w:pPr>
        <w:pStyle w:val="2"/>
      </w:pPr>
    </w:p>
    <w:p w14:paraId="5BEFB045">
      <w:pPr>
        <w:pStyle w:val="2"/>
      </w:pPr>
    </w:p>
    <w:p w14:paraId="786805A7">
      <w:pPr>
        <w:pStyle w:val="2"/>
      </w:pPr>
    </w:p>
    <w:p w14:paraId="1DEF7CEE">
      <w:pPr>
        <w:pStyle w:val="2"/>
      </w:pPr>
    </w:p>
    <w:p w14:paraId="485570D6">
      <w:pPr>
        <w:pStyle w:val="2"/>
      </w:pPr>
    </w:p>
    <w:p w14:paraId="4A4BC80F">
      <w:pPr>
        <w:pStyle w:val="2"/>
      </w:pPr>
    </w:p>
    <w:p w14:paraId="43588FDE">
      <w:pPr>
        <w:pStyle w:val="2"/>
      </w:pPr>
    </w:p>
    <w:p w14:paraId="064732C2">
      <w:pPr>
        <w:pStyle w:val="2"/>
      </w:pPr>
    </w:p>
    <w:p w14:paraId="35B74FDE">
      <w:pPr>
        <w:pStyle w:val="2"/>
      </w:pPr>
    </w:p>
    <w:p w14:paraId="299D291C">
      <w:pPr>
        <w:pStyle w:val="2"/>
      </w:pPr>
    </w:p>
    <w:p w14:paraId="22DBC55E">
      <w:pPr>
        <w:pStyle w:val="2"/>
      </w:pPr>
    </w:p>
    <w:p w14:paraId="4E495A74">
      <w:pPr>
        <w:pStyle w:val="3"/>
        <w:pageBreakBefore/>
        <w:widowControl w:val="0"/>
        <w:spacing w:beforeLines="300" w:beforeAutospacing="0" w:afterLines="150" w:afterAutospacing="0" w:line="560" w:lineRule="exact"/>
        <w:jc w:val="center"/>
        <w:rPr>
          <w:rFonts w:hint="default" w:ascii="方正小标宋简体" w:hAnsi="方正小标宋_GBK" w:eastAsia="方正小标宋简体" w:cs="宋体"/>
          <w:b w:val="0"/>
          <w:sz w:val="40"/>
          <w:szCs w:val="32"/>
        </w:rPr>
      </w:pPr>
      <w:bookmarkStart w:id="51" w:name="_Toc229039167"/>
      <w:r>
        <w:rPr>
          <w:rFonts w:ascii="方正小标宋简体" w:hAnsi="方正小标宋_GBK" w:eastAsia="方正小标宋简体" w:cs="宋体"/>
          <w:b w:val="0"/>
          <w:sz w:val="40"/>
          <w:szCs w:val="32"/>
        </w:rPr>
        <w:t>第五章 附则</w:t>
      </w:r>
      <w:bookmarkEnd w:id="51"/>
    </w:p>
    <w:p w14:paraId="678576BA">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一、本规定由宁晋县自然资源和规划局负责解释。</w:t>
      </w:r>
    </w:p>
    <w:p w14:paraId="4F41F13E">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二、本规定自宁晋县人民政府批准之日起施行，有效期按照国家、省、市相关规定执行。</w:t>
      </w:r>
    </w:p>
    <w:p w14:paraId="05ABD7E3">
      <w:pPr>
        <w:adjustRightInd w:val="0"/>
        <w:snapToGrid w:val="0"/>
        <w:spacing w:line="560" w:lineRule="exact"/>
        <w:ind w:firstLine="640" w:firstLineChars="200"/>
        <w:rPr>
          <w:rFonts w:ascii="Times New Roman" w:hAnsi="Times New Roman" w:eastAsia="仿宋_GB2312" w:cstheme="minorBidi"/>
          <w:kern w:val="2"/>
          <w:sz w:val="32"/>
          <w:szCs w:val="22"/>
        </w:rPr>
      </w:pPr>
      <w:r>
        <w:rPr>
          <w:rFonts w:hint="eastAsia" w:ascii="Times New Roman" w:hAnsi="Times New Roman" w:eastAsia="仿宋_GB2312" w:cstheme="minorBidi"/>
          <w:kern w:val="2"/>
          <w:sz w:val="32"/>
          <w:szCs w:val="22"/>
        </w:rPr>
        <w:t>三、在本规定执行期间，相关标准、规范发生调整，或此规定与国家、省、市政策不一致的，按新文件执行</w:t>
      </w:r>
      <w:r>
        <w:rPr>
          <w:rFonts w:ascii="Times New Roman" w:hAnsi="Times New Roman" w:eastAsia="仿宋_GB2312" w:cstheme="minorBidi"/>
          <w:kern w:val="2"/>
          <w:sz w:val="32"/>
          <w:szCs w:val="22"/>
        </w:rPr>
        <w:t>。</w:t>
      </w:r>
    </w:p>
    <w:p w14:paraId="6F1B8049">
      <w:pPr>
        <w:sectPr>
          <w:pgSz w:w="11906" w:h="16838"/>
          <w:pgMar w:top="1440" w:right="1800" w:bottom="1440" w:left="1800" w:header="851" w:footer="992" w:gutter="0"/>
          <w:cols w:space="425" w:num="1"/>
          <w:docGrid w:type="lines" w:linePitch="312" w:charSpace="0"/>
        </w:sectPr>
      </w:pPr>
    </w:p>
    <w:p w14:paraId="480C41DC">
      <w:pPr>
        <w:pStyle w:val="2"/>
        <w:rPr>
          <w:rFonts w:ascii="仿宋" w:hAnsi="仿宋" w:eastAsia="仿宋" w:cs="仿宋"/>
          <w:b/>
          <w:bCs/>
          <w:sz w:val="32"/>
          <w:szCs w:val="40"/>
        </w:rPr>
      </w:pPr>
      <w:r>
        <w:rPr>
          <w:rFonts w:hint="eastAsia" w:ascii="仿宋" w:hAnsi="仿宋" w:eastAsia="仿宋" w:cs="仿宋"/>
          <w:b/>
          <w:bCs/>
          <w:sz w:val="32"/>
          <w:szCs w:val="40"/>
        </w:rPr>
        <w:t>附件：负面清单</w:t>
      </w:r>
    </w:p>
    <w:tbl>
      <w:tblPr>
        <w:tblStyle w:val="14"/>
        <w:tblW w:w="87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5357"/>
        <w:gridCol w:w="1440"/>
      </w:tblGrid>
      <w:tr w14:paraId="550C0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blHeader/>
          <w:jc w:val="center"/>
        </w:trPr>
        <w:tc>
          <w:tcPr>
            <w:tcW w:w="1972" w:type="dxa"/>
            <w:vAlign w:val="center"/>
          </w:tcPr>
          <w:p w14:paraId="58ED5CFB">
            <w:pPr>
              <w:widowControl w:val="0"/>
              <w:jc w:val="center"/>
              <w:rPr>
                <w:rFonts w:ascii="黑体" w:hAnsi="黑体" w:eastAsia="黑体" w:cs="仿宋"/>
                <w:bCs/>
                <w:kern w:val="2"/>
                <w:sz w:val="28"/>
                <w:szCs w:val="28"/>
              </w:rPr>
            </w:pPr>
            <w:bookmarkStart w:id="52" w:name="_Toc22547"/>
            <w:r>
              <w:rPr>
                <w:rFonts w:hint="eastAsia" w:ascii="黑体" w:hAnsi="黑体" w:eastAsia="黑体" w:cs="仿宋"/>
                <w:bCs/>
                <w:kern w:val="2"/>
                <w:sz w:val="28"/>
                <w:szCs w:val="28"/>
              </w:rPr>
              <w:t>项目</w:t>
            </w:r>
          </w:p>
        </w:tc>
        <w:tc>
          <w:tcPr>
            <w:tcW w:w="5357" w:type="dxa"/>
            <w:vAlign w:val="center"/>
          </w:tcPr>
          <w:p w14:paraId="16F588F4">
            <w:pPr>
              <w:widowControl w:val="0"/>
              <w:jc w:val="center"/>
              <w:rPr>
                <w:rFonts w:ascii="黑体" w:hAnsi="黑体" w:eastAsia="黑体" w:cs="仿宋"/>
                <w:bCs/>
                <w:kern w:val="2"/>
                <w:sz w:val="28"/>
                <w:szCs w:val="28"/>
              </w:rPr>
            </w:pPr>
            <w:r>
              <w:rPr>
                <w:rFonts w:hint="eastAsia" w:ascii="黑体" w:hAnsi="黑体" w:eastAsia="黑体" w:cs="仿宋"/>
                <w:bCs/>
                <w:kern w:val="2"/>
                <w:sz w:val="28"/>
                <w:szCs w:val="28"/>
              </w:rPr>
              <w:t>负面清单</w:t>
            </w:r>
          </w:p>
        </w:tc>
        <w:tc>
          <w:tcPr>
            <w:tcW w:w="1440" w:type="dxa"/>
            <w:vAlign w:val="center"/>
          </w:tcPr>
          <w:p w14:paraId="1621ACB8">
            <w:pPr>
              <w:widowControl w:val="0"/>
              <w:jc w:val="center"/>
              <w:rPr>
                <w:rFonts w:ascii="黑体" w:hAnsi="黑体" w:eastAsia="黑体" w:cs="仿宋"/>
                <w:bCs/>
                <w:kern w:val="2"/>
                <w:sz w:val="28"/>
                <w:szCs w:val="28"/>
              </w:rPr>
            </w:pPr>
            <w:r>
              <w:rPr>
                <w:rFonts w:hint="eastAsia" w:ascii="黑体" w:hAnsi="黑体" w:eastAsia="黑体" w:cs="仿宋"/>
                <w:bCs/>
                <w:kern w:val="2"/>
                <w:sz w:val="28"/>
                <w:szCs w:val="28"/>
              </w:rPr>
              <w:t>备注</w:t>
            </w:r>
          </w:p>
        </w:tc>
      </w:tr>
      <w:tr w14:paraId="13A3F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4" w:hRule="atLeast"/>
          <w:jc w:val="center"/>
        </w:trPr>
        <w:tc>
          <w:tcPr>
            <w:tcW w:w="1972" w:type="dxa"/>
          </w:tcPr>
          <w:p w14:paraId="2121691D">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一、永久基本农田</w:t>
            </w:r>
          </w:p>
        </w:tc>
        <w:tc>
          <w:tcPr>
            <w:tcW w:w="5357" w:type="dxa"/>
          </w:tcPr>
          <w:p w14:paraId="644AAD84">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.永久基本农田不得转为林地、草地、园地等其他农用地及农业设施建设用地。</w:t>
            </w:r>
          </w:p>
          <w:p w14:paraId="567E62AD">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2</w:t>
            </w:r>
            <w:r>
              <w:rPr>
                <w:rFonts w:hint="eastAsia" w:ascii="仿宋_GB2312" w:hAnsi="仿宋" w:eastAsia="仿宋_GB2312" w:cs="仿宋"/>
                <w:kern w:val="2"/>
                <w:sz w:val="21"/>
                <w:szCs w:val="21"/>
              </w:rPr>
              <w:t>.严禁占用永久基本农田发展林果业和挖塘养鱼；</w:t>
            </w:r>
          </w:p>
          <w:p w14:paraId="22E29CDB">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3</w:t>
            </w:r>
            <w:r>
              <w:rPr>
                <w:rFonts w:hint="eastAsia" w:ascii="仿宋_GB2312" w:hAnsi="仿宋" w:eastAsia="仿宋_GB2312" w:cs="仿宋"/>
                <w:kern w:val="2"/>
                <w:sz w:val="21"/>
                <w:szCs w:val="21"/>
              </w:rPr>
              <w:t>.严禁占用永久基本农田种植苗木、草皮等用于绿化装饰以及其他破坏耕作层的植物；</w:t>
            </w:r>
          </w:p>
          <w:p w14:paraId="7CCFCC01">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4</w:t>
            </w:r>
            <w:r>
              <w:rPr>
                <w:rFonts w:hint="eastAsia" w:ascii="仿宋_GB2312" w:hAnsi="仿宋" w:eastAsia="仿宋_GB2312" w:cs="仿宋"/>
                <w:kern w:val="2"/>
                <w:sz w:val="21"/>
                <w:szCs w:val="21"/>
              </w:rPr>
              <w:t>.严禁占用永久基本农田挖湖造景、建设绿化带；</w:t>
            </w:r>
          </w:p>
          <w:p w14:paraId="17B2091E">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5</w:t>
            </w:r>
            <w:r>
              <w:rPr>
                <w:rFonts w:hint="eastAsia" w:ascii="仿宋_GB2312" w:hAnsi="仿宋" w:eastAsia="仿宋_GB2312" w:cs="仿宋"/>
                <w:kern w:val="2"/>
                <w:sz w:val="21"/>
                <w:szCs w:val="21"/>
              </w:rPr>
              <w:t>.严禁新增占用永久基本农田建设畜禽养殖设施、水产养殖设施和破坏耕作层的种植业设施；</w:t>
            </w:r>
          </w:p>
          <w:p w14:paraId="74C11E2C">
            <w:pPr>
              <w:widowControl w:val="0"/>
              <w:jc w:val="both"/>
              <w:rPr>
                <w:rFonts w:ascii="仿宋_GB2312" w:eastAsia="仿宋_GB2312"/>
              </w:rPr>
            </w:pPr>
            <w:r>
              <w:rPr>
                <w:rFonts w:ascii="Times New Roman" w:hAnsi="Times New Roman" w:eastAsia="仿宋_GB2312"/>
                <w:kern w:val="2"/>
                <w:sz w:val="21"/>
                <w:szCs w:val="21"/>
              </w:rPr>
              <w:t>6</w:t>
            </w:r>
            <w:r>
              <w:rPr>
                <w:rFonts w:hint="eastAsia" w:ascii="仿宋_GB2312" w:hAnsi="仿宋" w:eastAsia="仿宋_GB2312" w:cs="仿宋"/>
                <w:kern w:val="2"/>
                <w:sz w:val="21"/>
                <w:szCs w:val="21"/>
              </w:rPr>
              <w:t>.严禁任何单位和个人在永久基本农田上建窑、建房、建坟、挖砂、采石、取土、堆放固体废弃物或者进行其他破坏永久基本农田的活动。</w:t>
            </w:r>
          </w:p>
        </w:tc>
        <w:tc>
          <w:tcPr>
            <w:tcW w:w="1440" w:type="dxa"/>
          </w:tcPr>
          <w:p w14:paraId="1D7BB66E">
            <w:pPr>
              <w:widowControl w:val="0"/>
              <w:jc w:val="both"/>
              <w:rPr>
                <w:rFonts w:ascii="仿宋_GB2312" w:hAnsi="仿宋" w:eastAsia="仿宋_GB2312" w:cs="仿宋"/>
                <w:b/>
                <w:bCs/>
                <w:sz w:val="21"/>
                <w:szCs w:val="21"/>
              </w:rPr>
            </w:pPr>
            <w:r>
              <w:rPr>
                <w:rFonts w:hint="eastAsia" w:ascii="仿宋_GB2312" w:hAnsi="仿宋" w:eastAsia="仿宋_GB2312" w:cs="仿宋"/>
                <w:kern w:val="2"/>
                <w:sz w:val="21"/>
                <w:szCs w:val="21"/>
              </w:rPr>
              <w:t>《中华人民共和国土地管理法》、《中华人民共和国土地管理法实施条例》、《永久基本农田保护红线管理办法》</w:t>
            </w:r>
          </w:p>
        </w:tc>
      </w:tr>
      <w:tr w14:paraId="669FB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8" w:hRule="atLeast"/>
          <w:jc w:val="center"/>
        </w:trPr>
        <w:tc>
          <w:tcPr>
            <w:tcW w:w="1972" w:type="dxa"/>
          </w:tcPr>
          <w:p w14:paraId="732FE75B">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二、耕地</w:t>
            </w:r>
          </w:p>
        </w:tc>
        <w:tc>
          <w:tcPr>
            <w:tcW w:w="5357" w:type="dxa"/>
          </w:tcPr>
          <w:p w14:paraId="1E7D7526">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.不得在一般耕地上挖湖造景、种植草皮；</w:t>
            </w:r>
          </w:p>
          <w:p w14:paraId="14FBAC36">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2</w:t>
            </w:r>
            <w:r>
              <w:rPr>
                <w:rFonts w:hint="eastAsia" w:ascii="仿宋_GB2312" w:hAnsi="仿宋" w:eastAsia="仿宋_GB2312" w:cs="仿宋"/>
                <w:kern w:val="2"/>
                <w:sz w:val="21"/>
                <w:szCs w:val="21"/>
              </w:rPr>
              <w:t>.不得在国家批准的生态退耕规划和计划外擅自扩大退耕还林还草还湿还湖规模；</w:t>
            </w:r>
          </w:p>
          <w:p w14:paraId="26790072">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3</w:t>
            </w:r>
            <w:r>
              <w:rPr>
                <w:rFonts w:hint="eastAsia" w:ascii="仿宋_GB2312" w:hAnsi="仿宋" w:eastAsia="仿宋_GB2312" w:cs="仿宋"/>
                <w:kern w:val="2"/>
                <w:sz w:val="21"/>
                <w:szCs w:val="21"/>
              </w:rPr>
              <w:t>.不得违规超标准在铁路、公路等用地红线外，以及河渠两侧、水库周边占用一般耕地种树建设绿化带；</w:t>
            </w:r>
          </w:p>
          <w:p w14:paraId="3A350139">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4</w:t>
            </w:r>
            <w:r>
              <w:rPr>
                <w:rFonts w:hint="eastAsia" w:ascii="仿宋_GB2312" w:hAnsi="仿宋" w:eastAsia="仿宋_GB2312" w:cs="仿宋"/>
                <w:kern w:val="2"/>
                <w:sz w:val="21"/>
                <w:szCs w:val="21"/>
              </w:rPr>
              <w:t>.未经批准不得占用一般耕地实施国土绿化、造林；</w:t>
            </w:r>
          </w:p>
          <w:p w14:paraId="6054CEC4">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5</w:t>
            </w:r>
            <w:r>
              <w:rPr>
                <w:rFonts w:hint="eastAsia" w:ascii="仿宋_GB2312" w:hAnsi="仿宋" w:eastAsia="仿宋_GB2312" w:cs="仿宋"/>
                <w:kern w:val="2"/>
                <w:sz w:val="21"/>
                <w:szCs w:val="21"/>
              </w:rPr>
              <w:t>.未经批准工商企业等社会资本不得将通过流转获得土地经营权的一般耕地转为林地、园地等其他农用地；</w:t>
            </w:r>
          </w:p>
          <w:p w14:paraId="3AB5DF4B">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6</w:t>
            </w:r>
            <w:r>
              <w:rPr>
                <w:rFonts w:hint="eastAsia" w:ascii="仿宋_GB2312" w:hAnsi="仿宋" w:eastAsia="仿宋_GB2312" w:cs="仿宋"/>
                <w:kern w:val="2"/>
                <w:sz w:val="21"/>
                <w:szCs w:val="21"/>
              </w:rPr>
              <w:t>.禁止占用耕地建窑、建坟或者擅自在耕地上建房、挖砂、采石、采矿、取土等；</w:t>
            </w:r>
          </w:p>
          <w:p w14:paraId="65251597">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7</w:t>
            </w:r>
            <w:r>
              <w:rPr>
                <w:rFonts w:hint="eastAsia" w:ascii="仿宋_GB2312" w:hAnsi="仿宋" w:eastAsia="仿宋_GB2312" w:cs="仿宋"/>
                <w:kern w:val="2"/>
                <w:sz w:val="21"/>
                <w:szCs w:val="21"/>
              </w:rPr>
              <w:t>.禁止任何单位和个人闲置、荒芜耕地；</w:t>
            </w:r>
          </w:p>
          <w:p w14:paraId="4D515B4D">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8</w:t>
            </w:r>
            <w:r>
              <w:rPr>
                <w:rFonts w:hint="eastAsia" w:ascii="仿宋_GB2312" w:hAnsi="仿宋" w:eastAsia="仿宋_GB2312" w:cs="仿宋"/>
                <w:kern w:val="2"/>
                <w:sz w:val="21"/>
                <w:szCs w:val="21"/>
              </w:rPr>
              <w:t>.严禁以设施农业为名占用耕地违法违规建设与农业发展无关的设施；</w:t>
            </w:r>
          </w:p>
          <w:p w14:paraId="1C8E7FBC">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9</w:t>
            </w:r>
            <w:r>
              <w:rPr>
                <w:rFonts w:hint="eastAsia" w:ascii="仿宋_GB2312" w:hAnsi="仿宋" w:eastAsia="仿宋_GB2312" w:cs="仿宋"/>
                <w:kern w:val="2"/>
                <w:sz w:val="21"/>
                <w:szCs w:val="21"/>
              </w:rPr>
              <w:t>.严禁在农业大棚内违法违规占用耕地建设住宅、餐饮、娱乐等非农设施；</w:t>
            </w:r>
          </w:p>
          <w:p w14:paraId="1A393E34">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10</w:t>
            </w:r>
            <w:r>
              <w:rPr>
                <w:rFonts w:hint="eastAsia" w:ascii="仿宋_GB2312" w:hAnsi="仿宋" w:eastAsia="仿宋_GB2312" w:cs="仿宋"/>
                <w:kern w:val="2"/>
                <w:sz w:val="21"/>
                <w:szCs w:val="21"/>
              </w:rPr>
              <w:t>.不准违法占用耕地建房；</w:t>
            </w:r>
          </w:p>
          <w:p w14:paraId="69375A83">
            <w:pPr>
              <w:widowControl w:val="0"/>
              <w:jc w:val="both"/>
              <w:rPr>
                <w:rFonts w:ascii="仿宋_GB2312" w:hAnsi="仿宋" w:eastAsia="仿宋_GB2312" w:cs="仿宋"/>
                <w:sz w:val="28"/>
                <w:szCs w:val="28"/>
              </w:rPr>
            </w:pPr>
            <w:r>
              <w:rPr>
                <w:rFonts w:ascii="Times New Roman" w:hAnsi="Times New Roman" w:eastAsia="仿宋_GB2312"/>
                <w:kern w:val="2"/>
                <w:sz w:val="21"/>
                <w:szCs w:val="21"/>
              </w:rPr>
              <w:t>11</w:t>
            </w:r>
            <w:r>
              <w:rPr>
                <w:rFonts w:hint="eastAsia" w:ascii="仿宋_GB2312" w:hAnsi="仿宋" w:eastAsia="仿宋_GB2312" w:cs="仿宋"/>
                <w:kern w:val="2"/>
                <w:sz w:val="21"/>
                <w:szCs w:val="21"/>
              </w:rPr>
              <w:t>.不准买卖、流转耕地违法建房。</w:t>
            </w:r>
          </w:p>
        </w:tc>
        <w:tc>
          <w:tcPr>
            <w:tcW w:w="1440" w:type="dxa"/>
          </w:tcPr>
          <w:p w14:paraId="2DF8ADDC">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《乡村振兴用地政策指南（</w:t>
            </w:r>
            <w:r>
              <w:rPr>
                <w:rFonts w:ascii="Times New Roman" w:hAnsi="Times New Roman" w:eastAsia="仿宋_GB2312"/>
                <w:kern w:val="2"/>
                <w:sz w:val="21"/>
                <w:szCs w:val="21"/>
              </w:rPr>
              <w:t>2023</w:t>
            </w:r>
            <w:r>
              <w:rPr>
                <w:rFonts w:hint="eastAsia" w:ascii="仿宋_GB2312" w:hAnsi="仿宋" w:eastAsia="仿宋_GB2312" w:cs="仿宋"/>
                <w:kern w:val="2"/>
                <w:sz w:val="21"/>
                <w:szCs w:val="21"/>
              </w:rPr>
              <w:t>年）》、农村乱占耕地建房“八不准”</w:t>
            </w:r>
          </w:p>
          <w:p w14:paraId="0C8745D9">
            <w:pPr>
              <w:widowControl w:val="0"/>
              <w:jc w:val="both"/>
              <w:rPr>
                <w:rFonts w:ascii="仿宋_GB2312" w:hAnsi="仿宋" w:eastAsia="仿宋_GB2312" w:cs="仿宋"/>
                <w:kern w:val="2"/>
                <w:sz w:val="21"/>
                <w:szCs w:val="21"/>
              </w:rPr>
            </w:pPr>
          </w:p>
        </w:tc>
      </w:tr>
      <w:tr w14:paraId="50647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8" w:hRule="atLeast"/>
          <w:jc w:val="center"/>
        </w:trPr>
        <w:tc>
          <w:tcPr>
            <w:tcW w:w="1972" w:type="dxa"/>
          </w:tcPr>
          <w:p w14:paraId="2E456A9B">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三、林地</w:t>
            </w:r>
          </w:p>
        </w:tc>
        <w:tc>
          <w:tcPr>
            <w:tcW w:w="5357" w:type="dxa"/>
          </w:tcPr>
          <w:p w14:paraId="264DF315">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.禁止毁坏森林开垦耕地；</w:t>
            </w:r>
          </w:p>
          <w:p w14:paraId="720F1B98">
            <w:pPr>
              <w:pStyle w:val="2"/>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2</w:t>
            </w:r>
            <w:r>
              <w:rPr>
                <w:rFonts w:hint="eastAsia" w:ascii="仿宋_GB2312" w:hAnsi="仿宋" w:eastAsia="仿宋_GB2312" w:cs="仿宋"/>
                <w:kern w:val="2"/>
                <w:sz w:val="21"/>
                <w:szCs w:val="21"/>
              </w:rPr>
              <w:t>.严禁违背自然规律绿化造林；</w:t>
            </w:r>
          </w:p>
          <w:p w14:paraId="08BDA971">
            <w:pPr>
              <w:pStyle w:val="2"/>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3</w:t>
            </w:r>
            <w:r>
              <w:rPr>
                <w:rFonts w:hint="eastAsia" w:ascii="仿宋_GB2312" w:hAnsi="仿宋" w:eastAsia="仿宋_GB2312" w:cs="仿宋"/>
                <w:kern w:val="2"/>
                <w:sz w:val="21"/>
                <w:szCs w:val="21"/>
              </w:rPr>
              <w:t>.严禁违法占用林地；</w:t>
            </w:r>
          </w:p>
          <w:p w14:paraId="27E90E40">
            <w:pPr>
              <w:pStyle w:val="2"/>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4</w:t>
            </w:r>
            <w:r>
              <w:rPr>
                <w:rFonts w:hint="eastAsia" w:ascii="仿宋_GB2312" w:hAnsi="仿宋" w:eastAsia="仿宋_GB2312" w:cs="仿宋"/>
                <w:kern w:val="2"/>
                <w:sz w:val="21"/>
                <w:szCs w:val="21"/>
              </w:rPr>
              <w:t>.不得采伐古树名木；</w:t>
            </w:r>
          </w:p>
          <w:p w14:paraId="0E3AD152">
            <w:pPr>
              <w:pStyle w:val="2"/>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5</w:t>
            </w:r>
            <w:r>
              <w:rPr>
                <w:rFonts w:hint="eastAsia" w:ascii="仿宋_GB2312" w:hAnsi="仿宋" w:eastAsia="仿宋_GB2312" w:cs="仿宋"/>
                <w:kern w:val="2"/>
                <w:sz w:val="21"/>
                <w:szCs w:val="21"/>
              </w:rPr>
              <w:t>.不得以整治名义擅自毁林开垦。</w:t>
            </w:r>
          </w:p>
        </w:tc>
        <w:tc>
          <w:tcPr>
            <w:tcW w:w="1440" w:type="dxa"/>
          </w:tcPr>
          <w:p w14:paraId="16609B4D">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《乡村振兴用地政策指南（</w:t>
            </w:r>
            <w:r>
              <w:rPr>
                <w:rFonts w:ascii="Times New Roman" w:hAnsi="Times New Roman" w:eastAsia="仿宋_GB2312"/>
                <w:kern w:val="2"/>
                <w:sz w:val="21"/>
                <w:szCs w:val="21"/>
              </w:rPr>
              <w:t>2023</w:t>
            </w:r>
            <w:r>
              <w:rPr>
                <w:rFonts w:hint="eastAsia" w:ascii="仿宋_GB2312" w:hAnsi="仿宋" w:eastAsia="仿宋_GB2312" w:cs="仿宋"/>
                <w:kern w:val="2"/>
                <w:sz w:val="21"/>
                <w:szCs w:val="21"/>
              </w:rPr>
              <w:t>年）》</w:t>
            </w:r>
          </w:p>
        </w:tc>
      </w:tr>
      <w:tr w14:paraId="1CCFF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1" w:hRule="atLeast"/>
          <w:jc w:val="center"/>
        </w:trPr>
        <w:tc>
          <w:tcPr>
            <w:tcW w:w="1972" w:type="dxa"/>
          </w:tcPr>
          <w:p w14:paraId="3BFECBDD">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四、建设用地</w:t>
            </w:r>
          </w:p>
        </w:tc>
        <w:tc>
          <w:tcPr>
            <w:tcW w:w="5357" w:type="dxa"/>
          </w:tcPr>
          <w:p w14:paraId="1A39AC89">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.农村产业融合发展用地不得用于商品住宅、别墅、酒店、公寓等房地产开发，不得擅自改变用途或分割转让转租；</w:t>
            </w:r>
          </w:p>
          <w:p w14:paraId="7F568293">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2</w:t>
            </w:r>
            <w:r>
              <w:rPr>
                <w:rFonts w:hint="eastAsia" w:ascii="仿宋_GB2312" w:hAnsi="仿宋" w:eastAsia="仿宋_GB2312" w:cs="仿宋"/>
                <w:kern w:val="2"/>
                <w:sz w:val="21"/>
                <w:szCs w:val="21"/>
              </w:rPr>
              <w:t>.严禁利用农村宅基地建设别墅大院和私人会馆；</w:t>
            </w:r>
          </w:p>
          <w:p w14:paraId="4998EB19">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3</w:t>
            </w:r>
            <w:r>
              <w:rPr>
                <w:rFonts w:hint="eastAsia" w:ascii="仿宋_GB2312" w:hAnsi="仿宋" w:eastAsia="仿宋_GB2312" w:cs="仿宋"/>
                <w:kern w:val="2"/>
                <w:sz w:val="21"/>
                <w:szCs w:val="21"/>
              </w:rPr>
              <w:t>.严禁借流转之名违法违规圈占、买卖宅基地。</w:t>
            </w:r>
          </w:p>
        </w:tc>
        <w:tc>
          <w:tcPr>
            <w:tcW w:w="1440" w:type="dxa"/>
          </w:tcPr>
          <w:p w14:paraId="66E70ACD">
            <w:pPr>
              <w:widowControl w:val="0"/>
              <w:jc w:val="both"/>
              <w:rPr>
                <w:rFonts w:ascii="仿宋_GB2312" w:hAnsi="仿宋" w:eastAsia="仿宋_GB2312" w:cs="仿宋"/>
                <w:b/>
                <w:bCs/>
                <w:sz w:val="21"/>
                <w:szCs w:val="21"/>
              </w:rPr>
            </w:pPr>
            <w:r>
              <w:rPr>
                <w:rFonts w:hint="eastAsia" w:ascii="仿宋_GB2312" w:hAnsi="仿宋" w:eastAsia="仿宋_GB2312" w:cs="仿宋"/>
                <w:kern w:val="2"/>
                <w:sz w:val="21"/>
                <w:szCs w:val="21"/>
              </w:rPr>
              <w:t>《乡村振兴用地政策指南（</w:t>
            </w:r>
            <w:r>
              <w:rPr>
                <w:rFonts w:ascii="Times New Roman" w:hAnsi="Times New Roman" w:eastAsia="仿宋_GB2312"/>
                <w:kern w:val="2"/>
                <w:sz w:val="21"/>
                <w:szCs w:val="21"/>
              </w:rPr>
              <w:t>2023</w:t>
            </w:r>
            <w:r>
              <w:rPr>
                <w:rFonts w:hint="eastAsia" w:ascii="仿宋_GB2312" w:hAnsi="仿宋" w:eastAsia="仿宋_GB2312" w:cs="仿宋"/>
                <w:kern w:val="2"/>
                <w:sz w:val="21"/>
                <w:szCs w:val="21"/>
              </w:rPr>
              <w:t>年）》</w:t>
            </w:r>
          </w:p>
        </w:tc>
      </w:tr>
      <w:tr w14:paraId="789E2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972" w:type="dxa"/>
          </w:tcPr>
          <w:p w14:paraId="3626C8D2">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五、产业</w:t>
            </w:r>
          </w:p>
        </w:tc>
        <w:tc>
          <w:tcPr>
            <w:tcW w:w="5357" w:type="dxa"/>
          </w:tcPr>
          <w:p w14:paraId="7DF1E481">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.国家明令淘汰的落后产能、列入国家禁止类产业目录的、污染环境的项目，不得进入乡村</w:t>
            </w:r>
          </w:p>
        </w:tc>
        <w:tc>
          <w:tcPr>
            <w:tcW w:w="1440" w:type="dxa"/>
          </w:tcPr>
          <w:p w14:paraId="185F753B">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《乡村振兴用地政策指南（</w:t>
            </w:r>
            <w:r>
              <w:rPr>
                <w:rFonts w:ascii="Times New Roman" w:hAnsi="Times New Roman" w:eastAsia="仿宋_GB2312"/>
                <w:kern w:val="2"/>
                <w:sz w:val="21"/>
                <w:szCs w:val="21"/>
              </w:rPr>
              <w:t>2023</w:t>
            </w:r>
            <w:r>
              <w:rPr>
                <w:rFonts w:hint="eastAsia" w:ascii="仿宋_GB2312" w:hAnsi="仿宋" w:eastAsia="仿宋_GB2312" w:cs="仿宋"/>
                <w:kern w:val="2"/>
                <w:sz w:val="21"/>
                <w:szCs w:val="21"/>
              </w:rPr>
              <w:t>年）》</w:t>
            </w:r>
          </w:p>
        </w:tc>
      </w:tr>
      <w:tr w14:paraId="60E8F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2" w:type="dxa"/>
          </w:tcPr>
          <w:p w14:paraId="795461DB">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六、其他规定</w:t>
            </w:r>
          </w:p>
        </w:tc>
        <w:tc>
          <w:tcPr>
            <w:tcW w:w="5357" w:type="dxa"/>
          </w:tcPr>
          <w:p w14:paraId="52A4B077">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1</w:t>
            </w:r>
            <w:r>
              <w:rPr>
                <w:rFonts w:hint="eastAsia" w:ascii="仿宋_GB2312" w:hAnsi="仿宋" w:eastAsia="仿宋_GB2312" w:cs="仿宋"/>
                <w:kern w:val="2"/>
                <w:sz w:val="21"/>
                <w:szCs w:val="21"/>
              </w:rPr>
              <w:t>.禁止围湖造田和侵占江河滩地；</w:t>
            </w:r>
          </w:p>
          <w:p w14:paraId="5AC81EDC">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2</w:t>
            </w:r>
            <w:r>
              <w:rPr>
                <w:rFonts w:hint="eastAsia" w:ascii="仿宋_GB2312" w:hAnsi="仿宋" w:eastAsia="仿宋_GB2312" w:cs="仿宋"/>
                <w:kern w:val="2"/>
                <w:sz w:val="21"/>
                <w:szCs w:val="21"/>
              </w:rPr>
              <w:t>.严禁违背自然规律挖湖造景；</w:t>
            </w:r>
          </w:p>
          <w:p w14:paraId="4A72575B">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3</w:t>
            </w:r>
            <w:r>
              <w:rPr>
                <w:rFonts w:hint="eastAsia" w:ascii="仿宋_GB2312" w:hAnsi="仿宋" w:eastAsia="仿宋_GB2312" w:cs="仿宋"/>
                <w:kern w:val="2"/>
                <w:sz w:val="21"/>
                <w:szCs w:val="21"/>
              </w:rPr>
              <w:t>.严禁破坏生态环境砍树挖山填湖；</w:t>
            </w:r>
          </w:p>
          <w:p w14:paraId="33C4EE7D">
            <w:pPr>
              <w:widowControl w:val="0"/>
              <w:jc w:val="both"/>
              <w:rPr>
                <w:rFonts w:ascii="仿宋_GB2312" w:hAnsi="仿宋" w:eastAsia="仿宋_GB2312" w:cs="仿宋"/>
                <w:kern w:val="2"/>
                <w:sz w:val="21"/>
                <w:szCs w:val="21"/>
              </w:rPr>
            </w:pPr>
            <w:r>
              <w:rPr>
                <w:rFonts w:ascii="Times New Roman" w:hAnsi="Times New Roman" w:eastAsia="仿宋_GB2312"/>
                <w:kern w:val="2"/>
                <w:sz w:val="21"/>
                <w:szCs w:val="21"/>
              </w:rPr>
              <w:t>4</w:t>
            </w:r>
            <w:r>
              <w:rPr>
                <w:rFonts w:hint="eastAsia" w:ascii="仿宋_GB2312" w:hAnsi="仿宋" w:eastAsia="仿宋_GB2312" w:cs="仿宋"/>
                <w:kern w:val="2"/>
                <w:sz w:val="21"/>
                <w:szCs w:val="21"/>
              </w:rPr>
              <w:t>.严禁违法占用湿地、草地。</w:t>
            </w:r>
          </w:p>
        </w:tc>
        <w:tc>
          <w:tcPr>
            <w:tcW w:w="1440" w:type="dxa"/>
          </w:tcPr>
          <w:p w14:paraId="7E6676A1">
            <w:pPr>
              <w:widowControl w:val="0"/>
              <w:jc w:val="both"/>
              <w:rPr>
                <w:rFonts w:ascii="仿宋_GB2312" w:hAnsi="仿宋" w:eastAsia="仿宋_GB2312" w:cs="仿宋"/>
                <w:kern w:val="2"/>
                <w:sz w:val="21"/>
                <w:szCs w:val="21"/>
              </w:rPr>
            </w:pPr>
            <w:r>
              <w:rPr>
                <w:rFonts w:hint="eastAsia" w:ascii="仿宋_GB2312" w:hAnsi="仿宋" w:eastAsia="仿宋_GB2312" w:cs="仿宋"/>
                <w:kern w:val="2"/>
                <w:sz w:val="21"/>
                <w:szCs w:val="21"/>
              </w:rPr>
              <w:t>《乡村振兴用地政策指南（</w:t>
            </w:r>
            <w:r>
              <w:rPr>
                <w:rFonts w:ascii="Times New Roman" w:hAnsi="Times New Roman" w:eastAsia="仿宋_GB2312"/>
                <w:kern w:val="2"/>
                <w:sz w:val="21"/>
                <w:szCs w:val="21"/>
              </w:rPr>
              <w:t>2023</w:t>
            </w:r>
            <w:r>
              <w:rPr>
                <w:rFonts w:hint="eastAsia" w:ascii="仿宋_GB2312" w:hAnsi="仿宋" w:eastAsia="仿宋_GB2312" w:cs="仿宋"/>
                <w:kern w:val="2"/>
                <w:sz w:val="21"/>
                <w:szCs w:val="21"/>
              </w:rPr>
              <w:t>年）》</w:t>
            </w:r>
          </w:p>
        </w:tc>
      </w:tr>
      <w:bookmarkEnd w:id="52"/>
    </w:tbl>
    <w:p w14:paraId="705C8C1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libri Light">
    <w:altName w:val="Calibri"/>
    <w:panose1 w:val="020F0302020204030204"/>
    <w:charset w:val="00"/>
    <w:family w:val="swiss"/>
    <w:pitch w:val="default"/>
    <w:sig w:usb0="00000000" w:usb1="00000000" w:usb2="00000000" w:usb3="00000000" w:csb0="0000019F"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058FA">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9C8BCE6">
                          <w:pPr>
                            <w:pStyle w:val="2"/>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49C8BCE6">
                    <w:pPr>
                      <w:pStyle w:val="2"/>
                    </w:pPr>
                    <w:r>
                      <w:fldChar w:fldCharType="begin"/>
                    </w:r>
                    <w:r>
                      <w:instrText xml:space="preserve"> PAGE  \* MERGEFORMAT </w:instrText>
                    </w:r>
                    <w:r>
                      <w:fldChar w:fldCharType="separate"/>
                    </w:r>
                    <w:r>
                      <w:t>II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89001151"/>
      <w:docPartObj>
        <w:docPartGallery w:val="AutoText"/>
      </w:docPartObj>
    </w:sdtPr>
    <w:sdtEndPr>
      <w:rPr>
        <w:rFonts w:ascii="楷体" w:hAnsi="楷体" w:eastAsia="楷体"/>
        <w:sz w:val="24"/>
      </w:rPr>
    </w:sdtEndPr>
    <w:sdtContent>
      <w:p w14:paraId="3C635EAA">
        <w:pPr>
          <w:pStyle w:val="2"/>
          <w:jc w:val="center"/>
          <w:rPr>
            <w:rFonts w:ascii="楷体" w:hAnsi="楷体" w:eastAsia="楷体"/>
            <w:sz w:val="24"/>
          </w:rPr>
        </w:pPr>
        <w:r>
          <w:rPr>
            <w:rFonts w:ascii="楷体" w:hAnsi="楷体" w:eastAsia="楷体"/>
            <w:sz w:val="24"/>
          </w:rPr>
          <w:fldChar w:fldCharType="begin"/>
        </w:r>
        <w:r>
          <w:rPr>
            <w:rFonts w:ascii="楷体" w:hAnsi="楷体" w:eastAsia="楷体"/>
            <w:sz w:val="24"/>
          </w:rPr>
          <w:instrText xml:space="preserve">PAGE   \* MERGEFORMAT</w:instrText>
        </w:r>
        <w:r>
          <w:rPr>
            <w:rFonts w:ascii="楷体" w:hAnsi="楷体" w:eastAsia="楷体"/>
            <w:sz w:val="24"/>
          </w:rPr>
          <w:fldChar w:fldCharType="separate"/>
        </w:r>
        <w:r>
          <w:rPr>
            <w:rFonts w:ascii="楷体" w:hAnsi="楷体" w:eastAsia="楷体"/>
            <w:sz w:val="24"/>
            <w:lang w:val="zh-CN"/>
          </w:rPr>
          <w:t>1</w:t>
        </w:r>
        <w:r>
          <w:rPr>
            <w:rFonts w:ascii="楷体" w:hAnsi="楷体" w:eastAsia="楷体"/>
            <w:sz w:val="24"/>
          </w:rPr>
          <w:fldChar w:fldCharType="end"/>
        </w:r>
      </w:p>
    </w:sdtContent>
  </w:sdt>
  <w:p w14:paraId="0F5D203D">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47466D"/>
    <w:multiLevelType w:val="multilevel"/>
    <w:tmpl w:val="2247466D"/>
    <w:lvl w:ilvl="0" w:tentative="0">
      <w:start w:val="1"/>
      <w:numFmt w:val="decimal"/>
      <w:lvlText w:val="第%1条"/>
      <w:lvlJc w:val="left"/>
      <w:pPr>
        <w:ind w:left="2380" w:hanging="1740"/>
      </w:pPr>
      <w:rPr>
        <w:rFonts w:hint="default" w:ascii="黑体" w:hAnsi="黑体" w:eastAsia="黑体" w:cs="Times New Roman"/>
        <w:sz w:val="32"/>
        <w:lang w:val="en-US"/>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xMDViZGEzMzhiMzk4Y2ZiNjI3NmViZGJhYjY2NjcifQ=="/>
    <w:docVar w:name="KSO_WPS_MARK_KEY" w:val="10cd2a7d-a169-4e6f-9b04-ad6e330bd6ea"/>
  </w:docVars>
  <w:rsids>
    <w:rsidRoot w:val="00172A27"/>
    <w:rsid w:val="000022A7"/>
    <w:rsid w:val="000154A7"/>
    <w:rsid w:val="000254C5"/>
    <w:rsid w:val="00036704"/>
    <w:rsid w:val="000610A9"/>
    <w:rsid w:val="00074717"/>
    <w:rsid w:val="000903DC"/>
    <w:rsid w:val="000A5D75"/>
    <w:rsid w:val="000D7E6E"/>
    <w:rsid w:val="000E4348"/>
    <w:rsid w:val="000E63B6"/>
    <w:rsid w:val="000F06ED"/>
    <w:rsid w:val="000F61C9"/>
    <w:rsid w:val="001033B7"/>
    <w:rsid w:val="00116BA7"/>
    <w:rsid w:val="00133880"/>
    <w:rsid w:val="00133A32"/>
    <w:rsid w:val="00141B5E"/>
    <w:rsid w:val="00150FA7"/>
    <w:rsid w:val="00172A27"/>
    <w:rsid w:val="00183172"/>
    <w:rsid w:val="00186737"/>
    <w:rsid w:val="001D1D83"/>
    <w:rsid w:val="00221B5A"/>
    <w:rsid w:val="00241390"/>
    <w:rsid w:val="002A2326"/>
    <w:rsid w:val="002E2644"/>
    <w:rsid w:val="002E409F"/>
    <w:rsid w:val="00334CCB"/>
    <w:rsid w:val="00352580"/>
    <w:rsid w:val="00363A8F"/>
    <w:rsid w:val="00363FE9"/>
    <w:rsid w:val="003A0A43"/>
    <w:rsid w:val="003A22B5"/>
    <w:rsid w:val="003E2564"/>
    <w:rsid w:val="004013CF"/>
    <w:rsid w:val="00406318"/>
    <w:rsid w:val="00416019"/>
    <w:rsid w:val="00416F70"/>
    <w:rsid w:val="00427F9F"/>
    <w:rsid w:val="004321CE"/>
    <w:rsid w:val="00435D3B"/>
    <w:rsid w:val="00450559"/>
    <w:rsid w:val="00455FE0"/>
    <w:rsid w:val="00481CAF"/>
    <w:rsid w:val="004965A5"/>
    <w:rsid w:val="004A4213"/>
    <w:rsid w:val="004A6394"/>
    <w:rsid w:val="004A6CC9"/>
    <w:rsid w:val="004B24FD"/>
    <w:rsid w:val="004B2FC5"/>
    <w:rsid w:val="004B3097"/>
    <w:rsid w:val="004B76A2"/>
    <w:rsid w:val="004C0238"/>
    <w:rsid w:val="004D38D3"/>
    <w:rsid w:val="00577AFC"/>
    <w:rsid w:val="005843E6"/>
    <w:rsid w:val="005853C0"/>
    <w:rsid w:val="00587C92"/>
    <w:rsid w:val="005B5177"/>
    <w:rsid w:val="005D7902"/>
    <w:rsid w:val="005E67FB"/>
    <w:rsid w:val="006231DB"/>
    <w:rsid w:val="00673B1A"/>
    <w:rsid w:val="00680F0F"/>
    <w:rsid w:val="00682C56"/>
    <w:rsid w:val="006B1F4F"/>
    <w:rsid w:val="006B7B9F"/>
    <w:rsid w:val="006C5646"/>
    <w:rsid w:val="006C6DCF"/>
    <w:rsid w:val="006F35A2"/>
    <w:rsid w:val="00707BD9"/>
    <w:rsid w:val="0071352C"/>
    <w:rsid w:val="00713C55"/>
    <w:rsid w:val="007308B0"/>
    <w:rsid w:val="00734679"/>
    <w:rsid w:val="00767D44"/>
    <w:rsid w:val="00783E90"/>
    <w:rsid w:val="007F3C7B"/>
    <w:rsid w:val="007F4995"/>
    <w:rsid w:val="008033A1"/>
    <w:rsid w:val="00811CE7"/>
    <w:rsid w:val="00836411"/>
    <w:rsid w:val="00851230"/>
    <w:rsid w:val="00861848"/>
    <w:rsid w:val="0086716F"/>
    <w:rsid w:val="008904F7"/>
    <w:rsid w:val="00893F72"/>
    <w:rsid w:val="00895E64"/>
    <w:rsid w:val="008D691A"/>
    <w:rsid w:val="009113E9"/>
    <w:rsid w:val="00911C5C"/>
    <w:rsid w:val="00916E17"/>
    <w:rsid w:val="00916EAA"/>
    <w:rsid w:val="009723B9"/>
    <w:rsid w:val="009749E3"/>
    <w:rsid w:val="00981569"/>
    <w:rsid w:val="0099525F"/>
    <w:rsid w:val="00997750"/>
    <w:rsid w:val="009C7EC3"/>
    <w:rsid w:val="009D7075"/>
    <w:rsid w:val="009F0B14"/>
    <w:rsid w:val="00A03892"/>
    <w:rsid w:val="00A14966"/>
    <w:rsid w:val="00A27DD1"/>
    <w:rsid w:val="00A5789D"/>
    <w:rsid w:val="00A724D2"/>
    <w:rsid w:val="00A73884"/>
    <w:rsid w:val="00A92879"/>
    <w:rsid w:val="00A92C7D"/>
    <w:rsid w:val="00A97BAE"/>
    <w:rsid w:val="00AA0E97"/>
    <w:rsid w:val="00AA5B94"/>
    <w:rsid w:val="00AB560B"/>
    <w:rsid w:val="00AE375C"/>
    <w:rsid w:val="00AE7059"/>
    <w:rsid w:val="00B04E9D"/>
    <w:rsid w:val="00B11CDE"/>
    <w:rsid w:val="00BB711D"/>
    <w:rsid w:val="00BC0CBE"/>
    <w:rsid w:val="00BD1517"/>
    <w:rsid w:val="00BD40F7"/>
    <w:rsid w:val="00BE11C9"/>
    <w:rsid w:val="00BE2D85"/>
    <w:rsid w:val="00BE636B"/>
    <w:rsid w:val="00C049C0"/>
    <w:rsid w:val="00C11E6D"/>
    <w:rsid w:val="00C37AC8"/>
    <w:rsid w:val="00C47672"/>
    <w:rsid w:val="00C60749"/>
    <w:rsid w:val="00C618F4"/>
    <w:rsid w:val="00CA64FF"/>
    <w:rsid w:val="00CC7A0A"/>
    <w:rsid w:val="00CF40CA"/>
    <w:rsid w:val="00D141F6"/>
    <w:rsid w:val="00D211DA"/>
    <w:rsid w:val="00D33AD8"/>
    <w:rsid w:val="00D36C1A"/>
    <w:rsid w:val="00D46F3E"/>
    <w:rsid w:val="00D47A45"/>
    <w:rsid w:val="00D53BFF"/>
    <w:rsid w:val="00D8749B"/>
    <w:rsid w:val="00D8755A"/>
    <w:rsid w:val="00DB5BF4"/>
    <w:rsid w:val="00DE41B9"/>
    <w:rsid w:val="00DE6A5B"/>
    <w:rsid w:val="00DF04D2"/>
    <w:rsid w:val="00DF0E19"/>
    <w:rsid w:val="00E071AC"/>
    <w:rsid w:val="00E361BB"/>
    <w:rsid w:val="00E6495F"/>
    <w:rsid w:val="00E74B87"/>
    <w:rsid w:val="00E7537E"/>
    <w:rsid w:val="00E80C9E"/>
    <w:rsid w:val="00E93877"/>
    <w:rsid w:val="00EC11BF"/>
    <w:rsid w:val="00ED10CC"/>
    <w:rsid w:val="00ED3C1F"/>
    <w:rsid w:val="00EF182C"/>
    <w:rsid w:val="00EF7832"/>
    <w:rsid w:val="00F0657F"/>
    <w:rsid w:val="00F65645"/>
    <w:rsid w:val="00F758DD"/>
    <w:rsid w:val="00F864B5"/>
    <w:rsid w:val="00F9597B"/>
    <w:rsid w:val="00FB7416"/>
    <w:rsid w:val="00FC0F63"/>
    <w:rsid w:val="00FC1703"/>
    <w:rsid w:val="00FC620D"/>
    <w:rsid w:val="00FD5723"/>
    <w:rsid w:val="00FF65CA"/>
    <w:rsid w:val="011B6D03"/>
    <w:rsid w:val="016B3B8A"/>
    <w:rsid w:val="0184687F"/>
    <w:rsid w:val="0208442D"/>
    <w:rsid w:val="0253264B"/>
    <w:rsid w:val="02B8267C"/>
    <w:rsid w:val="03470B96"/>
    <w:rsid w:val="038B0CDD"/>
    <w:rsid w:val="03EF64BB"/>
    <w:rsid w:val="04964C2E"/>
    <w:rsid w:val="049D09A4"/>
    <w:rsid w:val="04A40DFE"/>
    <w:rsid w:val="050029E5"/>
    <w:rsid w:val="052558E4"/>
    <w:rsid w:val="05261815"/>
    <w:rsid w:val="05266A4B"/>
    <w:rsid w:val="053A28FA"/>
    <w:rsid w:val="055146F9"/>
    <w:rsid w:val="0560706F"/>
    <w:rsid w:val="05B702E6"/>
    <w:rsid w:val="05CF1F93"/>
    <w:rsid w:val="05E273D2"/>
    <w:rsid w:val="06592E42"/>
    <w:rsid w:val="06AA172E"/>
    <w:rsid w:val="06ED1CDE"/>
    <w:rsid w:val="07460C9B"/>
    <w:rsid w:val="085B331A"/>
    <w:rsid w:val="08FE5D23"/>
    <w:rsid w:val="0A071724"/>
    <w:rsid w:val="0AAE616A"/>
    <w:rsid w:val="0AD25E49"/>
    <w:rsid w:val="0B1C5AAA"/>
    <w:rsid w:val="0BA47C2D"/>
    <w:rsid w:val="0BB12105"/>
    <w:rsid w:val="0C1305F7"/>
    <w:rsid w:val="0CED7178"/>
    <w:rsid w:val="0D3606B5"/>
    <w:rsid w:val="0DC52696"/>
    <w:rsid w:val="0E28095E"/>
    <w:rsid w:val="0E693D91"/>
    <w:rsid w:val="0F2F2334"/>
    <w:rsid w:val="0FB06E78"/>
    <w:rsid w:val="0FBA737B"/>
    <w:rsid w:val="0FD533B4"/>
    <w:rsid w:val="108F25CD"/>
    <w:rsid w:val="10B80844"/>
    <w:rsid w:val="11F72DCF"/>
    <w:rsid w:val="12AD6E53"/>
    <w:rsid w:val="13370CC5"/>
    <w:rsid w:val="135E6DEA"/>
    <w:rsid w:val="139E2427"/>
    <w:rsid w:val="14024910"/>
    <w:rsid w:val="143D71A3"/>
    <w:rsid w:val="14B15B35"/>
    <w:rsid w:val="14C60571"/>
    <w:rsid w:val="159026A4"/>
    <w:rsid w:val="15C063EE"/>
    <w:rsid w:val="15C8287C"/>
    <w:rsid w:val="161D3A6E"/>
    <w:rsid w:val="16302145"/>
    <w:rsid w:val="174F1B70"/>
    <w:rsid w:val="17555BDC"/>
    <w:rsid w:val="17683B61"/>
    <w:rsid w:val="18025D64"/>
    <w:rsid w:val="181E6AA7"/>
    <w:rsid w:val="188E5FEF"/>
    <w:rsid w:val="18B14AB6"/>
    <w:rsid w:val="18DF7263"/>
    <w:rsid w:val="1916183C"/>
    <w:rsid w:val="19F177C2"/>
    <w:rsid w:val="1A423B83"/>
    <w:rsid w:val="1A8C0DB6"/>
    <w:rsid w:val="1A9829AF"/>
    <w:rsid w:val="1AE716E3"/>
    <w:rsid w:val="1AF1154E"/>
    <w:rsid w:val="1B6462AD"/>
    <w:rsid w:val="1C1A22F4"/>
    <w:rsid w:val="1CA752B0"/>
    <w:rsid w:val="1CC14479"/>
    <w:rsid w:val="1D0D2F84"/>
    <w:rsid w:val="1D1521BF"/>
    <w:rsid w:val="1D391F59"/>
    <w:rsid w:val="1D9749FB"/>
    <w:rsid w:val="1DAF6046"/>
    <w:rsid w:val="1DD106B2"/>
    <w:rsid w:val="1E073F0D"/>
    <w:rsid w:val="1E320A25"/>
    <w:rsid w:val="1E8319AC"/>
    <w:rsid w:val="1F4F0772"/>
    <w:rsid w:val="1F54050C"/>
    <w:rsid w:val="1F810169"/>
    <w:rsid w:val="20343DF8"/>
    <w:rsid w:val="20AC4B98"/>
    <w:rsid w:val="22265B0E"/>
    <w:rsid w:val="226032CD"/>
    <w:rsid w:val="22D450C7"/>
    <w:rsid w:val="231709B6"/>
    <w:rsid w:val="234731C4"/>
    <w:rsid w:val="236F4CBC"/>
    <w:rsid w:val="239057BC"/>
    <w:rsid w:val="243A3D74"/>
    <w:rsid w:val="244B45EE"/>
    <w:rsid w:val="248C222A"/>
    <w:rsid w:val="257C20C8"/>
    <w:rsid w:val="261760C0"/>
    <w:rsid w:val="267D3BE0"/>
    <w:rsid w:val="26892E20"/>
    <w:rsid w:val="279C2835"/>
    <w:rsid w:val="27A71034"/>
    <w:rsid w:val="27B73545"/>
    <w:rsid w:val="27D3677D"/>
    <w:rsid w:val="27FB2923"/>
    <w:rsid w:val="28204A21"/>
    <w:rsid w:val="287C7F67"/>
    <w:rsid w:val="28863741"/>
    <w:rsid w:val="28E22535"/>
    <w:rsid w:val="290430F2"/>
    <w:rsid w:val="293540DD"/>
    <w:rsid w:val="293B00C4"/>
    <w:rsid w:val="294027EF"/>
    <w:rsid w:val="29442036"/>
    <w:rsid w:val="297F1504"/>
    <w:rsid w:val="2A6332A9"/>
    <w:rsid w:val="2B2517DD"/>
    <w:rsid w:val="2BBF39BF"/>
    <w:rsid w:val="2C171726"/>
    <w:rsid w:val="2CDF08C9"/>
    <w:rsid w:val="2D2A7838"/>
    <w:rsid w:val="2D990486"/>
    <w:rsid w:val="2DA3194D"/>
    <w:rsid w:val="2DAA4023"/>
    <w:rsid w:val="2DB70E56"/>
    <w:rsid w:val="2E0416C9"/>
    <w:rsid w:val="2EA12636"/>
    <w:rsid w:val="2F215A47"/>
    <w:rsid w:val="2F307202"/>
    <w:rsid w:val="2F3357D5"/>
    <w:rsid w:val="2F94058F"/>
    <w:rsid w:val="2FD51D8A"/>
    <w:rsid w:val="301113A8"/>
    <w:rsid w:val="301F5581"/>
    <w:rsid w:val="304578CD"/>
    <w:rsid w:val="30D11A9A"/>
    <w:rsid w:val="31044E07"/>
    <w:rsid w:val="310F441A"/>
    <w:rsid w:val="31E07CF1"/>
    <w:rsid w:val="31F13D52"/>
    <w:rsid w:val="323E57B8"/>
    <w:rsid w:val="325712DE"/>
    <w:rsid w:val="3317670F"/>
    <w:rsid w:val="3336739A"/>
    <w:rsid w:val="333F06A4"/>
    <w:rsid w:val="33BF0E66"/>
    <w:rsid w:val="33FB7D28"/>
    <w:rsid w:val="34D66B94"/>
    <w:rsid w:val="351D21C5"/>
    <w:rsid w:val="36564B9D"/>
    <w:rsid w:val="36573411"/>
    <w:rsid w:val="373F1435"/>
    <w:rsid w:val="37854691"/>
    <w:rsid w:val="37C8204C"/>
    <w:rsid w:val="393706E9"/>
    <w:rsid w:val="399916D3"/>
    <w:rsid w:val="39AC558E"/>
    <w:rsid w:val="3A0B2567"/>
    <w:rsid w:val="3ABD2215"/>
    <w:rsid w:val="3ACD3B57"/>
    <w:rsid w:val="3BAE0294"/>
    <w:rsid w:val="3BC419C2"/>
    <w:rsid w:val="3C030E7F"/>
    <w:rsid w:val="3C7A43E9"/>
    <w:rsid w:val="3D2832C7"/>
    <w:rsid w:val="3D6F2953"/>
    <w:rsid w:val="3E3C4F58"/>
    <w:rsid w:val="3E7C084C"/>
    <w:rsid w:val="3EBC40A6"/>
    <w:rsid w:val="3ECA0ADA"/>
    <w:rsid w:val="3F282CCD"/>
    <w:rsid w:val="40217CAF"/>
    <w:rsid w:val="409B5806"/>
    <w:rsid w:val="40B44B89"/>
    <w:rsid w:val="40FC7FBD"/>
    <w:rsid w:val="42A309D8"/>
    <w:rsid w:val="42DA4730"/>
    <w:rsid w:val="43026E1A"/>
    <w:rsid w:val="432B590C"/>
    <w:rsid w:val="43890331"/>
    <w:rsid w:val="44292920"/>
    <w:rsid w:val="44DA759D"/>
    <w:rsid w:val="4507364E"/>
    <w:rsid w:val="45356EC9"/>
    <w:rsid w:val="458D6A4E"/>
    <w:rsid w:val="45F34304"/>
    <w:rsid w:val="466A4950"/>
    <w:rsid w:val="466F4D2C"/>
    <w:rsid w:val="4692298A"/>
    <w:rsid w:val="46D669D6"/>
    <w:rsid w:val="46EC35B7"/>
    <w:rsid w:val="472712E4"/>
    <w:rsid w:val="47B40579"/>
    <w:rsid w:val="47FD584A"/>
    <w:rsid w:val="485A2886"/>
    <w:rsid w:val="48890572"/>
    <w:rsid w:val="48AF5FCC"/>
    <w:rsid w:val="48D37694"/>
    <w:rsid w:val="49072266"/>
    <w:rsid w:val="491E462C"/>
    <w:rsid w:val="49214B3A"/>
    <w:rsid w:val="494675F9"/>
    <w:rsid w:val="49923288"/>
    <w:rsid w:val="4A5D1055"/>
    <w:rsid w:val="4A611935"/>
    <w:rsid w:val="4AFE5191"/>
    <w:rsid w:val="4B9860F9"/>
    <w:rsid w:val="4BA07E2F"/>
    <w:rsid w:val="4BA77CE1"/>
    <w:rsid w:val="4C1C6762"/>
    <w:rsid w:val="4D1617DC"/>
    <w:rsid w:val="4D527090"/>
    <w:rsid w:val="4D6E58C8"/>
    <w:rsid w:val="4DB2059C"/>
    <w:rsid w:val="4DBA1178"/>
    <w:rsid w:val="4E065214"/>
    <w:rsid w:val="4F1218D5"/>
    <w:rsid w:val="4F4C28CC"/>
    <w:rsid w:val="4F7B0186"/>
    <w:rsid w:val="500A2031"/>
    <w:rsid w:val="500D45E7"/>
    <w:rsid w:val="50203416"/>
    <w:rsid w:val="515E0B8A"/>
    <w:rsid w:val="51694182"/>
    <w:rsid w:val="51B6560A"/>
    <w:rsid w:val="51D76F81"/>
    <w:rsid w:val="521908B2"/>
    <w:rsid w:val="52FC782C"/>
    <w:rsid w:val="53310CD0"/>
    <w:rsid w:val="53B57D33"/>
    <w:rsid w:val="53C03695"/>
    <w:rsid w:val="53C214D3"/>
    <w:rsid w:val="53D301C5"/>
    <w:rsid w:val="541505F1"/>
    <w:rsid w:val="54312BE3"/>
    <w:rsid w:val="54A22615"/>
    <w:rsid w:val="55095B79"/>
    <w:rsid w:val="552B3A48"/>
    <w:rsid w:val="553D1BAE"/>
    <w:rsid w:val="5540169E"/>
    <w:rsid w:val="5556317D"/>
    <w:rsid w:val="55DC7807"/>
    <w:rsid w:val="56253AFE"/>
    <w:rsid w:val="56B0716F"/>
    <w:rsid w:val="57522B0E"/>
    <w:rsid w:val="57D06CB0"/>
    <w:rsid w:val="5852081C"/>
    <w:rsid w:val="586B36D4"/>
    <w:rsid w:val="58F172C7"/>
    <w:rsid w:val="59292E38"/>
    <w:rsid w:val="59487545"/>
    <w:rsid w:val="59487D56"/>
    <w:rsid w:val="59D93E6A"/>
    <w:rsid w:val="5A290952"/>
    <w:rsid w:val="5A5E1A12"/>
    <w:rsid w:val="5BF60D08"/>
    <w:rsid w:val="5C655478"/>
    <w:rsid w:val="5C672B16"/>
    <w:rsid w:val="5DBC2AA0"/>
    <w:rsid w:val="5E63642B"/>
    <w:rsid w:val="5E812080"/>
    <w:rsid w:val="5ED808C2"/>
    <w:rsid w:val="5F2142EE"/>
    <w:rsid w:val="5F7A0E15"/>
    <w:rsid w:val="5FCE41CD"/>
    <w:rsid w:val="60310060"/>
    <w:rsid w:val="60347C97"/>
    <w:rsid w:val="60EC59E7"/>
    <w:rsid w:val="60FB6467"/>
    <w:rsid w:val="611411DF"/>
    <w:rsid w:val="61145D61"/>
    <w:rsid w:val="628232F6"/>
    <w:rsid w:val="6300246C"/>
    <w:rsid w:val="63600739"/>
    <w:rsid w:val="637B5285"/>
    <w:rsid w:val="63FA3360"/>
    <w:rsid w:val="64311272"/>
    <w:rsid w:val="64950BBA"/>
    <w:rsid w:val="64CE344B"/>
    <w:rsid w:val="65AB2C89"/>
    <w:rsid w:val="66652E3E"/>
    <w:rsid w:val="66B25991"/>
    <w:rsid w:val="678A2E50"/>
    <w:rsid w:val="67AC5E88"/>
    <w:rsid w:val="67EC2BA1"/>
    <w:rsid w:val="680E4F44"/>
    <w:rsid w:val="682E44D1"/>
    <w:rsid w:val="683D0A83"/>
    <w:rsid w:val="68B03BBE"/>
    <w:rsid w:val="68C01CE7"/>
    <w:rsid w:val="698824BE"/>
    <w:rsid w:val="69EE58AF"/>
    <w:rsid w:val="6A1C3BEA"/>
    <w:rsid w:val="6AA84B3F"/>
    <w:rsid w:val="6AB14670"/>
    <w:rsid w:val="6AD246EE"/>
    <w:rsid w:val="6B4A2782"/>
    <w:rsid w:val="6B8818D4"/>
    <w:rsid w:val="6BD14D1C"/>
    <w:rsid w:val="6CD96457"/>
    <w:rsid w:val="6DF8626E"/>
    <w:rsid w:val="6E7B4422"/>
    <w:rsid w:val="6F6A4689"/>
    <w:rsid w:val="6F894F3E"/>
    <w:rsid w:val="6F9B7E84"/>
    <w:rsid w:val="6FB97C2B"/>
    <w:rsid w:val="6FC30252"/>
    <w:rsid w:val="6FD166D9"/>
    <w:rsid w:val="6FEF1BDF"/>
    <w:rsid w:val="70293003"/>
    <w:rsid w:val="70837ED1"/>
    <w:rsid w:val="70F61E3C"/>
    <w:rsid w:val="711E7A2E"/>
    <w:rsid w:val="71253A76"/>
    <w:rsid w:val="7154218D"/>
    <w:rsid w:val="71826CB8"/>
    <w:rsid w:val="71A33D65"/>
    <w:rsid w:val="71FA0A1B"/>
    <w:rsid w:val="72042286"/>
    <w:rsid w:val="729459AB"/>
    <w:rsid w:val="72B54F44"/>
    <w:rsid w:val="72F17DF2"/>
    <w:rsid w:val="732D1E73"/>
    <w:rsid w:val="73567A07"/>
    <w:rsid w:val="73B23BA5"/>
    <w:rsid w:val="74054209"/>
    <w:rsid w:val="757A7E5C"/>
    <w:rsid w:val="76952EB6"/>
    <w:rsid w:val="76B15806"/>
    <w:rsid w:val="76EF3B67"/>
    <w:rsid w:val="77022CE3"/>
    <w:rsid w:val="77EC3DA1"/>
    <w:rsid w:val="786D65C2"/>
    <w:rsid w:val="78A34359"/>
    <w:rsid w:val="79123DA5"/>
    <w:rsid w:val="7A2A54AB"/>
    <w:rsid w:val="7AA86C58"/>
    <w:rsid w:val="7B503B39"/>
    <w:rsid w:val="7BB9577E"/>
    <w:rsid w:val="7C555B97"/>
    <w:rsid w:val="7CB56B9A"/>
    <w:rsid w:val="7CBC499D"/>
    <w:rsid w:val="7D21599B"/>
    <w:rsid w:val="7DB9433F"/>
    <w:rsid w:val="7F3C2592"/>
    <w:rsid w:val="7F4A6DE3"/>
    <w:rsid w:val="7F655E9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cs="Times New Roman" w:asciiTheme="minorHAnsi" w:hAnsiTheme="minorHAnsi" w:eastAsiaTheme="minorEastAsia"/>
      <w:sz w:val="24"/>
      <w:szCs w:val="24"/>
      <w:lang w:val="en-US" w:eastAsia="zh-CN" w:bidi="ar-SA"/>
    </w:rPr>
  </w:style>
  <w:style w:type="paragraph" w:styleId="3">
    <w:name w:val="heading 1"/>
    <w:basedOn w:val="1"/>
    <w:next w:val="1"/>
    <w:link w:val="25"/>
    <w:qFormat/>
    <w:uiPriority w:val="9"/>
    <w:pPr>
      <w:spacing w:beforeAutospacing="1" w:afterAutospacing="1"/>
      <w:outlineLvl w:val="0"/>
    </w:pPr>
    <w:rPr>
      <w:rFonts w:hint="eastAsia" w:ascii="宋体" w:hAnsi="宋体" w:eastAsia="宋体"/>
      <w:b/>
      <w:bCs/>
      <w:kern w:val="44"/>
      <w:sz w:val="48"/>
      <w:szCs w:val="48"/>
    </w:rPr>
  </w:style>
  <w:style w:type="paragraph" w:styleId="4">
    <w:name w:val="heading 2"/>
    <w:basedOn w:val="1"/>
    <w:next w:val="1"/>
    <w:unhideWhenUsed/>
    <w:qFormat/>
    <w:uiPriority w:val="0"/>
    <w:pPr>
      <w:keepNext/>
      <w:keepLines/>
      <w:ind w:firstLine="880" w:firstLineChars="200"/>
      <w:outlineLvl w:val="1"/>
    </w:pPr>
    <w:rPr>
      <w:rFonts w:ascii="Arial" w:hAnsi="Arial" w:eastAsia="仿宋"/>
      <w:b/>
      <w:sz w:val="28"/>
    </w:rPr>
  </w:style>
  <w:style w:type="paragraph" w:styleId="5">
    <w:name w:val="heading 3"/>
    <w:basedOn w:val="1"/>
    <w:next w:val="1"/>
    <w:link w:val="26"/>
    <w:unhideWhenUsed/>
    <w:qFormat/>
    <w:uiPriority w:val="9"/>
    <w:pPr>
      <w:spacing w:beforeAutospacing="1" w:afterAutospacing="1"/>
      <w:outlineLvl w:val="2"/>
    </w:pPr>
    <w:rPr>
      <w:rFonts w:hint="eastAsia" w:ascii="宋体" w:hAnsi="宋体" w:eastAsia="宋体"/>
      <w:b/>
      <w:bCs/>
      <w:sz w:val="27"/>
      <w:szCs w:val="27"/>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7"/>
    <w:qFormat/>
    <w:uiPriority w:val="99"/>
    <w:pPr>
      <w:tabs>
        <w:tab w:val="center" w:pos="4153"/>
        <w:tab w:val="right" w:pos="8306"/>
      </w:tabs>
      <w:snapToGrid w:val="0"/>
    </w:pPr>
    <w:rPr>
      <w:sz w:val="18"/>
    </w:rPr>
  </w:style>
  <w:style w:type="paragraph" w:styleId="6">
    <w:name w:val="annotation text"/>
    <w:basedOn w:val="1"/>
    <w:qFormat/>
    <w:uiPriority w:val="0"/>
  </w:style>
  <w:style w:type="paragraph" w:styleId="7">
    <w:name w:val="toc 3"/>
    <w:basedOn w:val="1"/>
    <w:next w:val="1"/>
    <w:autoRedefine/>
    <w:qFormat/>
    <w:uiPriority w:val="39"/>
    <w:pPr>
      <w:ind w:left="840" w:leftChars="400"/>
    </w:pPr>
  </w:style>
  <w:style w:type="paragraph" w:styleId="8">
    <w:name w:val="Balloon Text"/>
    <w:basedOn w:val="1"/>
    <w:link w:val="24"/>
    <w:qFormat/>
    <w:uiPriority w:val="0"/>
    <w:rPr>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10">
    <w:name w:val="toc 1"/>
    <w:basedOn w:val="1"/>
    <w:next w:val="1"/>
    <w:qFormat/>
    <w:uiPriority w:val="39"/>
    <w:pPr>
      <w:spacing w:beforeLines="50" w:afterLines="50"/>
    </w:pPr>
  </w:style>
  <w:style w:type="paragraph" w:styleId="11">
    <w:name w:val="toc 2"/>
    <w:basedOn w:val="1"/>
    <w:next w:val="1"/>
    <w:qFormat/>
    <w:uiPriority w:val="0"/>
    <w:pPr>
      <w:spacing w:beforeLines="50" w:afterLines="50"/>
      <w:ind w:left="420" w:leftChars="200"/>
    </w:pPr>
  </w:style>
  <w:style w:type="paragraph" w:styleId="12">
    <w:name w:val="Normal (Web)"/>
    <w:basedOn w:val="1"/>
    <w:qFormat/>
    <w:uiPriority w:val="0"/>
    <w:pPr>
      <w:spacing w:beforeAutospacing="1" w:afterAutospacing="1"/>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rPr>
  </w:style>
  <w:style w:type="character" w:styleId="17">
    <w:name w:val="Emphasis"/>
    <w:basedOn w:val="15"/>
    <w:qFormat/>
    <w:uiPriority w:val="0"/>
    <w:rPr>
      <w:i/>
    </w:rPr>
  </w:style>
  <w:style w:type="character" w:styleId="18">
    <w:name w:val="Hyperlink"/>
    <w:basedOn w:val="15"/>
    <w:qFormat/>
    <w:uiPriority w:val="99"/>
    <w:rPr>
      <w:color w:val="0000FF"/>
      <w:u w:val="single"/>
    </w:rPr>
  </w:style>
  <w:style w:type="character" w:styleId="19">
    <w:name w:val="HTML Code"/>
    <w:basedOn w:val="15"/>
    <w:qFormat/>
    <w:uiPriority w:val="0"/>
    <w:rPr>
      <w:rFonts w:ascii="Courier New" w:hAnsi="Courier New"/>
      <w:sz w:val="20"/>
    </w:rPr>
  </w:style>
  <w:style w:type="paragraph" w:customStyle="1" w:styleId="20">
    <w:name w:val="Default"/>
    <w:unhideWhenUsed/>
    <w:qFormat/>
    <w:uiPriority w:val="99"/>
    <w:pPr>
      <w:widowControl w:val="0"/>
      <w:autoSpaceDE w:val="0"/>
      <w:autoSpaceDN w:val="0"/>
      <w:adjustRightInd w:val="0"/>
    </w:pPr>
    <w:rPr>
      <w:rFonts w:hint="eastAsia" w:ascii="黑体" w:hAnsi="黑体" w:eastAsia="黑体" w:cs="Times New Roman"/>
      <w:color w:val="000000"/>
      <w:sz w:val="24"/>
      <w:szCs w:val="24"/>
      <w:lang w:val="en-US" w:eastAsia="zh-CN" w:bidi="ar-SA"/>
    </w:rPr>
  </w:style>
  <w:style w:type="paragraph" w:customStyle="1" w:styleId="21">
    <w:name w:val="WPSOffice手动目录 1"/>
    <w:qFormat/>
    <w:uiPriority w:val="0"/>
    <w:rPr>
      <w:rFonts w:ascii="Times New Roman" w:hAnsi="Times New Roman" w:eastAsia="宋体" w:cs="Times New Roman"/>
      <w:lang w:val="en-US" w:eastAsia="zh-CN" w:bidi="ar-SA"/>
    </w:rPr>
  </w:style>
  <w:style w:type="paragraph" w:customStyle="1" w:styleId="22">
    <w:name w:val="WPSOffice手动目录 2"/>
    <w:qFormat/>
    <w:uiPriority w:val="0"/>
    <w:pPr>
      <w:ind w:left="200" w:leftChars="200"/>
    </w:pPr>
    <w:rPr>
      <w:rFonts w:ascii="Times New Roman" w:hAnsi="Times New Roman" w:eastAsia="宋体" w:cs="Times New Roman"/>
      <w:lang w:val="en-US" w:eastAsia="zh-CN" w:bidi="ar-SA"/>
    </w:rPr>
  </w:style>
  <w:style w:type="paragraph" w:styleId="23">
    <w:name w:val="List Paragraph"/>
    <w:basedOn w:val="1"/>
    <w:qFormat/>
    <w:uiPriority w:val="34"/>
    <w:pPr>
      <w:ind w:firstLine="420"/>
    </w:pPr>
  </w:style>
  <w:style w:type="character" w:customStyle="1" w:styleId="24">
    <w:name w:val="批注框文本 Char"/>
    <w:basedOn w:val="15"/>
    <w:link w:val="8"/>
    <w:qFormat/>
    <w:uiPriority w:val="0"/>
    <w:rPr>
      <w:rFonts w:asciiTheme="minorHAnsi" w:hAnsiTheme="minorHAnsi" w:eastAsiaTheme="minorEastAsia"/>
      <w:sz w:val="18"/>
      <w:szCs w:val="18"/>
    </w:rPr>
  </w:style>
  <w:style w:type="character" w:customStyle="1" w:styleId="25">
    <w:name w:val="标题 1 Char"/>
    <w:basedOn w:val="15"/>
    <w:link w:val="3"/>
    <w:qFormat/>
    <w:uiPriority w:val="9"/>
    <w:rPr>
      <w:rFonts w:ascii="宋体" w:hAnsi="宋体"/>
      <w:b/>
      <w:bCs/>
      <w:kern w:val="44"/>
      <w:sz w:val="48"/>
      <w:szCs w:val="48"/>
    </w:rPr>
  </w:style>
  <w:style w:type="character" w:customStyle="1" w:styleId="26">
    <w:name w:val="标题 3 Char"/>
    <w:basedOn w:val="15"/>
    <w:link w:val="5"/>
    <w:qFormat/>
    <w:uiPriority w:val="9"/>
    <w:rPr>
      <w:rFonts w:ascii="宋体" w:hAnsi="宋体"/>
      <w:b/>
      <w:bCs/>
      <w:sz w:val="27"/>
      <w:szCs w:val="27"/>
    </w:rPr>
  </w:style>
  <w:style w:type="character" w:customStyle="1" w:styleId="27">
    <w:name w:val="页脚 Char"/>
    <w:basedOn w:val="15"/>
    <w:link w:val="2"/>
    <w:qFormat/>
    <w:uiPriority w:val="99"/>
    <w:rPr>
      <w:rFonts w:asciiTheme="minorHAnsi" w:hAnsiTheme="minorHAnsi" w:eastAsiaTheme="minorEastAsia"/>
      <w:sz w:val="18"/>
      <w:szCs w:val="24"/>
    </w:rPr>
  </w:style>
  <w:style w:type="paragraph" w:customStyle="1" w:styleId="28">
    <w:name w:val="TOC Heading"/>
    <w:basedOn w:val="3"/>
    <w:next w:val="1"/>
    <w:semiHidden/>
    <w:unhideWhenUsed/>
    <w:qFormat/>
    <w:uiPriority w:val="39"/>
    <w:pPr>
      <w:keepNext/>
      <w:keepLines/>
      <w:spacing w:before="480" w:beforeAutospacing="0" w:afterAutospacing="0" w:line="276" w:lineRule="auto"/>
      <w:outlineLvl w:val="9"/>
    </w:pPr>
    <w:rPr>
      <w:rFonts w:hint="default" w:asciiTheme="majorHAnsi" w:hAnsiTheme="majorHAnsi" w:eastAsiaTheme="majorEastAsia" w:cstheme="majorBidi"/>
      <w:color w:val="2E75B5" w:themeColor="accent1" w:themeShade="BF"/>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96366E2-DADD-4A9C-B1F1-D4051CE695A4}">
  <ds:schemaRefs/>
</ds:datastoreItem>
</file>

<file path=docProps/app.xml><?xml version="1.0" encoding="utf-8"?>
<Properties xmlns="http://schemas.openxmlformats.org/officeDocument/2006/extended-properties" xmlns:vt="http://schemas.openxmlformats.org/officeDocument/2006/docPropsVTypes">
  <Template>Normal</Template>
  <Company>邢台市规划设计研究院</Company>
  <Pages>18</Pages>
  <Words>274</Words>
  <Characters>295</Characters>
  <Lines>56</Lines>
  <Paragraphs>15</Paragraphs>
  <TotalTime>1212</TotalTime>
  <ScaleCrop>false</ScaleCrop>
  <LinksUpToDate>false</LinksUpToDate>
  <CharactersWithSpaces>444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2024-09-01T08:16:00Z</dcterms:created>
  <dc:creator>HP</dc:creator>
  <cp:lastModifiedBy>舍得 ！舍得？</cp:lastModifiedBy>
  <cp:lastPrinted>2026-05-06T02:28:00Z</cp:lastPrinted>
  <dcterms:modified xsi:type="dcterms:W3CDTF">2026-06-05T06:33:37Z</dcterms:modified>
  <cp:revision>288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F6934CE20EF2420B82342EAE7AC3733A_13</vt:lpwstr>
  </property>
  <property fmtid="{D5CDD505-2E9C-101B-9397-08002B2CF9AE}" pid="4" name="KSOTemplateDocerSaveRecord">
    <vt:lpwstr>eyJoZGlkIjoiZWUxMDViZGEzMzhiMzk4Y2ZiNjI3NmViZGJhYjY2NjciLCJ1c2VySWQiOiI1OTYwODczNDYifQ==</vt:lpwstr>
  </property>
</Properties>
</file>