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85C6B7">
      <w:pPr>
        <w:jc w:val="center"/>
        <w:rPr>
          <w:rFonts w:ascii="黑体" w:hAnsi="黑体" w:eastAsia="黑体"/>
          <w:sz w:val="32"/>
          <w:szCs w:val="32"/>
        </w:rPr>
      </w:pPr>
      <w:r>
        <w:rPr>
          <w:rFonts w:ascii="黑体" w:hAnsi="黑体" w:eastAsia="黑体" w:cs="黑体"/>
          <w:b/>
          <w:color w:val="000000"/>
          <w:sz w:val="44"/>
        </w:rPr>
        <w:t>2022年</w:t>
      </w:r>
      <w:r>
        <w:rPr>
          <w:rFonts w:hint="eastAsia" w:ascii="黑体" w:hAnsi="黑体" w:eastAsia="黑体" w:cs="黑体"/>
          <w:b/>
          <w:color w:val="000000"/>
          <w:sz w:val="44"/>
          <w:lang w:eastAsia="zh-CN"/>
        </w:rPr>
        <w:t>单位</w:t>
      </w:r>
      <w:r>
        <w:rPr>
          <w:rFonts w:ascii="宋体" w:hAnsi="宋体"/>
          <w:b/>
          <w:bCs/>
          <w:sz w:val="44"/>
          <w:szCs w:val="44"/>
        </w:rPr>
        <w:t>预算信息公开目录</w:t>
      </w:r>
    </w:p>
    <w:p w14:paraId="7CD02393">
      <w:pPr>
        <w:jc w:val="center"/>
        <w:rPr>
          <w:rFonts w:ascii="黑体" w:hAnsi="黑体" w:eastAsia="黑体" w:cs="黑体"/>
          <w:b/>
          <w:color w:val="000000"/>
          <w:sz w:val="32"/>
          <w:szCs w:val="32"/>
        </w:rPr>
      </w:pPr>
    </w:p>
    <w:p w14:paraId="50C42A38">
      <w:pPr>
        <w:autoSpaceDE w:val="0"/>
        <w:autoSpaceDN w:val="0"/>
        <w:adjustRightInd w:val="0"/>
        <w:ind w:firstLine="600"/>
        <w:jc w:val="left"/>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一、宁晋县公安局本级收支预算</w:t>
      </w:r>
    </w:p>
    <w:p w14:paraId="275C2BAE">
      <w:pPr>
        <w:autoSpaceDE w:val="0"/>
        <w:autoSpaceDN w:val="0"/>
        <w:adjustRightInd w:val="0"/>
        <w:jc w:val="both"/>
        <w:rPr>
          <w:rFonts w:hint="eastAsia" w:ascii="仿宋_GB2312" w:hAnsi="仿宋_GB2312" w:eastAsia="仿宋_GB2312" w:cs="仿宋_GB2312"/>
          <w:b/>
          <w:bCs/>
          <w:sz w:val="84"/>
          <w:szCs w:val="84"/>
          <w:lang w:val="en-US" w:eastAsia="zh-CN"/>
        </w:rPr>
      </w:pPr>
      <w:bookmarkStart w:id="1" w:name="_GoBack"/>
      <w:bookmarkEnd w:id="1"/>
    </w:p>
    <w:p w14:paraId="5B373A07">
      <w:pPr>
        <w:autoSpaceDE w:val="0"/>
        <w:autoSpaceDN w:val="0"/>
        <w:adjustRightInd w:val="0"/>
        <w:jc w:val="both"/>
        <w:rPr>
          <w:rFonts w:hint="eastAsia" w:ascii="仿宋_GB2312" w:hAnsi="仿宋_GB2312" w:eastAsia="仿宋_GB2312" w:cs="仿宋_GB2312"/>
          <w:b/>
          <w:bCs/>
          <w:sz w:val="84"/>
          <w:szCs w:val="84"/>
          <w:lang w:val="en-US" w:eastAsia="zh-CN"/>
        </w:rPr>
      </w:pPr>
    </w:p>
    <w:p w14:paraId="1C0C6642">
      <w:pPr>
        <w:autoSpaceDE w:val="0"/>
        <w:autoSpaceDN w:val="0"/>
        <w:adjustRightInd w:val="0"/>
        <w:ind w:firstLine="600"/>
        <w:jc w:val="left"/>
        <w:rPr>
          <w:rFonts w:hint="eastAsia" w:ascii="宋体" w:hAnsi="宋体" w:eastAsia="宋体" w:cs="宋体"/>
          <w:sz w:val="32"/>
          <w:szCs w:val="32"/>
          <w:lang w:val="en-US" w:eastAsia="zh-CN"/>
        </w:rPr>
      </w:pPr>
    </w:p>
    <w:p w14:paraId="0B62D226">
      <w:pPr>
        <w:autoSpaceDE w:val="0"/>
        <w:autoSpaceDN w:val="0"/>
        <w:adjustRightInd w:val="0"/>
        <w:ind w:firstLine="640" w:firstLineChars="200"/>
        <w:jc w:val="left"/>
        <w:rPr>
          <w:rFonts w:ascii="仿宋_GB2312" w:hAnsi="仿宋_GB2312"/>
          <w:sz w:val="32"/>
          <w:szCs w:val="32"/>
        </w:rPr>
      </w:pPr>
    </w:p>
    <w:p w14:paraId="60B7C6FF">
      <w:pPr>
        <w:autoSpaceDE w:val="0"/>
        <w:autoSpaceDN w:val="0"/>
        <w:adjustRightInd w:val="0"/>
        <w:ind w:firstLine="640" w:firstLineChars="200"/>
        <w:jc w:val="left"/>
        <w:rPr>
          <w:rFonts w:ascii="仿宋_GB2312" w:hAnsi="仿宋_GB2312"/>
          <w:sz w:val="32"/>
          <w:szCs w:val="32"/>
        </w:rPr>
      </w:pPr>
    </w:p>
    <w:p w14:paraId="40A9C6C2">
      <w:pPr>
        <w:autoSpaceDE w:val="0"/>
        <w:autoSpaceDN w:val="0"/>
        <w:adjustRightInd w:val="0"/>
        <w:ind w:firstLine="640" w:firstLineChars="200"/>
        <w:jc w:val="left"/>
        <w:rPr>
          <w:rFonts w:ascii="仿宋_GB2312" w:hAnsi="仿宋_GB2312"/>
          <w:sz w:val="32"/>
          <w:szCs w:val="32"/>
        </w:rPr>
      </w:pPr>
    </w:p>
    <w:p w14:paraId="419A2959">
      <w:pPr>
        <w:widowControl/>
        <w:spacing w:line="560" w:lineRule="exact"/>
        <w:jc w:val="left"/>
        <w:rPr>
          <w:rFonts w:hint="eastAsia" w:ascii="仿宋" w:hAnsi="仿宋" w:eastAsia="仿宋"/>
          <w:sz w:val="32"/>
          <w:szCs w:val="32"/>
        </w:rPr>
      </w:pPr>
    </w:p>
    <w:p w14:paraId="68F4CCB6">
      <w:pPr>
        <w:widowControl/>
        <w:spacing w:line="560" w:lineRule="exact"/>
        <w:ind w:firstLine="640"/>
        <w:jc w:val="left"/>
        <w:rPr>
          <w:rFonts w:hint="eastAsia" w:ascii="仿宋" w:hAnsi="仿宋" w:eastAsia="仿宋"/>
          <w:sz w:val="32"/>
          <w:szCs w:val="32"/>
        </w:rPr>
      </w:pPr>
    </w:p>
    <w:p w14:paraId="7B91E877">
      <w:pPr>
        <w:jc w:val="center"/>
      </w:pPr>
      <w:r>
        <w:rPr>
          <w:rFonts w:ascii="方正小标宋_GBK" w:hAnsi="方正小标宋_GBK" w:eastAsia="方正小标宋_GBK" w:cs="方正小标宋_GBK"/>
          <w:color w:val="000000"/>
          <w:sz w:val="44"/>
        </w:rPr>
        <w:t xml:space="preserve">  </w:t>
      </w:r>
    </w:p>
    <w:p w14:paraId="793A7E89">
      <w:pPr>
        <w:jc w:val="center"/>
      </w:pPr>
      <w:r>
        <w:rPr>
          <w:rFonts w:ascii="方正小标宋_GBK" w:hAnsi="方正小标宋_GBK" w:eastAsia="方正小标宋_GBK" w:cs="方正小标宋_GBK"/>
          <w:color w:val="000000"/>
          <w:sz w:val="44"/>
        </w:rPr>
        <w:t xml:space="preserve"> </w:t>
      </w:r>
    </w:p>
    <w:p w14:paraId="66546D04">
      <w:pPr>
        <w:jc w:val="center"/>
        <w:outlineLvl w:val="3"/>
        <w:rPr>
          <w:rFonts w:ascii="仿宋_GB2312" w:hAnsi="仿宋_GB2312"/>
          <w:sz w:val="32"/>
          <w:szCs w:val="32"/>
        </w:rPr>
      </w:pPr>
      <w:bookmarkStart w:id="0" w:name="_Toc_4_4_0000000019"/>
      <w:r>
        <w:rPr>
          <w:rFonts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val="en-US" w:eastAsia="zh-CN"/>
        </w:rPr>
        <w:t>宁晋县公安局</w:t>
      </w:r>
      <w:r>
        <w:rPr>
          <w:rFonts w:ascii="方正小标宋_GBK" w:hAnsi="方正小标宋_GBK" w:eastAsia="方正小标宋_GBK" w:cs="方正小标宋_GBK"/>
          <w:color w:val="000000"/>
          <w:sz w:val="44"/>
        </w:rPr>
        <w:t>本级收支预算</w:t>
      </w:r>
      <w:bookmarkEnd w:id="0"/>
    </w:p>
    <w:tbl>
      <w:tblPr>
        <w:tblStyle w:val="5"/>
        <w:tblW w:w="1252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4"/>
        <w:gridCol w:w="3469"/>
        <w:gridCol w:w="1670"/>
        <w:gridCol w:w="4058"/>
        <w:gridCol w:w="2539"/>
      </w:tblGrid>
      <w:tr w14:paraId="59B78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2520" w:type="dxa"/>
            <w:gridSpan w:val="5"/>
            <w:tcBorders>
              <w:top w:val="nil"/>
              <w:left w:val="nil"/>
              <w:bottom w:val="nil"/>
              <w:right w:val="nil"/>
            </w:tcBorders>
            <w:shd w:val="clear" w:color="auto" w:fill="auto"/>
            <w:vAlign w:val="center"/>
          </w:tcPr>
          <w:p w14:paraId="519BC9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单位</w:t>
            </w:r>
            <w:r>
              <w:rPr>
                <w:rFonts w:hint="eastAsia" w:ascii="宋体" w:hAnsi="宋体" w:eastAsia="宋体" w:cs="宋体"/>
                <w:i w:val="0"/>
                <w:iCs w:val="0"/>
                <w:color w:val="000000"/>
                <w:kern w:val="0"/>
                <w:sz w:val="22"/>
                <w:szCs w:val="22"/>
                <w:u w:val="none"/>
                <w:lang w:val="en-US" w:eastAsia="zh-CN" w:bidi="ar"/>
              </w:rPr>
              <w:t>预算收支总表</w:t>
            </w:r>
          </w:p>
        </w:tc>
      </w:tr>
      <w:tr w14:paraId="4A36B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923" w:type="dxa"/>
            <w:gridSpan w:val="3"/>
            <w:tcBorders>
              <w:top w:val="nil"/>
              <w:left w:val="nil"/>
              <w:bottom w:val="single" w:color="000000" w:sz="4" w:space="0"/>
              <w:right w:val="nil"/>
            </w:tcBorders>
            <w:shd w:val="clear" w:color="auto" w:fill="auto"/>
            <w:vAlign w:val="center"/>
          </w:tcPr>
          <w:p w14:paraId="0BABE8E8">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预算单位编码及名称：[312</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]宁晋县公安局</w:t>
            </w:r>
            <w:r>
              <w:rPr>
                <w:rFonts w:hint="eastAsia" w:ascii="宋体" w:hAnsi="宋体" w:cs="宋体"/>
                <w:i w:val="0"/>
                <w:iCs w:val="0"/>
                <w:color w:val="000000"/>
                <w:kern w:val="0"/>
                <w:sz w:val="22"/>
                <w:szCs w:val="22"/>
                <w:u w:val="none"/>
                <w:lang w:val="en-US" w:eastAsia="zh-CN" w:bidi="ar"/>
              </w:rPr>
              <w:t>本级</w:t>
            </w:r>
          </w:p>
        </w:tc>
        <w:tc>
          <w:tcPr>
            <w:tcW w:w="4058" w:type="dxa"/>
            <w:tcBorders>
              <w:top w:val="nil"/>
              <w:left w:val="nil"/>
              <w:bottom w:val="single" w:color="000000" w:sz="4" w:space="0"/>
              <w:right w:val="nil"/>
            </w:tcBorders>
            <w:shd w:val="clear" w:color="auto" w:fill="auto"/>
            <w:vAlign w:val="center"/>
          </w:tcPr>
          <w:p w14:paraId="1D38BEE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2539" w:type="dxa"/>
            <w:tcBorders>
              <w:top w:val="nil"/>
              <w:left w:val="nil"/>
              <w:bottom w:val="single" w:color="000000" w:sz="4" w:space="0"/>
              <w:right w:val="nil"/>
            </w:tcBorders>
            <w:shd w:val="clear" w:color="auto" w:fill="auto"/>
            <w:vAlign w:val="center"/>
          </w:tcPr>
          <w:p w14:paraId="1604858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4EA7B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A732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51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6C6F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65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089D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7D2B1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28AF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EBB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9FA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6E3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619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r>
      <w:tr w14:paraId="45ED4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E74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CB0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AD7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073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6EE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14:paraId="1A221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39C74889">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64E2F50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一、一般公共预算拨款收入</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1D93D5F4">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10479.86</w:t>
            </w: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57928FDA">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一、一般公共服务支出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7341D39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06FA2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549B1DC1">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74CE786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二、政府性基金预算拨款收入</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569A382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165230C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二、外交支出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2286D0E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7EAD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4559FF72">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1E84BE7A">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三、国有资本经营预算拨款收入</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3FA0486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6B7B5482">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三、国防支出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60DBE19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52899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5A6CE3F2">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099615F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四、财政专户管理资金收入</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223D7A5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5634133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四、公共安全支出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0006386D">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9573.69</w:t>
            </w:r>
          </w:p>
        </w:tc>
      </w:tr>
      <w:tr w14:paraId="6E04A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51110E81">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201FB425">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五、事业收入</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03A7A43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2F30E765">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五、教育支出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3637F88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0FA0B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2E6153AE">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143B318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六、事业单位经营收入</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6DD501A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4060C273">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六、科学技术支出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79C1D6D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75B74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70B14627">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3FDDA7F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七、上级补助收入</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233E899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78FD99D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七、文化旅游体育与传媒支出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2F8D164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C436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027B0DB6">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661C33F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八、附属单位上缴收入</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40C730A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7C56F7BA">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八、社会保障和就业支出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5013C11E">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479.59</w:t>
            </w:r>
          </w:p>
        </w:tc>
      </w:tr>
      <w:tr w14:paraId="327FD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4E34D607">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74EFA7B2">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九、其他收入</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7FA2BC7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5E35F41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九、社会保险基金支出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1741F90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BC61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7E960027">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0AF89137">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7D84520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37CFDC2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十、卫生健康支出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47FE057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r>
      <w:tr w14:paraId="54E39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38918E12">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41733E0E">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32FF74C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7009EC71">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十一、节能环保支出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68C88DA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27A72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2B6BCCE1">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1F16A3DA">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5444BF3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0DBC31A2">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十二、城乡社区支出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0B8F35A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A6E7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088225AB">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24FB63D5">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2D3A7EC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3CE1A00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十三、农林水支出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1FB7951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C988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12A9DC14">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093A7A62">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0565C00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38A4988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十四、交通运输支出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3D8594E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7D428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15FBD6B3">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1DD41774">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7097320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0B4C85C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十五、资源勘探工业信息等支出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3F35C3E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ABB5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52ADF956">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0D55C723">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26E1C2B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55735524">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十六、商业服务业等支出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174DFFB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229F5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3F3791DF">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340A98ED">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29EEEB7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229CC02A">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十七、金融支出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796E63D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26E46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689C6619">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0EB62474">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72CA26B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72B297F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十八、援助其他地区支出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4F88FE0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79E9B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30A5BC70">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2CF89BE2">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47B884E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450F2314">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十九、自然资源海洋气象等支出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7BFC37C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5140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37539F6B">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5ADD1FDA">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2E35058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7DB3C195">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二十、住房保障支出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35DBE46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r>
      <w:tr w14:paraId="58149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5A164898">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3685DF74">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78DD565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18B54363">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二十一、粮油物资储备支出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6347CF1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26509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6476E760">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79C774E3">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51ADE6F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05EDB233">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二十二、国有资本经营预算支出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6A6F497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C47E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04E3A8B8">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758A6358">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25664B7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02F0758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二十三、灾害防治及应急管理支出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5A70DC4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410E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179C46C9">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416B62DC">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4208EEF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43F33A6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二十四、预备费</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3284FA1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78031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1686A58E">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6FA9DADA">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79A591B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2C6D542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二十五、其他支出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70D8973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23022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52AFA274">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37238400">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7485B19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044D2441">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二十六、转移性支出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228C4F2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5D5A7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6B681672">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4E4EEFC8">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3ABF62A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48D944F9">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二十七、灾害防治及应急管理共同财政事权转移支付支出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71C2DBA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DC4C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183A98AA">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3DC4A30C">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1500BF6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1C0479A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二十八、债务还本支出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3427FE7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FBD4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61A7683D">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765ACAE7">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625F16E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50827163">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二十九、债务付息支出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626B644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545D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690FE3F4">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56D3C38C">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6588C8B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72F8080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三十、债务发行费用支出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37D7968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3AA9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2AD30A21">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7345D86B">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24DAA86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3532D094">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三十一、抗疫特别国债安排的支出</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37BD5C9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5B0C5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73EE9D8E">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7798B36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本年收入合计</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51A7741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10479.86</w:t>
            </w: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6EB0E6D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本年支出合计</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17D9564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10479.86</w:t>
            </w:r>
          </w:p>
        </w:tc>
      </w:tr>
      <w:tr w14:paraId="02190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513AC83A">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33</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395EB35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上年结转结余</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3ED88D7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120557A1">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年终结转结余</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1B3087A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0B905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4C5744F5">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top"/>
          </w:tcPr>
          <w:p w14:paraId="353EB92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收入总计</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top"/>
          </w:tcPr>
          <w:p w14:paraId="5A697338">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10479.86</w:t>
            </w:r>
          </w:p>
        </w:tc>
        <w:tc>
          <w:tcPr>
            <w:tcW w:w="4058" w:type="dxa"/>
            <w:tcBorders>
              <w:top w:val="single" w:color="000000" w:sz="4" w:space="0"/>
              <w:left w:val="single" w:color="000000" w:sz="4" w:space="0"/>
              <w:bottom w:val="single" w:color="000000" w:sz="4" w:space="0"/>
              <w:right w:val="single" w:color="000000" w:sz="4" w:space="0"/>
            </w:tcBorders>
            <w:shd w:val="clear" w:color="auto" w:fill="auto"/>
            <w:vAlign w:val="top"/>
          </w:tcPr>
          <w:p w14:paraId="1BA68784">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支出总计</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top"/>
          </w:tcPr>
          <w:p w14:paraId="6F0C0E44">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10479.86</w:t>
            </w:r>
          </w:p>
        </w:tc>
      </w:tr>
    </w:tbl>
    <w:p w14:paraId="6F2BEF95">
      <w:pPr>
        <w:spacing w:line="240" w:lineRule="auto"/>
        <w:jc w:val="both"/>
        <w:rPr>
          <w:rFonts w:hint="eastAsia" w:ascii="黑体" w:hAnsi="黑体" w:eastAsia="黑体"/>
          <w:sz w:val="32"/>
          <w:szCs w:val="32"/>
          <w:lang w:eastAsia="zh-CN"/>
        </w:rPr>
      </w:pPr>
    </w:p>
    <w:p w14:paraId="05E6C4D8">
      <w:pPr>
        <w:spacing w:line="240" w:lineRule="auto"/>
        <w:jc w:val="both"/>
        <w:rPr>
          <w:rFonts w:hint="eastAsia" w:ascii="黑体" w:hAnsi="黑体" w:eastAsia="黑体"/>
          <w:sz w:val="32"/>
          <w:szCs w:val="32"/>
          <w:lang w:eastAsia="zh-CN"/>
        </w:rPr>
      </w:pPr>
    </w:p>
    <w:p w14:paraId="34844B37">
      <w:pPr>
        <w:spacing w:line="240" w:lineRule="auto"/>
        <w:jc w:val="both"/>
        <w:rPr>
          <w:rFonts w:hint="eastAsia" w:ascii="黑体" w:hAnsi="黑体" w:eastAsia="黑体"/>
          <w:sz w:val="32"/>
          <w:szCs w:val="32"/>
          <w:lang w:eastAsia="zh-CN"/>
        </w:rPr>
      </w:pPr>
    </w:p>
    <w:tbl>
      <w:tblPr>
        <w:tblStyle w:val="5"/>
        <w:tblW w:w="1433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4"/>
        <w:gridCol w:w="1100"/>
        <w:gridCol w:w="2416"/>
        <w:gridCol w:w="1053"/>
        <w:gridCol w:w="1053"/>
        <w:gridCol w:w="1053"/>
        <w:gridCol w:w="964"/>
        <w:gridCol w:w="964"/>
        <w:gridCol w:w="964"/>
        <w:gridCol w:w="964"/>
        <w:gridCol w:w="964"/>
        <w:gridCol w:w="964"/>
        <w:gridCol w:w="1096"/>
      </w:tblGrid>
      <w:tr w14:paraId="2CF32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4339" w:type="dxa"/>
            <w:gridSpan w:val="13"/>
            <w:tcBorders>
              <w:top w:val="nil"/>
              <w:left w:val="nil"/>
              <w:bottom w:val="nil"/>
              <w:right w:val="nil"/>
            </w:tcBorders>
            <w:shd w:val="clear" w:color="auto" w:fill="auto"/>
            <w:noWrap/>
            <w:vAlign w:val="center"/>
          </w:tcPr>
          <w:p w14:paraId="773DB6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单位</w:t>
            </w:r>
            <w:r>
              <w:rPr>
                <w:rFonts w:hint="eastAsia" w:ascii="宋体" w:hAnsi="宋体" w:eastAsia="宋体" w:cs="宋体"/>
                <w:i w:val="0"/>
                <w:iCs w:val="0"/>
                <w:color w:val="000000"/>
                <w:kern w:val="0"/>
                <w:sz w:val="22"/>
                <w:szCs w:val="22"/>
                <w:u w:val="none"/>
                <w:lang w:val="en-US" w:eastAsia="zh-CN" w:bidi="ar"/>
              </w:rPr>
              <w:t>预算收入总表</w:t>
            </w:r>
          </w:p>
        </w:tc>
      </w:tr>
      <w:tr w14:paraId="336FE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351" w:type="dxa"/>
            <w:gridSpan w:val="9"/>
            <w:tcBorders>
              <w:top w:val="nil"/>
              <w:left w:val="nil"/>
              <w:bottom w:val="nil"/>
              <w:right w:val="nil"/>
            </w:tcBorders>
            <w:shd w:val="clear" w:color="auto" w:fill="auto"/>
            <w:noWrap/>
            <w:vAlign w:val="center"/>
          </w:tcPr>
          <w:p w14:paraId="7D67A09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预算单位编码及名称：[312</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]宁晋县公安局</w:t>
            </w:r>
            <w:r>
              <w:rPr>
                <w:rFonts w:hint="eastAsia" w:ascii="宋体" w:hAnsi="宋体" w:cs="宋体"/>
                <w:i w:val="0"/>
                <w:iCs w:val="0"/>
                <w:color w:val="000000"/>
                <w:kern w:val="0"/>
                <w:sz w:val="22"/>
                <w:szCs w:val="22"/>
                <w:u w:val="none"/>
                <w:lang w:val="en-US" w:eastAsia="zh-CN" w:bidi="ar"/>
              </w:rPr>
              <w:t>本级</w:t>
            </w:r>
          </w:p>
        </w:tc>
        <w:tc>
          <w:tcPr>
            <w:tcW w:w="1928" w:type="dxa"/>
            <w:gridSpan w:val="2"/>
            <w:tcBorders>
              <w:top w:val="nil"/>
              <w:left w:val="nil"/>
              <w:bottom w:val="nil"/>
              <w:right w:val="nil"/>
            </w:tcBorders>
            <w:shd w:val="clear" w:color="auto" w:fill="auto"/>
            <w:noWrap/>
            <w:vAlign w:val="center"/>
          </w:tcPr>
          <w:p w14:paraId="2BB1A7E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2060" w:type="dxa"/>
            <w:gridSpan w:val="2"/>
            <w:tcBorders>
              <w:top w:val="nil"/>
              <w:left w:val="nil"/>
              <w:bottom w:val="nil"/>
              <w:right w:val="nil"/>
            </w:tcBorders>
            <w:shd w:val="clear" w:color="auto" w:fill="auto"/>
            <w:noWrap/>
            <w:vAlign w:val="center"/>
          </w:tcPr>
          <w:p w14:paraId="25CAB2B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7895D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8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577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5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9E3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w:t>
            </w:r>
          </w:p>
        </w:tc>
        <w:tc>
          <w:tcPr>
            <w:tcW w:w="105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3F4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7890"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0EE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183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上年结转</w:t>
            </w:r>
          </w:p>
        </w:tc>
      </w:tr>
      <w:tr w14:paraId="75E5F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8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5E54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988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CAD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0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9CA0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B3C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E29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865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财政专户收入</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34F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CD2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1F6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E8F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53B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C4EF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025D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EB6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A7C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C39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B94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B9B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AE7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533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1DE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C72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304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04F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1BC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25E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6BF33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7006B4">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13C065">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9C1D41">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F3AE0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10479.86</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11425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10479.86</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A4CF2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10479.86</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87EA7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914FE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F7E01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65AE0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03D0D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8D4B5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9843F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A0EE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791FE5">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EDBD91">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E2C710">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公共安全支出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81755D">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9573.69</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AD20B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9573.69</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6E5B79">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9573.69</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0B740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83F96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3BCB6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4E5B5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D99DA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FCB99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FD415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7C846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E0EC9D">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B0BD94">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20401</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6C20B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武装警察部队</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D3A00E">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28.91</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96621B">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28.91</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1291CC">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28.91</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1253C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EF1E8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E36F0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6E9FE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32F89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AD639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5F2CA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7BA6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F95DF0">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30A29A">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2040199</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A03DD0">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其他武装警察部队支出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29AAAB">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28.91</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1AFC88">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28.91</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88F35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28.91</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358F9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D9D30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74824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CD6F9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F925D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EA859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6C2F6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DC32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C4701E">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C57B18">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79E742">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公安</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F31DCE">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9544.79</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EE099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9544.79</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5809C6">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9544.79</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86621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23D77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F1057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7F4AE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74CD6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BF141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5C987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08F13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048489">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1084F0">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2040201</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973C53">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行政运行</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107E4E">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3618.69</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4D2BF4">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3618.69</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4F2DEB">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3618.69</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D1BF9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928FB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76467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63E7F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94BC6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4F2EC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18AA5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91CE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E2D484">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18FC40">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2040202</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6D051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一般行政管理事务</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ABC064">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2604.29</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9BC6A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2604.29</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037AFB">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2604.29</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6EA67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1668B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9D4B9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206FB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06605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1CE97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ABC34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CF42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E5E247">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C84FC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2040219</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988CF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信息化建设</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D6AE2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135.00</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47F43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135.00</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788DE2">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135.00</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881AB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CC0A3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95E73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057E3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23A64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E4834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A8DCA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2809F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841521">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5F49C9">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2040220</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9CA8AA">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执法办案</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692D8D">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3176.31</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3358D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3176.31</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9F196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3176.31</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BFC62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70B4A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F2B62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4D2DD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EBCB4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768B0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2907D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ED39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140377">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54F162">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2040299</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F04E64">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其他公安支出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0D398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10.50</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86C19D">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10.50</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7730F2">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10.50</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EBA35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6705D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179E9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FB133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047D0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D248D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4DA0D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9E3B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3C1FD0">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23674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1A6742">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社会保障和就业支出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3F2BCE">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479.59</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0A4B4B">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479.59</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902F78">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479.59</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CCA10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3749E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C5097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722A4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E5570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75711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08362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B0E5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D86533">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ED58F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E35C1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BF65C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437.48</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0F5E4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437.48</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24FCAA">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437.48</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D1173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BEE7D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CB404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78A1B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8F230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D2DD7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FCEF5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09CDD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254FCEA3">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top"/>
          </w:tcPr>
          <w:p w14:paraId="67E8700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2080501</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top"/>
          </w:tcPr>
          <w:p w14:paraId="029C097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行政单位离退休</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74A1B624">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82.00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25EF53A6">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82.00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76B1250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82.00</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5FD7539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030C32B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25AC629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7C9F3D2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0783271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0142800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top"/>
          </w:tcPr>
          <w:p w14:paraId="72C3ECF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0A4AF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540CA349">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top"/>
          </w:tcPr>
          <w:p w14:paraId="497170E0">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2080505</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top"/>
          </w:tcPr>
          <w:p w14:paraId="68E46749">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4C9A800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355.48</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2120FC92">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355.48</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318AC4AA">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355.48</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0A6DA7E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4FA7BE1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1DEB625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6BE9B96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6110EE7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08409A7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top"/>
          </w:tcPr>
          <w:p w14:paraId="7A9C008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738FF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243FDCA3">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top"/>
          </w:tcPr>
          <w:p w14:paraId="1A2758C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20808</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top"/>
          </w:tcPr>
          <w:p w14:paraId="545EA43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抚恤</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5CF1DA52">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0F16D2C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0C5DA06B">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31.00</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016EFE2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5C24EF8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7731259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392BD81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1868E86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292C5EB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top"/>
          </w:tcPr>
          <w:p w14:paraId="7998D2C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C118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46FD5046">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top"/>
          </w:tcPr>
          <w:p w14:paraId="1D34F512">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2080801</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top"/>
          </w:tcPr>
          <w:p w14:paraId="1F6729C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死亡抚恤</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4EEC9056">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35E753EA">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31E3DB8B">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31.00</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50D1ED8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7A8F52A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22738A9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204145F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229F13E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52E1805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top"/>
          </w:tcPr>
          <w:p w14:paraId="260E63A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7AAB1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0089C2F0">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top"/>
          </w:tcPr>
          <w:p w14:paraId="3ACC99F9">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20827</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top"/>
          </w:tcPr>
          <w:p w14:paraId="276D6BC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财政对其他社会保险基金的补助</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704F9E4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138B7CD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671F7EFB">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11.11</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2A48276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0605215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78ED7CB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32AE3CC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78BA8D8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1B42ECA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top"/>
          </w:tcPr>
          <w:p w14:paraId="7C388D7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0A3C7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792A5BBD">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top"/>
          </w:tcPr>
          <w:p w14:paraId="1C3F98A4">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2082702</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top"/>
          </w:tcPr>
          <w:p w14:paraId="65C96FCA">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财政对工伤保险基金的补助</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491768C4">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4FAC966B">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4BF596E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11.11</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4B11968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1DBF555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79201E7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43229C8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21F8F2B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03C7612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top"/>
          </w:tcPr>
          <w:p w14:paraId="1D03990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7A898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020B27A9">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top"/>
          </w:tcPr>
          <w:p w14:paraId="64B1353A">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top"/>
          </w:tcPr>
          <w:p w14:paraId="4EBC876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卫生健康支出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578AAB0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4D3DB19C">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5ED520B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53B9281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414EF33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18B144E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091935C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23B75C4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43E3F6E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top"/>
          </w:tcPr>
          <w:p w14:paraId="78AC577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209F6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14423DF4">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top"/>
          </w:tcPr>
          <w:p w14:paraId="5C25CF94">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top"/>
          </w:tcPr>
          <w:p w14:paraId="0752B231">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行政事业单位医疗</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12AEAC8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2AA7D5B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4F902844">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0D9C44E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31EE197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5BB0761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6AE5115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7A45964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552F461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top"/>
          </w:tcPr>
          <w:p w14:paraId="1F1A6F2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0CF5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394B975E">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top"/>
          </w:tcPr>
          <w:p w14:paraId="6267EAE1">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2101101</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top"/>
          </w:tcPr>
          <w:p w14:paraId="00A89F7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行政单位医疗</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6F7E4C38">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34C36DCC">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76DDC954">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2B139B0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63828F5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243F00F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7280FA5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06445AA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4D21341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top"/>
          </w:tcPr>
          <w:p w14:paraId="67D6C8B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6E6E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074F7265">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top"/>
          </w:tcPr>
          <w:p w14:paraId="3D2E03C8">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top"/>
          </w:tcPr>
          <w:p w14:paraId="04A1DED3">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住房保障支出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66B55384">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0FB4A1B2">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5E52621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7D3900E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623100C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7E68DF5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2BA5BE9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6277B92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5323032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top"/>
          </w:tcPr>
          <w:p w14:paraId="43A70C9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563AD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05F5A076">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top"/>
          </w:tcPr>
          <w:p w14:paraId="3AC50BF3">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22102</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top"/>
          </w:tcPr>
          <w:p w14:paraId="5936B983">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住房改革支出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4161036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3048770B">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6038225A">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688A412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44629C7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54552DF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1738294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5F246F0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6E4CBCC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top"/>
          </w:tcPr>
          <w:p w14:paraId="49459EA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8DA8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710BAF05">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top"/>
          </w:tcPr>
          <w:p w14:paraId="3166C99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2210201</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top"/>
          </w:tcPr>
          <w:p w14:paraId="2C25DCF1">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住房公积金</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62ABC072">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0F3F674A">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6C6EA93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5F6241A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152F321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2656EE9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11C8143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67332C2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top"/>
          </w:tcPr>
          <w:p w14:paraId="71DB5C5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top"/>
          </w:tcPr>
          <w:p w14:paraId="6FCBD58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bl>
    <w:p w14:paraId="64F4FE0C">
      <w:pPr>
        <w:spacing w:line="240" w:lineRule="auto"/>
        <w:jc w:val="both"/>
        <w:rPr>
          <w:rFonts w:hint="eastAsia" w:ascii="黑体" w:hAnsi="黑体" w:eastAsia="黑体"/>
          <w:sz w:val="32"/>
          <w:szCs w:val="32"/>
          <w:lang w:eastAsia="zh-CN"/>
        </w:rPr>
      </w:pPr>
    </w:p>
    <w:p w14:paraId="0819487A">
      <w:pPr>
        <w:spacing w:line="240" w:lineRule="auto"/>
        <w:jc w:val="both"/>
        <w:rPr>
          <w:rFonts w:hint="eastAsia" w:ascii="黑体" w:hAnsi="黑体" w:eastAsia="黑体"/>
          <w:sz w:val="32"/>
          <w:szCs w:val="32"/>
          <w:lang w:eastAsia="zh-CN"/>
        </w:rPr>
      </w:pPr>
    </w:p>
    <w:p w14:paraId="36782A84">
      <w:pPr>
        <w:spacing w:line="240" w:lineRule="auto"/>
        <w:jc w:val="both"/>
        <w:rPr>
          <w:rFonts w:hint="eastAsia" w:ascii="黑体" w:hAnsi="黑体" w:eastAsia="黑体"/>
          <w:sz w:val="32"/>
          <w:szCs w:val="32"/>
          <w:lang w:eastAsia="zh-CN"/>
        </w:rPr>
      </w:pPr>
    </w:p>
    <w:p w14:paraId="30B7FE3A">
      <w:pPr>
        <w:spacing w:line="240" w:lineRule="auto"/>
        <w:jc w:val="both"/>
        <w:rPr>
          <w:rFonts w:hint="eastAsia" w:ascii="黑体" w:hAnsi="黑体" w:eastAsia="黑体"/>
          <w:sz w:val="32"/>
          <w:szCs w:val="32"/>
          <w:lang w:eastAsia="zh-CN"/>
        </w:rPr>
      </w:pPr>
    </w:p>
    <w:p w14:paraId="7AF62CEF">
      <w:pPr>
        <w:spacing w:line="240" w:lineRule="auto"/>
        <w:jc w:val="both"/>
        <w:rPr>
          <w:rFonts w:hint="eastAsia" w:ascii="黑体" w:hAnsi="黑体" w:eastAsia="黑体"/>
          <w:sz w:val="32"/>
          <w:szCs w:val="32"/>
          <w:lang w:eastAsia="zh-CN"/>
        </w:rPr>
      </w:pPr>
    </w:p>
    <w:p w14:paraId="693A5A83">
      <w:pPr>
        <w:spacing w:line="240" w:lineRule="auto"/>
        <w:jc w:val="both"/>
        <w:rPr>
          <w:rFonts w:hint="eastAsia" w:ascii="黑体" w:hAnsi="黑体" w:eastAsia="黑体"/>
          <w:sz w:val="32"/>
          <w:szCs w:val="32"/>
          <w:lang w:eastAsia="zh-CN"/>
        </w:rPr>
      </w:pPr>
    </w:p>
    <w:tbl>
      <w:tblPr>
        <w:tblStyle w:val="5"/>
        <w:tblW w:w="1428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9"/>
        <w:gridCol w:w="997"/>
        <w:gridCol w:w="3889"/>
        <w:gridCol w:w="1855"/>
        <w:gridCol w:w="1487"/>
        <w:gridCol w:w="950"/>
        <w:gridCol w:w="947"/>
        <w:gridCol w:w="1604"/>
        <w:gridCol w:w="2042"/>
      </w:tblGrid>
      <w:tr w14:paraId="704D0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4280" w:type="dxa"/>
            <w:gridSpan w:val="9"/>
            <w:tcBorders>
              <w:top w:val="nil"/>
              <w:left w:val="nil"/>
              <w:bottom w:val="nil"/>
              <w:right w:val="nil"/>
            </w:tcBorders>
            <w:shd w:val="clear" w:color="auto" w:fill="auto"/>
            <w:vAlign w:val="center"/>
          </w:tcPr>
          <w:p w14:paraId="2DEA05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单位</w:t>
            </w:r>
            <w:r>
              <w:rPr>
                <w:rFonts w:hint="eastAsia" w:ascii="宋体" w:hAnsi="宋体" w:eastAsia="宋体" w:cs="宋体"/>
                <w:i w:val="0"/>
                <w:iCs w:val="0"/>
                <w:color w:val="000000"/>
                <w:kern w:val="0"/>
                <w:sz w:val="22"/>
                <w:szCs w:val="22"/>
                <w:u w:val="none"/>
                <w:lang w:val="en-US" w:eastAsia="zh-CN" w:bidi="ar"/>
              </w:rPr>
              <w:t>预算支出总表</w:t>
            </w:r>
          </w:p>
        </w:tc>
      </w:tr>
      <w:tr w14:paraId="1C5E9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634" w:type="dxa"/>
            <w:gridSpan w:val="7"/>
            <w:tcBorders>
              <w:top w:val="nil"/>
              <w:left w:val="nil"/>
              <w:bottom w:val="nil"/>
              <w:right w:val="nil"/>
            </w:tcBorders>
            <w:shd w:val="clear" w:color="auto" w:fill="auto"/>
            <w:vAlign w:val="center"/>
          </w:tcPr>
          <w:p w14:paraId="2067F684">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预算单位编码及名称：[312</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]宁晋县公安局</w:t>
            </w:r>
            <w:r>
              <w:rPr>
                <w:rFonts w:hint="eastAsia" w:ascii="宋体" w:hAnsi="宋体" w:cs="宋体"/>
                <w:i w:val="0"/>
                <w:iCs w:val="0"/>
                <w:color w:val="000000"/>
                <w:kern w:val="0"/>
                <w:sz w:val="22"/>
                <w:szCs w:val="22"/>
                <w:u w:val="none"/>
                <w:lang w:val="en-US" w:eastAsia="zh-CN" w:bidi="ar"/>
              </w:rPr>
              <w:t>本级</w:t>
            </w:r>
          </w:p>
        </w:tc>
        <w:tc>
          <w:tcPr>
            <w:tcW w:w="1604" w:type="dxa"/>
            <w:tcBorders>
              <w:top w:val="nil"/>
              <w:left w:val="nil"/>
              <w:bottom w:val="nil"/>
              <w:right w:val="nil"/>
            </w:tcBorders>
            <w:shd w:val="clear" w:color="auto" w:fill="auto"/>
            <w:vAlign w:val="center"/>
          </w:tcPr>
          <w:p w14:paraId="7CBEAFD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2042" w:type="dxa"/>
            <w:tcBorders>
              <w:top w:val="nil"/>
              <w:left w:val="nil"/>
              <w:bottom w:val="nil"/>
              <w:right w:val="nil"/>
            </w:tcBorders>
            <w:shd w:val="clear" w:color="auto" w:fill="auto"/>
            <w:vAlign w:val="center"/>
          </w:tcPr>
          <w:p w14:paraId="5CD51ED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4915E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5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F94A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48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351A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1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0798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4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A61D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9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D32B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9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0D06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6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91A8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20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E7CC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78D91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A99E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4E6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777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4E71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C892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BD38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973D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6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6BAD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155F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BD5D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6FA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059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F94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8EC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0B9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511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D23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407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035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r>
      <w:tr w14:paraId="3158B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267FBF0B">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413F75EB">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27B52230">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4A89E8F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10479.86</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73441346">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4524.86 </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4A09D14D">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5955.00</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32B9D49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6DC3A69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3C9950D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A1C8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18A1FBBF">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234DD733">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67EDD34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公共安全支出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6D51D7C9">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9573.69</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5F36C9B9">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3618.69 </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64C57AD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5955.00</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00DBF86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411356F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2F0F8CF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7271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03E59B00">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08AFF12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20401</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7C56414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武装警察部队</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1F544404">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28.91</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52D9AD5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75DD9649">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28.91</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60D416E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66A270D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37F1DF1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1384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06772482">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0617F67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2040199</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57A60F2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其他武装警察部队支出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2E8CE28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28.91</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3FC87C1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49C90E4D">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28.91</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0EEB905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7CF55C1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09ED115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54D51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1461DCD3">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1FD83BA2">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6C17FF8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公安</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1D51DF2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9544.79</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21122E8D">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3618.69</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2C91302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5926.10</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4930348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434C37D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270D9E4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8CBB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5BFC1E6D">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77074082">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2040201</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77F9876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行政运行</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2AE3761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3618.69</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73E13B8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3618.69</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04A1F7B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3619DEE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5EBA9E1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1B77ADF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8339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60271796">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029DA368">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2040202</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23031CE0">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一般行政管理事务</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102B1449">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2604.29</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5FFE73C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6916602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2604.29</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011F0EB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5F90394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4D72144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20EF2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036C46C0">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20C2E39A">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2040219</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4B2FE54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信息化建设</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51D48E3A">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135.00</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44FC9D0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7D674A4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135.00</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37C00C2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7C8CA0C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19AC68E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A063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270DC7B3">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317E1EB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2040220</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78911FB2">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执法办案</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1EC7C90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3176.31</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3211179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50C5C31C">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3176.31</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2314446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7944C55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03C3ECB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01805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1D2FEBBE">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2DB37AE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2040299</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3DA67901">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其他公安支出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2F55E084">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10.50</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74545BA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7022FD66">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10.50</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55E85FB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10CA19F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26108CE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08807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4718A65C">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5EA2336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4EF2D024">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社会保障和就业支出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4645AA86">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479.59</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41A7317B">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479.59</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78636B4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2B82976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6D18FBB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0717927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77D4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7EE8E152">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42BE7EA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568FDBC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5C35A04E">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437.48</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142B9708">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437.48</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6D39B94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10BC144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658658D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5CD215B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20BC6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4419EB14">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14D09F3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2080501</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3F2ED0DA">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行政单位离退休</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1F6648E4">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82.00</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044032B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82.00</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5B1A598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1FBC221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4226E07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58055AC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719BD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45396F1C">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4F51B833">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2080505</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2142C9F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51295D8E">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355.48</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758B77A9">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355.48</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7674630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10FFE6D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255AE94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3109B03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D6DE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00CA5A22">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2E6BC23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20808</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7F37A3F2">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抚恤</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58F8D9EA">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31.00</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43D90FF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31.00</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5162BEB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72C0154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7951949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5CE56E2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76337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21D03DED">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53BA7621">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2080801</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5C8A084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死亡抚恤</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327592FD">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31.00</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275722F6">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31.00</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78FF29E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7753A46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0A4BD3B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465E6D2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27C93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79ABAEBB">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495F4BEA">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20827</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07BF9804">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财政对其他社会保险基金的补助</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0EA3105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11.11</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55EBB782">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11.11</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6F2F961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55ED874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44CDE3A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612136A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DC07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376CEB3C">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298DC38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2082702</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60F26BB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财政对工伤保险基金的补助</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52C2386B">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11.11</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560A8F1B">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11.11</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0C0F9FB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59F82E3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65F3E00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6879A92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B81D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5958D460">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358AF88A">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6128EA9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卫生健康支出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16286F3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2D7A6A18">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77010BB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68DB6D3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15C86DB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101FC63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8471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044E3172">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74A47C7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4D6BFC12">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行政事业单位医疗</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4D670FE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0323BE2D">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2A0CB94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47587E9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74F7982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629D912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B37E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477C9DC5">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5BC1E5C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2101101</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268126C0">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行政单位医疗</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426E3A4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20B38BD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78B1D64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048E2CE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0C76E8F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2F03518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5066D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196414B5">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0F078852">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12F5DA64">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住房保障支出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6DA25F98">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385A1896">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5F764EA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59B8242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2A01458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6FB4EE9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4FE6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374B7710">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04017CC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22102</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05FEACA8">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住房改革支出</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448C98F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249F42E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13B3A61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2667EF6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43566EA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2DDC8AD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41A9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9" w:type="dxa"/>
            <w:tcBorders>
              <w:top w:val="single" w:color="000000" w:sz="4" w:space="0"/>
              <w:left w:val="single" w:color="000000" w:sz="4" w:space="0"/>
              <w:bottom w:val="single" w:color="000000" w:sz="4" w:space="0"/>
              <w:right w:val="single" w:color="000000" w:sz="4" w:space="0"/>
            </w:tcBorders>
            <w:shd w:val="clear" w:color="auto" w:fill="auto"/>
            <w:vAlign w:val="top"/>
          </w:tcPr>
          <w:p w14:paraId="39E61DFC">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33720FF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2210201</w:t>
            </w:r>
          </w:p>
        </w:tc>
        <w:tc>
          <w:tcPr>
            <w:tcW w:w="3889" w:type="dxa"/>
            <w:tcBorders>
              <w:top w:val="single" w:color="000000" w:sz="4" w:space="0"/>
              <w:left w:val="single" w:color="000000" w:sz="4" w:space="0"/>
              <w:bottom w:val="single" w:color="000000" w:sz="4" w:space="0"/>
              <w:right w:val="single" w:color="000000" w:sz="4" w:space="0"/>
            </w:tcBorders>
            <w:shd w:val="clear" w:color="auto" w:fill="auto"/>
            <w:vAlign w:val="top"/>
          </w:tcPr>
          <w:p w14:paraId="09BCAD3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住房公积金</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top"/>
          </w:tcPr>
          <w:p w14:paraId="6F343A36">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top"/>
          </w:tcPr>
          <w:p w14:paraId="7EA8231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7D66751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top"/>
          </w:tcPr>
          <w:p w14:paraId="5D18560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top"/>
          </w:tcPr>
          <w:p w14:paraId="3CB875B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top"/>
          </w:tcPr>
          <w:p w14:paraId="21D996B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bl>
    <w:p w14:paraId="1B3A8600">
      <w:pPr>
        <w:spacing w:line="240" w:lineRule="auto"/>
        <w:jc w:val="both"/>
        <w:rPr>
          <w:rFonts w:hint="eastAsia" w:ascii="黑体" w:hAnsi="黑体" w:eastAsia="黑体"/>
          <w:sz w:val="32"/>
          <w:szCs w:val="32"/>
          <w:lang w:eastAsia="zh-CN"/>
        </w:rPr>
      </w:pPr>
    </w:p>
    <w:p w14:paraId="07308EAD">
      <w:pPr>
        <w:spacing w:line="240" w:lineRule="auto"/>
        <w:jc w:val="both"/>
        <w:rPr>
          <w:rFonts w:hint="eastAsia" w:ascii="黑体" w:hAnsi="黑体" w:eastAsia="黑体"/>
          <w:sz w:val="32"/>
          <w:szCs w:val="32"/>
          <w:lang w:eastAsia="zh-CN"/>
        </w:rPr>
      </w:pPr>
    </w:p>
    <w:p w14:paraId="19BE83E0">
      <w:pPr>
        <w:spacing w:line="240" w:lineRule="auto"/>
        <w:jc w:val="both"/>
        <w:rPr>
          <w:rFonts w:hint="eastAsia" w:ascii="黑体" w:hAnsi="黑体" w:eastAsia="黑体"/>
          <w:sz w:val="32"/>
          <w:szCs w:val="32"/>
          <w:lang w:eastAsia="zh-CN"/>
        </w:rPr>
      </w:pPr>
    </w:p>
    <w:p w14:paraId="091A6E9B">
      <w:pPr>
        <w:spacing w:line="240" w:lineRule="auto"/>
        <w:jc w:val="both"/>
        <w:rPr>
          <w:rFonts w:hint="eastAsia" w:ascii="黑体" w:hAnsi="黑体" w:eastAsia="黑体"/>
          <w:sz w:val="32"/>
          <w:szCs w:val="32"/>
          <w:lang w:eastAsia="zh-CN"/>
        </w:rPr>
      </w:pPr>
    </w:p>
    <w:p w14:paraId="63991040">
      <w:pPr>
        <w:spacing w:line="240" w:lineRule="auto"/>
        <w:jc w:val="both"/>
        <w:rPr>
          <w:rFonts w:hint="eastAsia" w:ascii="黑体" w:hAnsi="黑体" w:eastAsia="黑体"/>
          <w:sz w:val="32"/>
          <w:szCs w:val="32"/>
          <w:lang w:eastAsia="zh-CN"/>
        </w:rPr>
      </w:pPr>
    </w:p>
    <w:p w14:paraId="39DDB9A2">
      <w:pPr>
        <w:spacing w:line="240" w:lineRule="auto"/>
        <w:jc w:val="both"/>
        <w:rPr>
          <w:rFonts w:hint="eastAsia" w:ascii="黑体" w:hAnsi="黑体" w:eastAsia="黑体"/>
          <w:sz w:val="32"/>
          <w:szCs w:val="32"/>
          <w:lang w:eastAsia="zh-CN"/>
        </w:rPr>
      </w:pPr>
    </w:p>
    <w:p w14:paraId="42B7AA37">
      <w:pPr>
        <w:spacing w:line="240" w:lineRule="auto"/>
        <w:jc w:val="both"/>
        <w:rPr>
          <w:rFonts w:hint="eastAsia" w:ascii="黑体" w:hAnsi="黑体" w:eastAsia="黑体"/>
          <w:sz w:val="32"/>
          <w:szCs w:val="32"/>
          <w:lang w:eastAsia="zh-CN"/>
        </w:rPr>
      </w:pPr>
    </w:p>
    <w:p w14:paraId="1BECF146">
      <w:pPr>
        <w:spacing w:line="240" w:lineRule="auto"/>
        <w:jc w:val="both"/>
        <w:rPr>
          <w:rFonts w:hint="eastAsia" w:ascii="黑体" w:hAnsi="黑体" w:eastAsia="黑体"/>
          <w:sz w:val="32"/>
          <w:szCs w:val="32"/>
          <w:lang w:eastAsia="zh-CN"/>
        </w:rPr>
      </w:pPr>
    </w:p>
    <w:p w14:paraId="00DEB898">
      <w:pPr>
        <w:spacing w:line="240" w:lineRule="auto"/>
        <w:jc w:val="both"/>
        <w:rPr>
          <w:rFonts w:hint="eastAsia" w:ascii="黑体" w:hAnsi="黑体" w:eastAsia="黑体"/>
          <w:sz w:val="32"/>
          <w:szCs w:val="32"/>
          <w:lang w:eastAsia="zh-CN"/>
        </w:rPr>
      </w:pPr>
    </w:p>
    <w:p w14:paraId="2A0ECFF1">
      <w:pPr>
        <w:spacing w:line="240" w:lineRule="auto"/>
        <w:jc w:val="both"/>
        <w:rPr>
          <w:rFonts w:hint="eastAsia" w:ascii="黑体" w:hAnsi="黑体" w:eastAsia="黑体"/>
          <w:sz w:val="32"/>
          <w:szCs w:val="32"/>
          <w:lang w:eastAsia="zh-CN"/>
        </w:rPr>
      </w:pPr>
    </w:p>
    <w:tbl>
      <w:tblPr>
        <w:tblStyle w:val="5"/>
        <w:tblW w:w="13804"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4"/>
        <w:gridCol w:w="2895"/>
        <w:gridCol w:w="1180"/>
        <w:gridCol w:w="3327"/>
        <w:gridCol w:w="1053"/>
        <w:gridCol w:w="1053"/>
        <w:gridCol w:w="1756"/>
        <w:gridCol w:w="1756"/>
      </w:tblGrid>
      <w:tr w14:paraId="4F8E8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804" w:type="dxa"/>
            <w:gridSpan w:val="8"/>
            <w:tcBorders>
              <w:top w:val="nil"/>
              <w:left w:val="nil"/>
              <w:bottom w:val="nil"/>
              <w:right w:val="nil"/>
            </w:tcBorders>
            <w:shd w:val="clear" w:color="auto" w:fill="auto"/>
            <w:noWrap/>
            <w:vAlign w:val="center"/>
          </w:tcPr>
          <w:p w14:paraId="769C79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单位</w:t>
            </w:r>
            <w:r>
              <w:rPr>
                <w:rFonts w:hint="eastAsia" w:ascii="宋体" w:hAnsi="宋体" w:eastAsia="宋体" w:cs="宋体"/>
                <w:i w:val="0"/>
                <w:iCs w:val="0"/>
                <w:color w:val="000000"/>
                <w:kern w:val="0"/>
                <w:sz w:val="22"/>
                <w:szCs w:val="22"/>
                <w:u w:val="none"/>
                <w:lang w:val="en-US" w:eastAsia="zh-CN" w:bidi="ar"/>
              </w:rPr>
              <w:t>预算财政拨款收支总表</w:t>
            </w:r>
          </w:p>
        </w:tc>
      </w:tr>
      <w:tr w14:paraId="0F595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292" w:type="dxa"/>
            <w:gridSpan w:val="6"/>
            <w:tcBorders>
              <w:top w:val="nil"/>
              <w:left w:val="nil"/>
              <w:bottom w:val="nil"/>
              <w:right w:val="nil"/>
            </w:tcBorders>
            <w:shd w:val="clear" w:color="auto" w:fill="auto"/>
            <w:noWrap/>
            <w:vAlign w:val="center"/>
          </w:tcPr>
          <w:p w14:paraId="0308DB83">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预算单位编码及名称：[312</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]宁晋县公安局</w:t>
            </w:r>
            <w:r>
              <w:rPr>
                <w:rFonts w:hint="eastAsia" w:ascii="宋体" w:hAnsi="宋体" w:cs="宋体"/>
                <w:i w:val="0"/>
                <w:iCs w:val="0"/>
                <w:color w:val="000000"/>
                <w:kern w:val="0"/>
                <w:sz w:val="22"/>
                <w:szCs w:val="22"/>
                <w:u w:val="none"/>
                <w:lang w:val="en-US" w:eastAsia="zh-CN" w:bidi="ar"/>
              </w:rPr>
              <w:t>本级</w:t>
            </w:r>
          </w:p>
        </w:tc>
        <w:tc>
          <w:tcPr>
            <w:tcW w:w="1756" w:type="dxa"/>
            <w:tcBorders>
              <w:top w:val="nil"/>
              <w:left w:val="nil"/>
              <w:bottom w:val="nil"/>
              <w:right w:val="nil"/>
            </w:tcBorders>
            <w:shd w:val="clear" w:color="auto" w:fill="auto"/>
            <w:noWrap/>
            <w:vAlign w:val="center"/>
          </w:tcPr>
          <w:p w14:paraId="5FBBF81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1756" w:type="dxa"/>
            <w:tcBorders>
              <w:top w:val="nil"/>
              <w:left w:val="nil"/>
              <w:bottom w:val="nil"/>
              <w:right w:val="nil"/>
            </w:tcBorders>
            <w:shd w:val="clear" w:color="auto" w:fill="auto"/>
            <w:noWrap/>
            <w:vAlign w:val="center"/>
          </w:tcPr>
          <w:p w14:paraId="4111B19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65B9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8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3FE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4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36B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894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C5D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7DEE5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78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5232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DDA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9C6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DB8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C7B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FC5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3B7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842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16277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4CD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84E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E77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A60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122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BA5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1B3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923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77FBB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718DEA8A">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43FE91B8">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一、一般公共预算拨款</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4A2BDB9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10479.86</w:t>
            </w: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1688818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一、一般公共服务支出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28B63D4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2850B1C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79B8D25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59F613F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2FEAF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2F919B7F">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6676D40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二、政府性基金预算拨款</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743A18A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7780970A">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二、外交支出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4547557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0ABD4FE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6A4C682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107B434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758C8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59369E8D">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672D20F3">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三、国有资本经营预算拨款</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1298AE4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41263BD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三、国防支出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23E8546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77EF490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79E11C1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375F948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9AC6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763729ED">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425CAB20">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7D63693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6748DB99">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四、公共安全支出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44AFAF4E">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9573.69</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1A28D439">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9573.69</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3188A0B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027359C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1FEF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20E2B9F5">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511821C8">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1B4114D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4B93ED8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五、教育支出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779E015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729B1FA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61222F3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606529D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06A72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164A9847">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29D4DDFA">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529BD01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2878A0D2">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六、科学技术支出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335FDBB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47F22F8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3AC976C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6772B2F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DABA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7E5CB741">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09FD5FCB">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63B049F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28166A5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七、文化旅游体育与传媒支出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0C14427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462C5F3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3D8A613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6E76AC8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9AD2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6F176115">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1B86D687">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5A1AEA3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277F7BA8">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八、社会保障和就业支出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55BD9B78">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479.59</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00EACDD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479.59</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6654CEB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39E53F3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9DAD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1C2B6B65">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11AD578F">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2E23515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0511EA65">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九、社会保险基金支出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199C23D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2E58233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067C0C5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5787AB2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B9E8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0BB9BD8C">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7A1F6EB6">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119229A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7DBB1EA4">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十、卫生健康支出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4A38CAFD">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5F58530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4FA6528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0D9EED0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BE8E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2C3078C9">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7A25B757">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61950B3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557E7D01">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十一、节能环保支出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13E39C2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7EEF1BD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17F9AB4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7F57F6F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4305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2FC80A84">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2F32705C">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74CAE1B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0E0748A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十二、城乡社区支出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4F4E686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2AC706E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57E025F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44D1BBE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E130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6EACE979">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5FFB2FE5">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00B1D01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77BFD95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十三、农林水支出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3BC9872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0DE4D98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677F456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2A93E39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01C02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4341BF0A">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12AAA101">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3D069C6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1832D715">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十四、交通运输支出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2CA0EBC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2984ABD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656CE8E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287F195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BD58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088F61A0">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761117A9">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399C2D8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03BA1B61">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十五、资源勘探工业信息等支出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7B430E4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32AC992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58AA515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5418FFA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75074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49972DB6">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21B48BD3">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49064F9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694FAC1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十六、商业服务业等支出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5FAAE79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34BA481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024E5B1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500F415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7015C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65474141">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08A6B0E9">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4483E41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3E30F98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十七、金融支出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08CD981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79B5731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00C3B6E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09DC489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D1B9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3B684F65">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416C5314">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527E47F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1969B0CA">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十八、援助其他地区支出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02B33F9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6E57535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603015C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262DD50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25B86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67E8DADC">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7DDC288F">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63124F9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5B34DFA1">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十九、自然资源海洋气象等支出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77A31E5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30333FB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2F380F4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78BD75C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55F85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1368C68B">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29D9E55A">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5299865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7D86659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二十、住房保障支出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41383E3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339AB80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56E201B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2F42CA0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29EAA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608CD4C9">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5D05D8F5">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425FD8A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10EC2D84">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二十一、粮油物资储备支出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321A033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5E89C19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6F4B84D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33350CB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18D5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06D1F698">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45305BAB">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3CF6974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4B6F76E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二十二、国有资本经营预算支出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0904ED4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7442A8A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27D89F6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54BD18B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00414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747E734E">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7E86F37E">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04FBC83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0D667FF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二十三、灾害防治及应急管理支出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42C5279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4853CA2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61892C6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3E71911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1B32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5606287E">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367E0777">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7181485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2A6642F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二十四、预备费</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606A15B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60F845A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06C20FE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3A16988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26CDA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7843FA65">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51D094F8">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3EC9803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562FE78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二十五、其他支出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10C8FEC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1E22CE3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3B3213F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6D493D2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72143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64E68A89">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5C02A870">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0D13F99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24965A71">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二十六、转移性支出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3F0E540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5E1D30B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31757BC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028A0DA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38CC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7680C846">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4064D84D">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658A958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020C5A8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二十七、灾害防治及应急管理共同财政事权转移支付支出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72A3202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7486478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3BCA38F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4A30BB7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50D14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5E5E27B1">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35662FA5">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7A0302B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69ACF193">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二十八、债务还本支出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5EA12FF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77716AC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2F7B1B4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62F1B25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C598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1AE49A82">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74986CDD">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27EB7B6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44D6327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二十九、债务付息支出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24587DE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4EB2E3E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3B31AEA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295C7C7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FD20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353BF383">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57A32B5C">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3ECD621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3D0AB615">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三十、债务发行费用支出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0AD615D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24BA630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691E864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13B612C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5B825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735FB0F5">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19FA9301">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6FCCA44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7BFEFB50">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三十一、抗疫特别国债安排的支出</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027F6F5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3635245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283DA8E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6F7BAC8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4023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389EE4DB">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5E855ED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本年收入合计</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5BCA6C3B">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10479.86</w:t>
            </w: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47167DB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本年支出合计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245960B2">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10479.86</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1221EBD8">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10479.86</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54F24F3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75ACB2B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51EE3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2AA18AC7">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33</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72B56F0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年初财政拨款结转和结余</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37C0E27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45F1F4B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年末财政拨款结转和结余</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45E815A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1B73F88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5FE89BD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300ED05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0880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4662786C">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12A848A2">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一、一般公共预算拨款</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3BB45AF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45C4077D">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1C31DFC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6477A80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1A498C3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1B01294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5C0C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1F56B8F1">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0B44998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二、政府性基金预算拨款</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469EB4D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4605D7D4">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43A09AC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213DF09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51E8B8B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5C2BE1D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B313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0EBFD572">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1F93D3A0">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三、国有资本经营预算拨款</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7BDE02D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59B100B8">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46A773C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57ED16A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4090579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616BCFE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B130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14:paraId="6C905920">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37</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top"/>
          </w:tcPr>
          <w:p w14:paraId="0A999A6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收入总计</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top"/>
          </w:tcPr>
          <w:p w14:paraId="017966EB">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10479.86</w:t>
            </w: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top"/>
          </w:tcPr>
          <w:p w14:paraId="755D12D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支出总计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758B3FA4">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10479.86</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7B45CBC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10479.86</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2DFB4B8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7F7FD66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bl>
    <w:p w14:paraId="1700AEB6">
      <w:pPr>
        <w:spacing w:line="240" w:lineRule="auto"/>
        <w:jc w:val="both"/>
        <w:rPr>
          <w:rFonts w:hint="eastAsia" w:ascii="黑体" w:hAnsi="黑体" w:eastAsia="黑体"/>
          <w:sz w:val="32"/>
          <w:szCs w:val="32"/>
          <w:lang w:eastAsia="zh-CN"/>
        </w:rPr>
      </w:pPr>
    </w:p>
    <w:p w14:paraId="31851BFF">
      <w:pPr>
        <w:spacing w:line="240" w:lineRule="auto"/>
        <w:jc w:val="both"/>
        <w:rPr>
          <w:rFonts w:hint="eastAsia" w:ascii="黑体" w:hAnsi="黑体" w:eastAsia="黑体"/>
          <w:sz w:val="32"/>
          <w:szCs w:val="32"/>
          <w:lang w:eastAsia="zh-CN"/>
        </w:rPr>
      </w:pPr>
    </w:p>
    <w:tbl>
      <w:tblPr>
        <w:tblStyle w:val="5"/>
        <w:tblW w:w="14883"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8"/>
        <w:gridCol w:w="1349"/>
        <w:gridCol w:w="4599"/>
        <w:gridCol w:w="1296"/>
        <w:gridCol w:w="1158"/>
        <w:gridCol w:w="1349"/>
        <w:gridCol w:w="2162"/>
        <w:gridCol w:w="2162"/>
      </w:tblGrid>
      <w:tr w14:paraId="5C383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4883" w:type="dxa"/>
            <w:gridSpan w:val="8"/>
            <w:tcBorders>
              <w:top w:val="nil"/>
              <w:left w:val="nil"/>
              <w:bottom w:val="nil"/>
              <w:right w:val="nil"/>
            </w:tcBorders>
            <w:shd w:val="clear" w:color="auto" w:fill="auto"/>
            <w:noWrap/>
            <w:vAlign w:val="center"/>
          </w:tcPr>
          <w:p w14:paraId="7E4A64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单位</w:t>
            </w:r>
            <w:r>
              <w:rPr>
                <w:rFonts w:hint="eastAsia" w:ascii="宋体" w:hAnsi="宋体" w:eastAsia="宋体" w:cs="宋体"/>
                <w:i w:val="0"/>
                <w:iCs w:val="0"/>
                <w:color w:val="000000"/>
                <w:kern w:val="0"/>
                <w:sz w:val="22"/>
                <w:szCs w:val="22"/>
                <w:u w:val="none"/>
                <w:lang w:val="en-US" w:eastAsia="zh-CN" w:bidi="ar"/>
              </w:rPr>
              <w:t>预算一般公共预算财政拨款支出表</w:t>
            </w:r>
          </w:p>
        </w:tc>
      </w:tr>
      <w:tr w14:paraId="6BAD5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559" w:type="dxa"/>
            <w:gridSpan w:val="6"/>
            <w:tcBorders>
              <w:top w:val="nil"/>
              <w:left w:val="nil"/>
              <w:bottom w:val="nil"/>
              <w:right w:val="nil"/>
            </w:tcBorders>
            <w:shd w:val="clear" w:color="auto" w:fill="auto"/>
            <w:noWrap/>
            <w:vAlign w:val="center"/>
          </w:tcPr>
          <w:p w14:paraId="2B798EB5">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预算单位编码及名称：[312</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]宁晋县公安局</w:t>
            </w:r>
            <w:r>
              <w:rPr>
                <w:rFonts w:hint="eastAsia" w:ascii="宋体" w:hAnsi="宋体" w:cs="宋体"/>
                <w:i w:val="0"/>
                <w:iCs w:val="0"/>
                <w:color w:val="000000"/>
                <w:kern w:val="0"/>
                <w:sz w:val="22"/>
                <w:szCs w:val="22"/>
                <w:u w:val="none"/>
                <w:lang w:val="en-US" w:eastAsia="zh-CN" w:bidi="ar"/>
              </w:rPr>
              <w:t>本级</w:t>
            </w:r>
          </w:p>
        </w:tc>
        <w:tc>
          <w:tcPr>
            <w:tcW w:w="2162" w:type="dxa"/>
            <w:tcBorders>
              <w:top w:val="nil"/>
              <w:left w:val="nil"/>
              <w:bottom w:val="nil"/>
              <w:right w:val="nil"/>
            </w:tcBorders>
            <w:shd w:val="clear" w:color="auto" w:fill="auto"/>
            <w:noWrap/>
            <w:vAlign w:val="center"/>
          </w:tcPr>
          <w:p w14:paraId="0FFB1D3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2162" w:type="dxa"/>
            <w:tcBorders>
              <w:top w:val="nil"/>
              <w:left w:val="nil"/>
              <w:bottom w:val="nil"/>
              <w:right w:val="nil"/>
            </w:tcBorders>
            <w:shd w:val="clear" w:color="auto" w:fill="auto"/>
            <w:noWrap/>
            <w:vAlign w:val="center"/>
          </w:tcPr>
          <w:p w14:paraId="029A1FC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76C04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0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65B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59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8B7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695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466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4AC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1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428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39A62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AB84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515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7F9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40BE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00E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1F2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C88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c>
          <w:tcPr>
            <w:tcW w:w="21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051A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DA27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A7A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A35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262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716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05B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C5A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A28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C04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30C93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774F28">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701697">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8934B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F54BF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10479.86</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D533F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4524.86 </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56588C">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3941.34</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633C1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583.52</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CBD6E8">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5955.00 </w:t>
            </w:r>
          </w:p>
        </w:tc>
      </w:tr>
      <w:tr w14:paraId="55082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41DF16">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0E166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450410">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公共安全支出</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5EE5DE">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9573.69</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C23448">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3618.69 </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E6D1AE">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3035.17</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84524C">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583.52</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8498E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5955.00</w:t>
            </w:r>
          </w:p>
        </w:tc>
      </w:tr>
      <w:tr w14:paraId="4C3DA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45B179">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B27670">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20401</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1F66F0">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武装警察部队</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206D1A">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28.91</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FB808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2E2FA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397D0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AF6C5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28.91</w:t>
            </w:r>
          </w:p>
        </w:tc>
      </w:tr>
      <w:tr w14:paraId="42773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105242">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7ED830">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2040199</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E65EB0">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其他武装警察部队支出</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EA88C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28.91</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1C112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C3CAF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659D2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1467A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28.91</w:t>
            </w:r>
          </w:p>
        </w:tc>
      </w:tr>
      <w:tr w14:paraId="272D6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879C67">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79B749">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792EC5">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公安</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2ED4D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9544.79</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807F4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3618.69 </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F92709">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3035.17</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9FC71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583.52</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69E5D9">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5926.10</w:t>
            </w:r>
          </w:p>
        </w:tc>
      </w:tr>
      <w:tr w14:paraId="4C23D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186431">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5ED83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2040201</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8A49B5">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行政运行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38814E">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3618.69 </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D684F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3618.69 </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85C992">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3035.17</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EB9DB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583.52</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0051F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04671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879F02">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4FC148">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2040202</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42D44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一般行政管理事务</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FE5EDD">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2604.29</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3A86D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D74D3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1D43B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E6F26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2604.29</w:t>
            </w:r>
          </w:p>
        </w:tc>
      </w:tr>
      <w:tr w14:paraId="393D1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16087A">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E320A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2040219</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E95C5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信息化建设</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73EEF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135.00</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C68E2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97221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F4275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3CC736">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135.00</w:t>
            </w:r>
          </w:p>
        </w:tc>
      </w:tr>
      <w:tr w14:paraId="09733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8E842A">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BD0F3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2040220</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63E82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执法办案</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D55C9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3176.31</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B8F6C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978D9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F696A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F154A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3176.31</w:t>
            </w:r>
          </w:p>
        </w:tc>
      </w:tr>
      <w:tr w14:paraId="42E6F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CC90D4">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25F2D0">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2040299</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7F6F24">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其他公安支出</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DF0FB6">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10.50</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9C1A3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2456D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F9C17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A8251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10.50</w:t>
            </w:r>
          </w:p>
        </w:tc>
      </w:tr>
      <w:tr w14:paraId="549CF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DDD089">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EF3B83">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BA16A2">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社会保障和就业支出</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B547B9">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479.59</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A8880A">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479.59</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D42C5B">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479.59</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AFF96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998CE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7ECEF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D42125">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497A39">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7C945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C753EA">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437.48</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FE6332">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437.48</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71AA54">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437.48</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EDEB2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674E7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F527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0CB955">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C56C3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2080501</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A1F815">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行政单位离退休</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D3A564">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82.00</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CCC60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82.00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10AE6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82.00</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08989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79613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71D9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CBAF8C">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7F1F8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2080505</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57451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D21682">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355.48</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E24784">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355.48</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AF83E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355.48</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780EA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2AECB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DA09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9B2C51">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57ED04">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20808</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2DFEF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抚恤</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638809">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31.00</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51CAB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AF7E8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31.00</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F1D02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03407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2F92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57C65C">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7D05A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2080801</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90ACA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死亡抚恤</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0CFDA6">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31.00</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F69C6D">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3F7CD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31.00</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A9219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35421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722D5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5829BC">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1B1F2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20827</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EA0C41">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财政对其他社会保险基金的补助</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A0A2E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11.11</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168A8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11.11</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3982AA">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11.11</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7A48E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1FA6F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B4C0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68645B">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302C8A">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2082702</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19BD80">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财政对工伤保险基金的补助</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84AA6D">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11.11</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F6F882">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11.11</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8F1126">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11.11</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F029A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C0B66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A750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D7364E">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50285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65D3A9">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卫生健康支出</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7D38AA">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021979">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9B949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EAB7F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F7162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211E4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032E3F">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66DDC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E170B9">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行政事业单位医疗</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919332">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1E02A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638FC6">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724C5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CAD9D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F803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6F0574">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DC038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2101101</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E3461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行政单位医疗</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C62044">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918AD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0517C9">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804F9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8834D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854D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6A257D">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857F9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E5285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住房保障支出</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160A2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125EF2">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46ABC4">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5074CA">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2A7CC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0533F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B288C7">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36109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22102</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BECA3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住房改革支出</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1B8BDA">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79372D">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60948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B1074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181A4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02D24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160243">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766A05">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2210201</w:t>
            </w:r>
          </w:p>
        </w:tc>
        <w:tc>
          <w:tcPr>
            <w:tcW w:w="45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13C164">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住房公积金</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0A9A3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3C3B9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AE6996">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5415B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0ADE1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bl>
    <w:p w14:paraId="2CEB342D">
      <w:pPr>
        <w:spacing w:line="240" w:lineRule="auto"/>
        <w:jc w:val="both"/>
        <w:rPr>
          <w:rFonts w:hint="eastAsia" w:ascii="黑体" w:hAnsi="黑体" w:eastAsia="黑体"/>
          <w:sz w:val="32"/>
          <w:szCs w:val="32"/>
          <w:lang w:eastAsia="zh-CN"/>
        </w:rPr>
      </w:pPr>
    </w:p>
    <w:p w14:paraId="5736960A">
      <w:pPr>
        <w:spacing w:line="240" w:lineRule="auto"/>
        <w:jc w:val="both"/>
        <w:rPr>
          <w:rFonts w:hint="eastAsia" w:ascii="黑体" w:hAnsi="黑体" w:eastAsia="黑体"/>
          <w:sz w:val="32"/>
          <w:szCs w:val="32"/>
          <w:lang w:eastAsia="zh-CN"/>
        </w:rPr>
      </w:pPr>
    </w:p>
    <w:p w14:paraId="7047AA93">
      <w:pPr>
        <w:spacing w:line="240" w:lineRule="auto"/>
        <w:jc w:val="both"/>
        <w:rPr>
          <w:rFonts w:hint="eastAsia" w:ascii="黑体" w:hAnsi="黑体" w:eastAsia="黑体"/>
          <w:sz w:val="32"/>
          <w:szCs w:val="32"/>
          <w:lang w:eastAsia="zh-CN"/>
        </w:rPr>
      </w:pPr>
    </w:p>
    <w:p w14:paraId="237C6CFB">
      <w:pPr>
        <w:spacing w:line="240" w:lineRule="auto"/>
        <w:jc w:val="both"/>
        <w:rPr>
          <w:rFonts w:hint="eastAsia" w:ascii="黑体" w:hAnsi="黑体" w:eastAsia="黑体"/>
          <w:sz w:val="32"/>
          <w:szCs w:val="32"/>
          <w:lang w:eastAsia="zh-CN"/>
        </w:rPr>
      </w:pPr>
    </w:p>
    <w:p w14:paraId="6DB019B2">
      <w:pPr>
        <w:spacing w:line="240" w:lineRule="auto"/>
        <w:jc w:val="both"/>
        <w:rPr>
          <w:rFonts w:hint="eastAsia" w:ascii="黑体" w:hAnsi="黑体" w:eastAsia="黑体"/>
          <w:sz w:val="32"/>
          <w:szCs w:val="32"/>
          <w:lang w:eastAsia="zh-CN"/>
        </w:rPr>
      </w:pPr>
    </w:p>
    <w:p w14:paraId="64B963AB">
      <w:pPr>
        <w:spacing w:line="240" w:lineRule="auto"/>
        <w:jc w:val="both"/>
        <w:rPr>
          <w:rFonts w:hint="eastAsia" w:ascii="黑体" w:hAnsi="黑体" w:eastAsia="黑体"/>
          <w:sz w:val="32"/>
          <w:szCs w:val="32"/>
          <w:lang w:eastAsia="zh-CN"/>
        </w:rPr>
      </w:pPr>
    </w:p>
    <w:p w14:paraId="675F89C6">
      <w:pPr>
        <w:spacing w:line="240" w:lineRule="auto"/>
        <w:jc w:val="both"/>
        <w:rPr>
          <w:rFonts w:hint="eastAsia" w:ascii="黑体" w:hAnsi="黑体" w:eastAsia="黑体"/>
          <w:sz w:val="32"/>
          <w:szCs w:val="32"/>
          <w:lang w:eastAsia="zh-CN"/>
        </w:rPr>
      </w:pPr>
    </w:p>
    <w:p w14:paraId="68BD1659">
      <w:pPr>
        <w:spacing w:line="240" w:lineRule="auto"/>
        <w:jc w:val="both"/>
        <w:rPr>
          <w:rFonts w:hint="eastAsia" w:ascii="黑体" w:hAnsi="黑体" w:eastAsia="黑体"/>
          <w:sz w:val="32"/>
          <w:szCs w:val="32"/>
          <w:lang w:eastAsia="zh-CN"/>
        </w:rPr>
      </w:pPr>
    </w:p>
    <w:p w14:paraId="77BE21D5">
      <w:pPr>
        <w:spacing w:line="240" w:lineRule="auto"/>
        <w:jc w:val="both"/>
        <w:rPr>
          <w:rFonts w:hint="eastAsia" w:ascii="黑体" w:hAnsi="黑体" w:eastAsia="黑体"/>
          <w:sz w:val="32"/>
          <w:szCs w:val="32"/>
          <w:lang w:eastAsia="zh-CN"/>
        </w:rPr>
      </w:pPr>
    </w:p>
    <w:p w14:paraId="6A8614EC">
      <w:pPr>
        <w:spacing w:line="240" w:lineRule="auto"/>
        <w:jc w:val="both"/>
        <w:rPr>
          <w:rFonts w:hint="eastAsia" w:ascii="黑体" w:hAnsi="黑体" w:eastAsia="黑体"/>
          <w:sz w:val="32"/>
          <w:szCs w:val="32"/>
          <w:lang w:eastAsia="zh-CN"/>
        </w:rPr>
      </w:pPr>
    </w:p>
    <w:tbl>
      <w:tblPr>
        <w:tblStyle w:val="5"/>
        <w:tblW w:w="13233"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4"/>
        <w:gridCol w:w="1527"/>
        <w:gridCol w:w="4591"/>
        <w:gridCol w:w="1311"/>
        <w:gridCol w:w="2446"/>
        <w:gridCol w:w="2444"/>
      </w:tblGrid>
      <w:tr w14:paraId="678C3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3233" w:type="dxa"/>
            <w:gridSpan w:val="6"/>
            <w:tcBorders>
              <w:top w:val="nil"/>
              <w:left w:val="nil"/>
              <w:bottom w:val="nil"/>
              <w:right w:val="nil"/>
            </w:tcBorders>
            <w:shd w:val="clear" w:color="auto" w:fill="auto"/>
            <w:noWrap/>
            <w:vAlign w:val="center"/>
          </w:tcPr>
          <w:p w14:paraId="74DD97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单位</w:t>
            </w:r>
            <w:r>
              <w:rPr>
                <w:rFonts w:hint="eastAsia" w:ascii="宋体" w:hAnsi="宋体" w:eastAsia="宋体" w:cs="宋体"/>
                <w:i w:val="0"/>
                <w:iCs w:val="0"/>
                <w:color w:val="000000"/>
                <w:kern w:val="0"/>
                <w:sz w:val="22"/>
                <w:szCs w:val="22"/>
                <w:u w:val="none"/>
                <w:lang w:val="en-US" w:eastAsia="zh-CN" w:bidi="ar"/>
              </w:rPr>
              <w:t>预算一般公共预算财政拨款基本支出表</w:t>
            </w:r>
          </w:p>
        </w:tc>
      </w:tr>
      <w:tr w14:paraId="2555E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343" w:type="dxa"/>
            <w:gridSpan w:val="4"/>
            <w:tcBorders>
              <w:top w:val="nil"/>
              <w:left w:val="nil"/>
              <w:bottom w:val="nil"/>
              <w:right w:val="nil"/>
            </w:tcBorders>
            <w:shd w:val="clear" w:color="auto" w:fill="auto"/>
            <w:noWrap/>
            <w:vAlign w:val="center"/>
          </w:tcPr>
          <w:p w14:paraId="361C5D14">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预算单位编码及名称：[312</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]宁晋县公安局</w:t>
            </w:r>
            <w:r>
              <w:rPr>
                <w:rFonts w:hint="eastAsia" w:ascii="宋体" w:hAnsi="宋体" w:cs="宋体"/>
                <w:i w:val="0"/>
                <w:iCs w:val="0"/>
                <w:color w:val="000000"/>
                <w:kern w:val="0"/>
                <w:sz w:val="22"/>
                <w:szCs w:val="22"/>
                <w:u w:val="none"/>
                <w:lang w:val="en-US" w:eastAsia="zh-CN" w:bidi="ar"/>
              </w:rPr>
              <w:t>本级</w:t>
            </w:r>
          </w:p>
        </w:tc>
        <w:tc>
          <w:tcPr>
            <w:tcW w:w="2446" w:type="dxa"/>
            <w:tcBorders>
              <w:top w:val="nil"/>
              <w:left w:val="nil"/>
              <w:bottom w:val="nil"/>
              <w:right w:val="nil"/>
            </w:tcBorders>
            <w:shd w:val="clear" w:color="auto" w:fill="auto"/>
            <w:noWrap/>
            <w:vAlign w:val="center"/>
          </w:tcPr>
          <w:p w14:paraId="423D804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2444" w:type="dxa"/>
            <w:tcBorders>
              <w:top w:val="nil"/>
              <w:left w:val="nil"/>
              <w:bottom w:val="nil"/>
              <w:right w:val="nil"/>
            </w:tcBorders>
            <w:shd w:val="clear" w:color="auto" w:fill="auto"/>
            <w:noWrap/>
            <w:vAlign w:val="center"/>
          </w:tcPr>
          <w:p w14:paraId="68EEED9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03E37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1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BB5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61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A41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支出部门经济分类科目</w:t>
            </w:r>
          </w:p>
        </w:tc>
        <w:tc>
          <w:tcPr>
            <w:tcW w:w="620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9F2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一般公共预算基本支出</w:t>
            </w:r>
          </w:p>
        </w:tc>
      </w:tr>
      <w:tr w14:paraId="3E159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1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9F52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2D5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DBC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292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0BD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F3F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306F1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47E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D2D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9C2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ADC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4CB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AEF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3AA2F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BFFA27">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AB9290">
            <w:pPr>
              <w:keepNext w:val="0"/>
              <w:keepLines w:val="0"/>
              <w:suppressLineNumbers w:val="0"/>
              <w:spacing w:before="0" w:beforeAutospacing="0" w:after="0" w:afterAutospacing="0"/>
              <w:ind w:left="0" w:right="0"/>
              <w:jc w:val="left"/>
              <w:rPr>
                <w:rFonts w:hint="default" w:ascii="Calibri" w:hAnsi="Calibri" w:eastAsia="宋体" w:cs="Calibri"/>
                <w:i w:val="0"/>
                <w:iCs w:val="0"/>
                <w:color w:val="000000"/>
                <w:sz w:val="22"/>
                <w:szCs w:val="22"/>
                <w:u w:val="none"/>
              </w:rPr>
            </w:pP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756B5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BDB21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4524.86</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95E54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3941.34</w:t>
            </w: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94755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583.52</w:t>
            </w:r>
          </w:p>
        </w:tc>
      </w:tr>
      <w:tr w14:paraId="5EF63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FF9D3E">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C38FC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7E4B35">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工资福利支出</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AF4A5A">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3244.54</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5C0FEA">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3244.54</w:t>
            </w: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C16BA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4ACC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3BC179">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631DA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30101</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2AAED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基本工资</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6D3CB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1131.30</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E6B54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1131.30</w:t>
            </w: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6CDBE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227A1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AA8445">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7DFAA4">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30102</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4530C8">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津贴补贴</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5DF8B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1225.79</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EE103C">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1225.79</w:t>
            </w: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1ADE7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55FD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56806C">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18736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30103</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9E637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奖金</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864E3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94.28</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BA6A1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94.28</w:t>
            </w: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A1C69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F684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153AEA">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3F63D8">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30107</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B2EE40">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绩效工资</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CF2814">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583.8</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641958">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583.8</w:t>
            </w: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3D56B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839B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247BC0">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1A6B2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30108</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9A3329">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机关事业单位基本养老保险缴费</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02535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355.48</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4379A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355.48</w:t>
            </w: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39AE9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7B6CE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F3D1FA">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E50124">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30110</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834C05">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城镇职工基本医疗保险缴费</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C6A08D">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0324A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159.97</w:t>
            </w: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81651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27559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6E8166">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9183B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30112</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5568E8">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其他社会保障缴费</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080F3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11.11</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28B85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11.11</w:t>
            </w: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577CA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85AB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413945">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DB4F10">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30113</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CC3AC8">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住房公积金</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6AD60E">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332A0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266.61</w:t>
            </w: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4D7E8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EBE7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04AB2F">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EE9A78">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0AB073">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商品和服务支出</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F916C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583.52</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614DB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C7F08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583.52</w:t>
            </w:r>
          </w:p>
        </w:tc>
      </w:tr>
      <w:tr w14:paraId="38805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F1CFFF">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AC3060">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30201</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0F1F02">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办公费</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FFCE5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142.69</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5E6F7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65FD2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142.69</w:t>
            </w:r>
          </w:p>
        </w:tc>
      </w:tr>
      <w:tr w14:paraId="4633E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EBD119">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05E823">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30205</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1F62CD">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水费</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9E8A3A">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FBE47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D323D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w:t>
            </w:r>
          </w:p>
        </w:tc>
      </w:tr>
      <w:tr w14:paraId="4EA6E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D635D8">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436BF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30206</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9D7FBA">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电费</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E7C1B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EE6A8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B9175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60.00</w:t>
            </w:r>
          </w:p>
        </w:tc>
      </w:tr>
      <w:tr w14:paraId="695EF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BB5B49">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EF6DB3">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30207</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3A8840">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邮电费</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F50F4B">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82.50</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D984A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914F6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82.50</w:t>
            </w:r>
          </w:p>
        </w:tc>
      </w:tr>
      <w:tr w14:paraId="56AAB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822B24">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EF7AF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30217</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59C1E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公务接待费</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7CB0AC">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FF5F9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61D64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w:t>
            </w:r>
          </w:p>
        </w:tc>
      </w:tr>
      <w:tr w14:paraId="7D11E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7BFED1">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79CA89">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30228</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A5DA08">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工会经费</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CC7C8B">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26.16</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99FBA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3F070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26.16</w:t>
            </w:r>
          </w:p>
        </w:tc>
      </w:tr>
      <w:tr w14:paraId="706DA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A704CA">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24899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30229</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BBC0E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福利费</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87491D">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36.47</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E9995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EDB8B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36.47</w:t>
            </w:r>
          </w:p>
        </w:tc>
      </w:tr>
      <w:tr w14:paraId="1F2FF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3E7D06">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21ED90">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30231</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1CC031">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公务用车运行维护费</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B9D35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32.00</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D1516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55109F">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32.00</w:t>
            </w:r>
          </w:p>
        </w:tc>
      </w:tr>
      <w:tr w14:paraId="2148E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970C34">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BA6FD7">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30239</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A16E5B">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其他交通费用</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3A0CE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199.70</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48F8F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747F0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199.70</w:t>
            </w:r>
          </w:p>
        </w:tc>
      </w:tr>
      <w:tr w14:paraId="5DF34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4CE5D2">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60033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303</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F9073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对个人和家庭的补助</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A656B6">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113.00</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0F0D48">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113.00</w:t>
            </w: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D423A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78DA7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4E5D32">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7CBC1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30302</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F83F4C">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退休费</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E2CB92">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82.00</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62A35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82.00</w:t>
            </w: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97D6A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D4AE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B9A0C5">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AF3231">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30304</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28B03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抚恤金</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E98D7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31.00</w:t>
            </w:r>
          </w:p>
        </w:tc>
        <w:tc>
          <w:tcPr>
            <w:tcW w:w="24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F8CE4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31.00</w:t>
            </w:r>
          </w:p>
        </w:tc>
        <w:tc>
          <w:tcPr>
            <w:tcW w:w="244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43C6B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bl>
    <w:p w14:paraId="17543666">
      <w:pPr>
        <w:spacing w:line="240" w:lineRule="auto"/>
        <w:jc w:val="both"/>
        <w:rPr>
          <w:rFonts w:hint="eastAsia" w:ascii="黑体" w:hAnsi="黑体" w:eastAsia="黑体"/>
          <w:sz w:val="32"/>
          <w:szCs w:val="32"/>
          <w:lang w:eastAsia="zh-CN"/>
        </w:rPr>
      </w:pPr>
    </w:p>
    <w:p w14:paraId="07A396BA">
      <w:pPr>
        <w:spacing w:line="240" w:lineRule="auto"/>
        <w:jc w:val="both"/>
        <w:rPr>
          <w:rFonts w:hint="eastAsia" w:ascii="黑体" w:hAnsi="黑体" w:eastAsia="黑体"/>
          <w:sz w:val="32"/>
          <w:szCs w:val="32"/>
          <w:lang w:eastAsia="zh-CN"/>
        </w:rPr>
      </w:pPr>
    </w:p>
    <w:p w14:paraId="484E2F41">
      <w:pPr>
        <w:spacing w:line="240" w:lineRule="auto"/>
        <w:jc w:val="both"/>
        <w:rPr>
          <w:rFonts w:hint="eastAsia" w:ascii="黑体" w:hAnsi="黑体" w:eastAsia="黑体"/>
          <w:sz w:val="32"/>
          <w:szCs w:val="32"/>
          <w:lang w:eastAsia="zh-CN"/>
        </w:rPr>
      </w:pPr>
    </w:p>
    <w:p w14:paraId="6CA85EA9">
      <w:pPr>
        <w:spacing w:line="240" w:lineRule="auto"/>
        <w:jc w:val="both"/>
        <w:rPr>
          <w:rFonts w:hint="eastAsia" w:ascii="黑体" w:hAnsi="黑体" w:eastAsia="黑体"/>
          <w:sz w:val="32"/>
          <w:szCs w:val="32"/>
          <w:lang w:eastAsia="zh-CN"/>
        </w:rPr>
      </w:pPr>
    </w:p>
    <w:p w14:paraId="1372337E">
      <w:pPr>
        <w:spacing w:line="560" w:lineRule="exact"/>
        <w:ind w:firstLine="640" w:firstLineChars="200"/>
        <w:jc w:val="center"/>
        <w:rPr>
          <w:rFonts w:hint="eastAsia" w:ascii="黑体" w:hAnsi="黑体" w:eastAsia="黑体"/>
          <w:sz w:val="32"/>
          <w:szCs w:val="32"/>
        </w:rPr>
      </w:pPr>
    </w:p>
    <w:p w14:paraId="5CED373C">
      <w:pPr>
        <w:spacing w:line="560" w:lineRule="exact"/>
        <w:ind w:firstLine="640" w:firstLineChars="200"/>
        <w:jc w:val="center"/>
        <w:rPr>
          <w:rFonts w:hint="eastAsia" w:ascii="黑体" w:hAnsi="黑体" w:eastAsia="黑体"/>
          <w:sz w:val="32"/>
          <w:szCs w:val="32"/>
        </w:rPr>
      </w:pPr>
    </w:p>
    <w:p w14:paraId="024DDA0A">
      <w:pPr>
        <w:spacing w:line="560" w:lineRule="exact"/>
        <w:ind w:firstLine="640" w:firstLineChars="200"/>
        <w:jc w:val="center"/>
        <w:rPr>
          <w:rFonts w:hint="eastAsia" w:ascii="黑体" w:hAnsi="黑体" w:eastAsia="黑体"/>
          <w:sz w:val="32"/>
          <w:szCs w:val="32"/>
        </w:rPr>
      </w:pPr>
    </w:p>
    <w:p w14:paraId="731291E2">
      <w:pPr>
        <w:spacing w:line="560" w:lineRule="exact"/>
        <w:ind w:firstLine="640" w:firstLineChars="200"/>
        <w:jc w:val="center"/>
        <w:rPr>
          <w:rFonts w:hint="eastAsia" w:ascii="黑体" w:hAnsi="黑体" w:eastAsia="黑体"/>
          <w:sz w:val="32"/>
          <w:szCs w:val="32"/>
        </w:rPr>
      </w:pPr>
    </w:p>
    <w:p w14:paraId="79D4B88F">
      <w:pPr>
        <w:spacing w:line="560" w:lineRule="exact"/>
        <w:ind w:firstLine="640" w:firstLineChars="200"/>
        <w:jc w:val="center"/>
        <w:rPr>
          <w:rFonts w:hint="eastAsia" w:ascii="黑体" w:hAnsi="黑体" w:eastAsia="黑体"/>
          <w:sz w:val="32"/>
          <w:szCs w:val="32"/>
        </w:rPr>
      </w:pPr>
    </w:p>
    <w:p w14:paraId="40F74380">
      <w:pPr>
        <w:spacing w:line="560" w:lineRule="exact"/>
        <w:ind w:firstLine="640" w:firstLineChars="200"/>
        <w:jc w:val="center"/>
        <w:rPr>
          <w:rFonts w:hint="eastAsia" w:ascii="黑体" w:hAnsi="黑体" w:eastAsia="黑体"/>
          <w:sz w:val="32"/>
          <w:szCs w:val="32"/>
        </w:rPr>
      </w:pPr>
    </w:p>
    <w:p w14:paraId="6C18E0A1">
      <w:pPr>
        <w:spacing w:line="560" w:lineRule="exact"/>
        <w:ind w:firstLine="640" w:firstLineChars="200"/>
        <w:jc w:val="center"/>
        <w:rPr>
          <w:rFonts w:hint="eastAsia" w:ascii="黑体" w:hAnsi="黑体" w:eastAsia="黑体"/>
          <w:sz w:val="32"/>
          <w:szCs w:val="32"/>
        </w:rPr>
      </w:pPr>
    </w:p>
    <w:tbl>
      <w:tblPr>
        <w:tblStyle w:val="5"/>
        <w:tblW w:w="13284"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42"/>
        <w:gridCol w:w="2075"/>
        <w:gridCol w:w="2075"/>
        <w:gridCol w:w="1242"/>
        <w:gridCol w:w="3325"/>
        <w:gridCol w:w="3325"/>
      </w:tblGrid>
      <w:tr w14:paraId="3EBA9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3284" w:type="dxa"/>
            <w:gridSpan w:val="6"/>
            <w:tcBorders>
              <w:top w:val="nil"/>
              <w:left w:val="nil"/>
              <w:bottom w:val="nil"/>
              <w:right w:val="nil"/>
            </w:tcBorders>
            <w:shd w:val="clear" w:color="auto" w:fill="auto"/>
            <w:noWrap/>
            <w:vAlign w:val="center"/>
          </w:tcPr>
          <w:p w14:paraId="5782ED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单位</w:t>
            </w:r>
            <w:r>
              <w:rPr>
                <w:rFonts w:hint="eastAsia" w:ascii="宋体" w:hAnsi="宋体" w:eastAsia="宋体" w:cs="宋体"/>
                <w:i w:val="0"/>
                <w:iCs w:val="0"/>
                <w:color w:val="000000"/>
                <w:kern w:val="0"/>
                <w:sz w:val="22"/>
                <w:szCs w:val="22"/>
                <w:u w:val="none"/>
                <w:lang w:val="en-US" w:eastAsia="zh-CN" w:bidi="ar"/>
              </w:rPr>
              <w:t>预算政府基金预算财政拨款支出表</w:t>
            </w:r>
          </w:p>
        </w:tc>
      </w:tr>
      <w:tr w14:paraId="2D103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634" w:type="dxa"/>
            <w:gridSpan w:val="4"/>
            <w:tcBorders>
              <w:top w:val="nil"/>
              <w:left w:val="nil"/>
              <w:bottom w:val="nil"/>
              <w:right w:val="nil"/>
            </w:tcBorders>
            <w:shd w:val="clear" w:color="auto" w:fill="auto"/>
            <w:noWrap/>
            <w:vAlign w:val="center"/>
          </w:tcPr>
          <w:p w14:paraId="50A266B8">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预算单位编码及名称：[312</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]宁晋县公安局</w:t>
            </w:r>
            <w:r>
              <w:rPr>
                <w:rFonts w:hint="eastAsia" w:ascii="宋体" w:hAnsi="宋体" w:cs="宋体"/>
                <w:i w:val="0"/>
                <w:iCs w:val="0"/>
                <w:color w:val="000000"/>
                <w:kern w:val="0"/>
                <w:sz w:val="22"/>
                <w:szCs w:val="22"/>
                <w:u w:val="none"/>
                <w:lang w:val="en-US" w:eastAsia="zh-CN" w:bidi="ar"/>
              </w:rPr>
              <w:t>本级</w:t>
            </w:r>
          </w:p>
        </w:tc>
        <w:tc>
          <w:tcPr>
            <w:tcW w:w="3325" w:type="dxa"/>
            <w:tcBorders>
              <w:top w:val="nil"/>
              <w:left w:val="nil"/>
              <w:bottom w:val="nil"/>
              <w:right w:val="nil"/>
            </w:tcBorders>
            <w:shd w:val="clear" w:color="auto" w:fill="auto"/>
            <w:noWrap/>
            <w:vAlign w:val="center"/>
          </w:tcPr>
          <w:p w14:paraId="545F51E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3325" w:type="dxa"/>
            <w:tcBorders>
              <w:top w:val="nil"/>
              <w:left w:val="nil"/>
              <w:bottom w:val="nil"/>
              <w:right w:val="nil"/>
            </w:tcBorders>
            <w:shd w:val="clear" w:color="auto" w:fill="auto"/>
            <w:noWrap/>
            <w:vAlign w:val="center"/>
          </w:tcPr>
          <w:p w14:paraId="7AA82ED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7B24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2CA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4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1E2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12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A60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33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2C1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33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965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0C48B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B028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71F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8C0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4351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3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C3F1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3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9FA0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4FE6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5BD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3D0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178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1C4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95A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FF8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6BE22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392" w:type="dxa"/>
            <w:gridSpan w:val="3"/>
            <w:tcBorders>
              <w:top w:val="nil"/>
              <w:left w:val="nil"/>
              <w:bottom w:val="nil"/>
              <w:right w:val="nil"/>
            </w:tcBorders>
            <w:shd w:val="clear" w:color="auto" w:fill="auto"/>
            <w:noWrap/>
            <w:vAlign w:val="top"/>
          </w:tcPr>
          <w:p w14:paraId="0F76AC01">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无政府基金预算财政拨款预算，空表列示。</w:t>
            </w:r>
          </w:p>
        </w:tc>
        <w:tc>
          <w:tcPr>
            <w:tcW w:w="1242" w:type="dxa"/>
            <w:tcBorders>
              <w:top w:val="nil"/>
              <w:left w:val="nil"/>
              <w:bottom w:val="nil"/>
              <w:right w:val="nil"/>
            </w:tcBorders>
            <w:shd w:val="clear" w:color="auto" w:fill="auto"/>
            <w:noWrap/>
            <w:vAlign w:val="top"/>
          </w:tcPr>
          <w:p w14:paraId="40FCAF21">
            <w:pPr>
              <w:keepNext w:val="0"/>
              <w:keepLines w:val="0"/>
              <w:suppressLineNumbers w:val="0"/>
              <w:spacing w:before="0" w:beforeAutospacing="0" w:after="0" w:afterAutospacing="0"/>
              <w:ind w:left="0" w:right="0"/>
              <w:jc w:val="right"/>
              <w:rPr>
                <w:rFonts w:hint="eastAsia" w:ascii="Calibri" w:hAnsi="Calibri" w:eastAsia="宋体" w:cs="Calibri"/>
                <w:i w:val="0"/>
                <w:iCs w:val="0"/>
                <w:color w:val="000000"/>
                <w:sz w:val="22"/>
                <w:szCs w:val="22"/>
                <w:u w:val="none"/>
              </w:rPr>
            </w:pPr>
          </w:p>
        </w:tc>
        <w:tc>
          <w:tcPr>
            <w:tcW w:w="3325" w:type="dxa"/>
            <w:tcBorders>
              <w:top w:val="nil"/>
              <w:left w:val="nil"/>
              <w:bottom w:val="nil"/>
              <w:right w:val="nil"/>
            </w:tcBorders>
            <w:shd w:val="clear" w:color="auto" w:fill="auto"/>
            <w:noWrap/>
            <w:vAlign w:val="top"/>
          </w:tcPr>
          <w:p w14:paraId="45CC3FE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325" w:type="dxa"/>
            <w:tcBorders>
              <w:top w:val="nil"/>
              <w:left w:val="nil"/>
              <w:bottom w:val="nil"/>
              <w:right w:val="nil"/>
            </w:tcBorders>
            <w:shd w:val="clear" w:color="auto" w:fill="auto"/>
            <w:noWrap/>
            <w:vAlign w:val="top"/>
          </w:tcPr>
          <w:p w14:paraId="763299D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bl>
    <w:p w14:paraId="5149F584">
      <w:pPr>
        <w:spacing w:line="560" w:lineRule="exact"/>
        <w:jc w:val="both"/>
        <w:rPr>
          <w:rFonts w:hint="eastAsia" w:ascii="黑体" w:hAnsi="黑体" w:eastAsia="黑体"/>
          <w:sz w:val="32"/>
          <w:szCs w:val="32"/>
        </w:rPr>
      </w:pPr>
    </w:p>
    <w:p w14:paraId="1A34CB6F">
      <w:pPr>
        <w:spacing w:line="560" w:lineRule="exact"/>
        <w:ind w:firstLine="640" w:firstLineChars="200"/>
        <w:jc w:val="center"/>
        <w:rPr>
          <w:rFonts w:hint="eastAsia" w:ascii="黑体" w:hAnsi="黑体" w:eastAsia="黑体"/>
          <w:sz w:val="32"/>
          <w:szCs w:val="32"/>
        </w:rPr>
      </w:pPr>
    </w:p>
    <w:p w14:paraId="0E71561F">
      <w:pPr>
        <w:spacing w:line="560" w:lineRule="exact"/>
        <w:ind w:firstLine="640" w:firstLineChars="200"/>
        <w:jc w:val="center"/>
        <w:rPr>
          <w:rFonts w:hint="eastAsia" w:ascii="黑体" w:hAnsi="黑体" w:eastAsia="黑体"/>
          <w:sz w:val="32"/>
          <w:szCs w:val="32"/>
        </w:rPr>
      </w:pPr>
    </w:p>
    <w:p w14:paraId="78C27E0B">
      <w:pPr>
        <w:spacing w:line="560" w:lineRule="exact"/>
        <w:ind w:firstLine="640" w:firstLineChars="200"/>
        <w:jc w:val="center"/>
        <w:rPr>
          <w:rFonts w:hint="eastAsia" w:ascii="黑体" w:hAnsi="黑体" w:eastAsia="黑体"/>
          <w:sz w:val="32"/>
          <w:szCs w:val="32"/>
        </w:rPr>
      </w:pPr>
    </w:p>
    <w:p w14:paraId="18FB2FD4">
      <w:pPr>
        <w:spacing w:line="560" w:lineRule="exact"/>
        <w:ind w:firstLine="640" w:firstLineChars="200"/>
        <w:jc w:val="center"/>
        <w:rPr>
          <w:rFonts w:hint="eastAsia" w:ascii="黑体" w:hAnsi="黑体" w:eastAsia="黑体"/>
          <w:sz w:val="32"/>
          <w:szCs w:val="32"/>
        </w:rPr>
      </w:pPr>
    </w:p>
    <w:p w14:paraId="5638AD94">
      <w:pPr>
        <w:spacing w:line="560" w:lineRule="exact"/>
        <w:ind w:firstLine="640" w:firstLineChars="200"/>
        <w:jc w:val="center"/>
        <w:rPr>
          <w:rFonts w:hint="eastAsia" w:ascii="黑体" w:hAnsi="黑体" w:eastAsia="黑体"/>
          <w:sz w:val="32"/>
          <w:szCs w:val="32"/>
        </w:rPr>
      </w:pPr>
    </w:p>
    <w:p w14:paraId="7CDB419E">
      <w:pPr>
        <w:spacing w:line="560" w:lineRule="exact"/>
        <w:ind w:firstLine="640" w:firstLineChars="200"/>
        <w:jc w:val="center"/>
        <w:rPr>
          <w:rFonts w:hint="eastAsia" w:ascii="黑体" w:hAnsi="黑体" w:eastAsia="黑体"/>
          <w:sz w:val="32"/>
          <w:szCs w:val="32"/>
        </w:rPr>
      </w:pPr>
    </w:p>
    <w:p w14:paraId="44E4C568">
      <w:pPr>
        <w:spacing w:line="560" w:lineRule="exact"/>
        <w:ind w:firstLine="640" w:firstLineChars="200"/>
        <w:jc w:val="center"/>
        <w:rPr>
          <w:rFonts w:hint="eastAsia" w:ascii="黑体" w:hAnsi="黑体" w:eastAsia="黑体"/>
          <w:sz w:val="32"/>
          <w:szCs w:val="32"/>
        </w:rPr>
      </w:pPr>
    </w:p>
    <w:p w14:paraId="1C5F9A6B">
      <w:pPr>
        <w:spacing w:line="560" w:lineRule="exact"/>
        <w:ind w:firstLine="640" w:firstLineChars="200"/>
        <w:jc w:val="center"/>
        <w:rPr>
          <w:rFonts w:hint="eastAsia" w:ascii="黑体" w:hAnsi="黑体" w:eastAsia="黑体"/>
          <w:sz w:val="32"/>
          <w:szCs w:val="32"/>
        </w:rPr>
      </w:pPr>
    </w:p>
    <w:p w14:paraId="75163F40">
      <w:pPr>
        <w:spacing w:line="560" w:lineRule="exact"/>
        <w:ind w:firstLine="640" w:firstLineChars="200"/>
        <w:jc w:val="center"/>
        <w:rPr>
          <w:rFonts w:hint="eastAsia" w:ascii="黑体" w:hAnsi="黑体" w:eastAsia="黑体"/>
          <w:sz w:val="32"/>
          <w:szCs w:val="32"/>
        </w:rPr>
      </w:pPr>
    </w:p>
    <w:tbl>
      <w:tblPr>
        <w:tblStyle w:val="5"/>
        <w:tblW w:w="13884"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98"/>
        <w:gridCol w:w="2169"/>
        <w:gridCol w:w="2169"/>
        <w:gridCol w:w="1298"/>
        <w:gridCol w:w="3475"/>
        <w:gridCol w:w="3475"/>
      </w:tblGrid>
      <w:tr w14:paraId="57462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3884" w:type="dxa"/>
            <w:gridSpan w:val="6"/>
            <w:tcBorders>
              <w:top w:val="nil"/>
              <w:left w:val="nil"/>
              <w:bottom w:val="nil"/>
              <w:right w:val="nil"/>
            </w:tcBorders>
            <w:shd w:val="clear" w:color="auto" w:fill="auto"/>
            <w:noWrap/>
            <w:vAlign w:val="center"/>
          </w:tcPr>
          <w:p w14:paraId="12F454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单位</w:t>
            </w:r>
            <w:r>
              <w:rPr>
                <w:rFonts w:hint="eastAsia" w:ascii="宋体" w:hAnsi="宋体" w:eastAsia="宋体" w:cs="宋体"/>
                <w:i w:val="0"/>
                <w:iCs w:val="0"/>
                <w:color w:val="000000"/>
                <w:kern w:val="0"/>
                <w:sz w:val="22"/>
                <w:szCs w:val="22"/>
                <w:u w:val="none"/>
                <w:lang w:val="en-US" w:eastAsia="zh-CN" w:bidi="ar"/>
              </w:rPr>
              <w:t>预算国有资本经营预算财政拨款支出表</w:t>
            </w:r>
          </w:p>
        </w:tc>
      </w:tr>
      <w:tr w14:paraId="2E62B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34" w:type="dxa"/>
            <w:gridSpan w:val="4"/>
            <w:tcBorders>
              <w:top w:val="nil"/>
              <w:left w:val="nil"/>
              <w:bottom w:val="nil"/>
              <w:right w:val="nil"/>
            </w:tcBorders>
            <w:shd w:val="clear" w:color="auto" w:fill="auto"/>
            <w:noWrap/>
            <w:vAlign w:val="center"/>
          </w:tcPr>
          <w:p w14:paraId="5A2384B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预算单位编码及名称：[312</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]宁晋县公安局</w:t>
            </w:r>
            <w:r>
              <w:rPr>
                <w:rFonts w:hint="eastAsia" w:ascii="宋体" w:hAnsi="宋体" w:cs="宋体"/>
                <w:i w:val="0"/>
                <w:iCs w:val="0"/>
                <w:color w:val="000000"/>
                <w:kern w:val="0"/>
                <w:sz w:val="22"/>
                <w:szCs w:val="22"/>
                <w:u w:val="none"/>
                <w:lang w:val="en-US" w:eastAsia="zh-CN" w:bidi="ar"/>
              </w:rPr>
              <w:t>本级</w:t>
            </w:r>
          </w:p>
        </w:tc>
        <w:tc>
          <w:tcPr>
            <w:tcW w:w="3475" w:type="dxa"/>
            <w:tcBorders>
              <w:top w:val="nil"/>
              <w:left w:val="nil"/>
              <w:bottom w:val="nil"/>
              <w:right w:val="nil"/>
            </w:tcBorders>
            <w:shd w:val="clear" w:color="auto" w:fill="auto"/>
            <w:noWrap/>
            <w:vAlign w:val="center"/>
          </w:tcPr>
          <w:p w14:paraId="6BA9241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3475" w:type="dxa"/>
            <w:tcBorders>
              <w:top w:val="nil"/>
              <w:left w:val="nil"/>
              <w:bottom w:val="nil"/>
              <w:right w:val="nil"/>
            </w:tcBorders>
            <w:shd w:val="clear" w:color="auto" w:fill="auto"/>
            <w:noWrap/>
            <w:vAlign w:val="center"/>
          </w:tcPr>
          <w:p w14:paraId="30A20E0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07D6B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9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CCB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433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D7D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129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56C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34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48A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34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125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03579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DB9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1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AFC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21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67C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4ACF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4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96A2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4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AD4E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7CA3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1FC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1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FE0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079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61B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FDE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311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1174D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636" w:type="dxa"/>
            <w:gridSpan w:val="3"/>
            <w:tcBorders>
              <w:top w:val="nil"/>
              <w:left w:val="nil"/>
              <w:bottom w:val="nil"/>
              <w:right w:val="nil"/>
            </w:tcBorders>
            <w:shd w:val="clear" w:color="auto" w:fill="auto"/>
            <w:noWrap/>
            <w:vAlign w:val="top"/>
          </w:tcPr>
          <w:p w14:paraId="5F19B4E4">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无国有资本经营预算财政拨款预算，空表列示。</w:t>
            </w:r>
          </w:p>
        </w:tc>
        <w:tc>
          <w:tcPr>
            <w:tcW w:w="1298" w:type="dxa"/>
            <w:tcBorders>
              <w:top w:val="nil"/>
              <w:left w:val="nil"/>
              <w:bottom w:val="nil"/>
              <w:right w:val="nil"/>
            </w:tcBorders>
            <w:shd w:val="clear" w:color="auto" w:fill="auto"/>
            <w:noWrap/>
            <w:vAlign w:val="top"/>
          </w:tcPr>
          <w:p w14:paraId="1ABE1F24">
            <w:pPr>
              <w:keepNext w:val="0"/>
              <w:keepLines w:val="0"/>
              <w:suppressLineNumbers w:val="0"/>
              <w:spacing w:before="0" w:beforeAutospacing="0" w:after="0" w:afterAutospacing="0"/>
              <w:ind w:left="0" w:right="0"/>
              <w:jc w:val="right"/>
              <w:rPr>
                <w:rFonts w:hint="eastAsia" w:ascii="Calibri" w:hAnsi="Calibri" w:eastAsia="宋体" w:cs="Calibri"/>
                <w:i w:val="0"/>
                <w:iCs w:val="0"/>
                <w:color w:val="000000"/>
                <w:sz w:val="22"/>
                <w:szCs w:val="22"/>
                <w:u w:val="none"/>
              </w:rPr>
            </w:pPr>
          </w:p>
        </w:tc>
        <w:tc>
          <w:tcPr>
            <w:tcW w:w="3475" w:type="dxa"/>
            <w:tcBorders>
              <w:top w:val="nil"/>
              <w:left w:val="nil"/>
              <w:bottom w:val="nil"/>
              <w:right w:val="nil"/>
            </w:tcBorders>
            <w:shd w:val="clear" w:color="auto" w:fill="auto"/>
            <w:noWrap/>
            <w:vAlign w:val="top"/>
          </w:tcPr>
          <w:p w14:paraId="6056F606">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3475" w:type="dxa"/>
            <w:tcBorders>
              <w:top w:val="nil"/>
              <w:left w:val="nil"/>
              <w:bottom w:val="nil"/>
              <w:right w:val="nil"/>
            </w:tcBorders>
            <w:shd w:val="clear" w:color="auto" w:fill="auto"/>
            <w:noWrap/>
            <w:vAlign w:val="top"/>
          </w:tcPr>
          <w:p w14:paraId="65F084D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bl>
    <w:p w14:paraId="7BDACC64">
      <w:pPr>
        <w:spacing w:line="560" w:lineRule="exact"/>
        <w:jc w:val="both"/>
        <w:rPr>
          <w:rFonts w:hint="eastAsia" w:ascii="黑体" w:hAnsi="黑体" w:eastAsia="黑体"/>
          <w:sz w:val="32"/>
          <w:szCs w:val="32"/>
        </w:rPr>
      </w:pPr>
    </w:p>
    <w:p w14:paraId="3E17E9AD">
      <w:pPr>
        <w:spacing w:line="560" w:lineRule="exact"/>
        <w:jc w:val="both"/>
        <w:rPr>
          <w:rFonts w:hint="eastAsia" w:ascii="黑体" w:hAnsi="黑体" w:eastAsia="黑体"/>
          <w:sz w:val="32"/>
          <w:szCs w:val="32"/>
        </w:rPr>
      </w:pPr>
    </w:p>
    <w:p w14:paraId="39D6002F">
      <w:pPr>
        <w:spacing w:line="560" w:lineRule="exact"/>
        <w:jc w:val="both"/>
        <w:rPr>
          <w:rFonts w:hint="eastAsia" w:ascii="黑体" w:hAnsi="黑体" w:eastAsia="黑体"/>
          <w:sz w:val="32"/>
          <w:szCs w:val="32"/>
        </w:rPr>
      </w:pPr>
    </w:p>
    <w:p w14:paraId="4096F05F">
      <w:pPr>
        <w:spacing w:line="560" w:lineRule="exact"/>
        <w:jc w:val="both"/>
        <w:rPr>
          <w:rFonts w:hint="eastAsia" w:ascii="黑体" w:hAnsi="黑体" w:eastAsia="黑体"/>
          <w:sz w:val="32"/>
          <w:szCs w:val="32"/>
        </w:rPr>
      </w:pPr>
    </w:p>
    <w:p w14:paraId="4D7DB438">
      <w:pPr>
        <w:spacing w:line="560" w:lineRule="exact"/>
        <w:jc w:val="both"/>
        <w:rPr>
          <w:rFonts w:hint="eastAsia" w:ascii="黑体" w:hAnsi="黑体" w:eastAsia="黑体"/>
          <w:sz w:val="32"/>
          <w:szCs w:val="32"/>
        </w:rPr>
      </w:pPr>
    </w:p>
    <w:p w14:paraId="6269C129">
      <w:pPr>
        <w:spacing w:line="560" w:lineRule="exact"/>
        <w:jc w:val="both"/>
        <w:rPr>
          <w:rFonts w:hint="eastAsia" w:ascii="黑体" w:hAnsi="黑体" w:eastAsia="黑体"/>
          <w:sz w:val="32"/>
          <w:szCs w:val="32"/>
        </w:rPr>
      </w:pPr>
    </w:p>
    <w:p w14:paraId="5C3152B2">
      <w:pPr>
        <w:spacing w:line="560" w:lineRule="exact"/>
        <w:jc w:val="both"/>
        <w:rPr>
          <w:rFonts w:hint="eastAsia" w:ascii="黑体" w:hAnsi="黑体" w:eastAsia="黑体"/>
          <w:sz w:val="32"/>
          <w:szCs w:val="32"/>
        </w:rPr>
      </w:pPr>
    </w:p>
    <w:p w14:paraId="5685CC9A">
      <w:pPr>
        <w:spacing w:line="560" w:lineRule="exact"/>
        <w:jc w:val="both"/>
        <w:rPr>
          <w:rFonts w:hint="eastAsia" w:ascii="黑体" w:hAnsi="黑体" w:eastAsia="黑体"/>
          <w:sz w:val="32"/>
          <w:szCs w:val="32"/>
        </w:rPr>
      </w:pPr>
    </w:p>
    <w:p w14:paraId="2686C99E">
      <w:pPr>
        <w:spacing w:line="560" w:lineRule="exact"/>
        <w:jc w:val="both"/>
        <w:rPr>
          <w:rFonts w:hint="eastAsia" w:ascii="黑体" w:hAnsi="黑体" w:eastAsia="黑体"/>
          <w:sz w:val="32"/>
          <w:szCs w:val="32"/>
        </w:rPr>
      </w:pPr>
    </w:p>
    <w:p w14:paraId="1B65AFDD">
      <w:pPr>
        <w:spacing w:line="560" w:lineRule="exact"/>
        <w:jc w:val="both"/>
        <w:rPr>
          <w:rFonts w:hint="eastAsia" w:ascii="黑体" w:hAnsi="黑体" w:eastAsia="黑体"/>
          <w:sz w:val="32"/>
          <w:szCs w:val="32"/>
        </w:rPr>
      </w:pPr>
    </w:p>
    <w:p w14:paraId="1F2DD56F">
      <w:pPr>
        <w:spacing w:line="560" w:lineRule="exact"/>
        <w:jc w:val="both"/>
        <w:rPr>
          <w:rFonts w:hint="eastAsia" w:ascii="黑体" w:hAnsi="黑体" w:eastAsia="黑体"/>
          <w:sz w:val="32"/>
          <w:szCs w:val="32"/>
        </w:rPr>
      </w:pPr>
    </w:p>
    <w:tbl>
      <w:tblPr>
        <w:tblStyle w:val="5"/>
        <w:tblW w:w="13574"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9"/>
        <w:gridCol w:w="5087"/>
        <w:gridCol w:w="1185"/>
        <w:gridCol w:w="1781"/>
        <w:gridCol w:w="2381"/>
        <w:gridCol w:w="2381"/>
      </w:tblGrid>
      <w:tr w14:paraId="4EA32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574" w:type="dxa"/>
            <w:gridSpan w:val="6"/>
            <w:tcBorders>
              <w:top w:val="nil"/>
              <w:left w:val="nil"/>
              <w:bottom w:val="nil"/>
              <w:right w:val="nil"/>
            </w:tcBorders>
            <w:shd w:val="clear" w:color="auto" w:fill="auto"/>
            <w:noWrap/>
            <w:vAlign w:val="center"/>
          </w:tcPr>
          <w:p w14:paraId="74C505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单位</w:t>
            </w:r>
            <w:r>
              <w:rPr>
                <w:rFonts w:hint="eastAsia" w:ascii="宋体" w:hAnsi="宋体" w:eastAsia="宋体" w:cs="宋体"/>
                <w:i w:val="0"/>
                <w:iCs w:val="0"/>
                <w:color w:val="000000"/>
                <w:kern w:val="0"/>
                <w:sz w:val="22"/>
                <w:szCs w:val="22"/>
                <w:u w:val="none"/>
                <w:lang w:val="en-US" w:eastAsia="zh-CN" w:bidi="ar"/>
              </w:rPr>
              <w:t>预算财政拨款“三公”经费支出表</w:t>
            </w:r>
          </w:p>
        </w:tc>
      </w:tr>
      <w:tr w14:paraId="285E8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812" w:type="dxa"/>
            <w:gridSpan w:val="4"/>
            <w:tcBorders>
              <w:top w:val="nil"/>
              <w:left w:val="nil"/>
              <w:bottom w:val="nil"/>
              <w:right w:val="nil"/>
            </w:tcBorders>
            <w:shd w:val="clear" w:color="auto" w:fill="auto"/>
            <w:noWrap/>
            <w:vAlign w:val="center"/>
          </w:tcPr>
          <w:p w14:paraId="384DB07D">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预算单位编码及名称：[312</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]宁晋县公安局</w:t>
            </w:r>
            <w:r>
              <w:rPr>
                <w:rFonts w:hint="eastAsia" w:ascii="宋体" w:hAnsi="宋体" w:cs="宋体"/>
                <w:i w:val="0"/>
                <w:iCs w:val="0"/>
                <w:color w:val="000000"/>
                <w:kern w:val="0"/>
                <w:sz w:val="22"/>
                <w:szCs w:val="22"/>
                <w:u w:val="none"/>
                <w:lang w:val="en-US" w:eastAsia="zh-CN" w:bidi="ar"/>
              </w:rPr>
              <w:t>本级</w:t>
            </w:r>
          </w:p>
        </w:tc>
        <w:tc>
          <w:tcPr>
            <w:tcW w:w="2381" w:type="dxa"/>
            <w:tcBorders>
              <w:top w:val="nil"/>
              <w:left w:val="nil"/>
              <w:bottom w:val="nil"/>
              <w:right w:val="nil"/>
            </w:tcBorders>
            <w:shd w:val="clear" w:color="auto" w:fill="auto"/>
            <w:noWrap/>
            <w:vAlign w:val="center"/>
          </w:tcPr>
          <w:p w14:paraId="1859777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2381" w:type="dxa"/>
            <w:tcBorders>
              <w:top w:val="nil"/>
              <w:left w:val="nil"/>
              <w:bottom w:val="nil"/>
              <w:right w:val="nil"/>
            </w:tcBorders>
            <w:shd w:val="clear" w:color="auto" w:fill="auto"/>
            <w:noWrap/>
            <w:vAlign w:val="center"/>
          </w:tcPr>
          <w:p w14:paraId="2D9A5E0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73BEC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5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A4F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508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4D3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772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F14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资金性质</w:t>
            </w:r>
          </w:p>
        </w:tc>
      </w:tr>
      <w:tr w14:paraId="49385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C1EE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0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F4D3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6B1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D7C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4C5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政府性基金财政拨款</w:t>
            </w: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9DC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0BC16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CCB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455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823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718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44B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E49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4A791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C4C414">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508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DE0568">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top"/>
          </w:tcPr>
          <w:p w14:paraId="67168AF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93.56</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top"/>
          </w:tcPr>
          <w:p w14:paraId="2787EDE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93.56</w:t>
            </w: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3372E69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665E6DF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40EE9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C4C15C">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508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2A4C74">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“三公”经费小计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top"/>
          </w:tcPr>
          <w:p w14:paraId="25BB05A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87.56</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top"/>
          </w:tcPr>
          <w:p w14:paraId="6929A55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87.56</w:t>
            </w: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4059FD8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58547B7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26AE9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E94CFD">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508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E12472">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一、因公出国（境）费</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top"/>
          </w:tcPr>
          <w:p w14:paraId="6DD0D52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top"/>
          </w:tcPr>
          <w:p w14:paraId="496C765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24D7C80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5182CFD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71DCD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087643">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508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CAF4B6">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其中：教学科研人员因公出国（境）费</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top"/>
          </w:tcPr>
          <w:p w14:paraId="74003E41">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top"/>
          </w:tcPr>
          <w:p w14:paraId="0F105D4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6644879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315BADFC">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01BB6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512F2D">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508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670994">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其他因公出国（境）费</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top"/>
          </w:tcPr>
          <w:p w14:paraId="64F4A684">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top"/>
          </w:tcPr>
          <w:p w14:paraId="48395908">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7694CE6E">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461A773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53D21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E9C4FB">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508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6F1002">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二、公务用车购置及运维费</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top"/>
          </w:tcPr>
          <w:p w14:paraId="14F680D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85.56</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top"/>
          </w:tcPr>
          <w:p w14:paraId="5296C61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85.56</w:t>
            </w: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0F9E13DF">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651F7A5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25C82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B5676E">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508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47FF4E">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其中：公务用车购置费</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top"/>
          </w:tcPr>
          <w:p w14:paraId="2131DAE1">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13.56</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top"/>
          </w:tcPr>
          <w:p w14:paraId="353187E8">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13.56</w:t>
            </w: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58AA97F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0731BAA9">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6400E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10986A">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508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76401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公务用车运行维护费</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top"/>
          </w:tcPr>
          <w:p w14:paraId="550645A5">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72.00</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top"/>
          </w:tcPr>
          <w:p w14:paraId="4C50EE54">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72.00</w:t>
            </w: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16183C82">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644CAB83">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2300A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0EB500">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508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34E2C0">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三、公务接待费</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top"/>
          </w:tcPr>
          <w:p w14:paraId="4DDF5289">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top"/>
          </w:tcPr>
          <w:p w14:paraId="6563B07C">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w:t>
            </w: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2DC8479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54C21BA7">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3CBD5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C9D366">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508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F1C46F">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四、会议费</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top"/>
          </w:tcPr>
          <w:p w14:paraId="57236340">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top"/>
          </w:tcPr>
          <w:p w14:paraId="0CB94E07">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w:t>
            </w: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673C1170">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1B56BF2B">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r w14:paraId="17C64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D02297">
            <w:pPr>
              <w:keepNext w:val="0"/>
              <w:keepLines w:val="0"/>
              <w:widowControl/>
              <w:suppressLineNumbers w:val="0"/>
              <w:spacing w:before="0" w:beforeAutospacing="0" w:after="0" w:afterAutospacing="0"/>
              <w:ind w:left="0" w:right="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508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AFC055">
            <w:pPr>
              <w:keepNext w:val="0"/>
              <w:keepLines w:val="0"/>
              <w:widowControl/>
              <w:suppressLineNumbers w:val="0"/>
              <w:spacing w:before="0" w:beforeAutospacing="0" w:after="0" w:afterAutospacing="0"/>
              <w:ind w:left="0" w:right="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五、培训费</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top"/>
          </w:tcPr>
          <w:p w14:paraId="66836CF3">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top"/>
          </w:tcPr>
          <w:p w14:paraId="2FEBD2CE">
            <w:pPr>
              <w:keepNext w:val="0"/>
              <w:keepLines w:val="0"/>
              <w:widowControl/>
              <w:suppressLineNumbers w:val="0"/>
              <w:spacing w:before="0" w:beforeAutospacing="0" w:after="0" w:afterAutospacing="0"/>
              <w:ind w:left="0" w:right="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w:t>
            </w: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019E1BF5">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top"/>
          </w:tcPr>
          <w:p w14:paraId="271E1C1D">
            <w:pPr>
              <w:keepNext w:val="0"/>
              <w:keepLines w:val="0"/>
              <w:suppressLineNumbers w:val="0"/>
              <w:spacing w:before="0" w:beforeAutospacing="0" w:after="0" w:afterAutospacing="0"/>
              <w:ind w:left="0" w:right="0"/>
              <w:jc w:val="right"/>
              <w:rPr>
                <w:rFonts w:hint="default" w:ascii="Calibri" w:hAnsi="Calibri" w:eastAsia="宋体" w:cs="Calibri"/>
                <w:i w:val="0"/>
                <w:iCs w:val="0"/>
                <w:color w:val="000000"/>
                <w:sz w:val="22"/>
                <w:szCs w:val="22"/>
                <w:u w:val="none"/>
              </w:rPr>
            </w:pPr>
          </w:p>
        </w:tc>
      </w:tr>
    </w:tbl>
    <w:p w14:paraId="7303DF50">
      <w:pPr>
        <w:spacing w:line="560" w:lineRule="exact"/>
        <w:jc w:val="both"/>
        <w:rPr>
          <w:rFonts w:hint="eastAsia" w:ascii="黑体" w:hAnsi="黑体" w:eastAsia="黑体"/>
          <w:sz w:val="32"/>
          <w:szCs w:val="32"/>
        </w:rPr>
      </w:pPr>
    </w:p>
    <w:p w14:paraId="07241371">
      <w:pPr>
        <w:spacing w:line="560" w:lineRule="exact"/>
        <w:ind w:firstLine="640" w:firstLineChars="200"/>
        <w:jc w:val="center"/>
        <w:rPr>
          <w:rFonts w:hint="eastAsia" w:ascii="黑体" w:hAnsi="黑体" w:eastAsia="黑体"/>
          <w:sz w:val="32"/>
          <w:szCs w:val="32"/>
        </w:rPr>
      </w:pPr>
    </w:p>
    <w:p w14:paraId="2FFD4936">
      <w:pPr>
        <w:spacing w:line="560" w:lineRule="exact"/>
        <w:ind w:firstLine="640" w:firstLineChars="200"/>
        <w:jc w:val="center"/>
        <w:rPr>
          <w:rFonts w:hint="eastAsia" w:ascii="黑体" w:hAnsi="黑体" w:eastAsia="黑体"/>
          <w:sz w:val="32"/>
          <w:szCs w:val="32"/>
        </w:rPr>
      </w:pPr>
    </w:p>
    <w:p w14:paraId="6EA0B95F">
      <w:pPr>
        <w:spacing w:line="560" w:lineRule="exact"/>
        <w:ind w:firstLine="640" w:firstLineChars="200"/>
        <w:jc w:val="center"/>
        <w:rPr>
          <w:rFonts w:hint="eastAsia" w:ascii="黑体" w:hAnsi="黑体" w:eastAsia="黑体"/>
          <w:sz w:val="32"/>
          <w:szCs w:val="32"/>
        </w:rPr>
      </w:pPr>
    </w:p>
    <w:p w14:paraId="2F62CCE4">
      <w:pPr>
        <w:spacing w:line="560" w:lineRule="exact"/>
        <w:ind w:firstLine="640" w:firstLineChars="200"/>
        <w:jc w:val="center"/>
        <w:rPr>
          <w:rFonts w:hint="eastAsia" w:ascii="黑体" w:hAnsi="黑体" w:eastAsia="黑体"/>
          <w:sz w:val="32"/>
          <w:szCs w:val="32"/>
        </w:rPr>
      </w:pPr>
    </w:p>
    <w:p w14:paraId="1AEB3CC2">
      <w:pPr>
        <w:spacing w:line="560" w:lineRule="exact"/>
        <w:jc w:val="center"/>
        <w:rPr>
          <w:rFonts w:hint="eastAsia" w:asciiTheme="majorEastAsia" w:hAnsiTheme="majorEastAsia" w:eastAsiaTheme="majorEastAsia" w:cstheme="majorEastAsia"/>
          <w:b/>
          <w:bCs/>
          <w:kern w:val="0"/>
          <w:sz w:val="44"/>
          <w:szCs w:val="44"/>
        </w:rPr>
      </w:pPr>
      <w:r>
        <w:rPr>
          <w:rFonts w:hint="eastAsia" w:asciiTheme="majorEastAsia" w:hAnsiTheme="majorEastAsia" w:eastAsiaTheme="majorEastAsia" w:cstheme="majorEastAsia"/>
          <w:b/>
          <w:bCs/>
          <w:kern w:val="0"/>
          <w:sz w:val="44"/>
          <w:szCs w:val="44"/>
          <w:lang w:val="en-US" w:eastAsia="zh-CN"/>
        </w:rPr>
        <w:t>宁晋县公安局本级</w:t>
      </w:r>
      <w:r>
        <w:rPr>
          <w:rFonts w:hint="eastAsia" w:asciiTheme="majorEastAsia" w:hAnsiTheme="majorEastAsia" w:eastAsiaTheme="majorEastAsia" w:cstheme="majorEastAsia"/>
          <w:b/>
          <w:bCs/>
          <w:kern w:val="0"/>
          <w:sz w:val="44"/>
          <w:szCs w:val="44"/>
        </w:rPr>
        <w:t>2022年</w:t>
      </w:r>
      <w:r>
        <w:rPr>
          <w:rFonts w:hint="eastAsia" w:asciiTheme="majorEastAsia" w:hAnsiTheme="majorEastAsia" w:eastAsiaTheme="majorEastAsia" w:cstheme="majorEastAsia"/>
          <w:b/>
          <w:bCs/>
          <w:kern w:val="0"/>
          <w:sz w:val="44"/>
          <w:szCs w:val="44"/>
          <w:lang w:val="en-US" w:eastAsia="zh-CN"/>
        </w:rPr>
        <w:t>单位</w:t>
      </w:r>
      <w:r>
        <w:rPr>
          <w:rFonts w:hint="eastAsia" w:asciiTheme="majorEastAsia" w:hAnsiTheme="majorEastAsia" w:eastAsiaTheme="majorEastAsia" w:cstheme="majorEastAsia"/>
          <w:b/>
          <w:bCs/>
          <w:kern w:val="0"/>
          <w:sz w:val="44"/>
          <w:szCs w:val="44"/>
        </w:rPr>
        <w:t>预算信息公开情况说明</w:t>
      </w:r>
    </w:p>
    <w:p w14:paraId="7DCE73B0">
      <w:pPr>
        <w:spacing w:line="560" w:lineRule="exact"/>
        <w:jc w:val="center"/>
        <w:rPr>
          <w:rFonts w:hint="eastAsia" w:asciiTheme="majorEastAsia" w:hAnsiTheme="majorEastAsia" w:eastAsiaTheme="majorEastAsia" w:cstheme="majorEastAsia"/>
          <w:b/>
          <w:bCs/>
          <w:kern w:val="0"/>
          <w:sz w:val="44"/>
          <w:szCs w:val="44"/>
        </w:rPr>
      </w:pPr>
    </w:p>
    <w:p w14:paraId="1D14A8D3">
      <w:pPr>
        <w:spacing w:line="560" w:lineRule="exact"/>
        <w:ind w:firstLine="640" w:firstLineChars="200"/>
        <w:jc w:val="center"/>
        <w:rPr>
          <w:rFonts w:ascii="黑体" w:hAnsi="黑体" w:eastAsia="黑体"/>
          <w:sz w:val="32"/>
          <w:szCs w:val="32"/>
        </w:rPr>
      </w:pPr>
      <w:r>
        <w:rPr>
          <w:rFonts w:hint="eastAsia" w:ascii="黑体" w:hAnsi="黑体" w:eastAsia="黑体"/>
          <w:sz w:val="32"/>
          <w:szCs w:val="32"/>
        </w:rPr>
        <w:t>第一部分    宁晋县公安局</w:t>
      </w:r>
      <w:r>
        <w:rPr>
          <w:rFonts w:hint="eastAsia" w:ascii="黑体" w:hAnsi="黑体" w:eastAsia="黑体"/>
          <w:sz w:val="32"/>
          <w:szCs w:val="32"/>
          <w:lang w:val="en-US" w:eastAsia="zh-CN"/>
        </w:rPr>
        <w:t>本级单位</w:t>
      </w:r>
      <w:r>
        <w:rPr>
          <w:rFonts w:hint="eastAsia" w:ascii="黑体" w:hAnsi="黑体" w:eastAsia="黑体"/>
          <w:sz w:val="32"/>
          <w:szCs w:val="32"/>
        </w:rPr>
        <w:t>概况</w:t>
      </w:r>
    </w:p>
    <w:p w14:paraId="7F40C292">
      <w:pPr>
        <w:pStyle w:val="10"/>
        <w:numPr>
          <w:ilvl w:val="0"/>
          <w:numId w:val="1"/>
        </w:numPr>
        <w:spacing w:line="660" w:lineRule="exact"/>
        <w:rPr>
          <w:rFonts w:ascii="黑体" w:hAnsi="黑体" w:eastAsia="黑体"/>
          <w:sz w:val="32"/>
          <w:szCs w:val="32"/>
          <w:lang w:eastAsia="zh-CN"/>
        </w:rPr>
      </w:pPr>
      <w:r>
        <w:rPr>
          <w:rFonts w:hint="eastAsia" w:ascii="黑体" w:hAnsi="黑体" w:eastAsia="黑体"/>
          <w:sz w:val="32"/>
          <w:szCs w:val="32"/>
          <w:lang w:val="en-US" w:eastAsia="zh-CN"/>
        </w:rPr>
        <w:t>单位</w:t>
      </w:r>
      <w:r>
        <w:rPr>
          <w:rFonts w:hint="eastAsia" w:ascii="黑体" w:hAnsi="黑体" w:eastAsia="黑体"/>
          <w:sz w:val="32"/>
          <w:szCs w:val="32"/>
          <w:lang w:eastAsia="zh-CN"/>
        </w:rPr>
        <w:t>职责、机构设置等基本情况</w:t>
      </w:r>
    </w:p>
    <w:p w14:paraId="7D3E7F38">
      <w:pPr>
        <w:widowControl/>
        <w:spacing w:line="560" w:lineRule="exact"/>
        <w:ind w:firstLine="640" w:firstLineChars="200"/>
        <w:jc w:val="left"/>
        <w:rPr>
          <w:rFonts w:ascii="华文楷体" w:hAnsi="华文楷体" w:eastAsia="华文楷体"/>
          <w:sz w:val="32"/>
          <w:szCs w:val="32"/>
        </w:rPr>
      </w:pPr>
      <w:r>
        <w:rPr>
          <w:rFonts w:hint="eastAsia" w:ascii="华文楷体" w:hAnsi="华文楷体" w:eastAsia="华文楷体"/>
          <w:sz w:val="32"/>
          <w:szCs w:val="32"/>
          <w:lang w:val="en-US" w:eastAsia="zh-CN"/>
        </w:rPr>
        <w:t>单位</w:t>
      </w:r>
      <w:r>
        <w:rPr>
          <w:rFonts w:ascii="华文楷体" w:hAnsi="华文楷体" w:eastAsia="华文楷体"/>
          <w:sz w:val="32"/>
          <w:szCs w:val="32"/>
        </w:rPr>
        <w:t>职责</w:t>
      </w:r>
    </w:p>
    <w:p w14:paraId="519AA997">
      <w:pPr>
        <w:widowControl/>
        <w:spacing w:line="560" w:lineRule="exact"/>
        <w:ind w:firstLine="640" w:firstLineChars="200"/>
        <w:jc w:val="left"/>
        <w:rPr>
          <w:rFonts w:ascii="仿宋" w:hAnsi="仿宋" w:eastAsia="仿宋"/>
          <w:sz w:val="32"/>
          <w:szCs w:val="32"/>
        </w:rPr>
      </w:pPr>
      <w:r>
        <w:rPr>
          <w:rFonts w:hint="eastAsia" w:ascii="仿宋" w:hAnsi="仿宋" w:eastAsia="仿宋" w:cs="宋体"/>
          <w:kern w:val="0"/>
          <w:sz w:val="32"/>
          <w:szCs w:val="32"/>
        </w:rPr>
        <w:t>根据《宁晋县公安局</w:t>
      </w:r>
      <w:r>
        <w:rPr>
          <w:rFonts w:hint="eastAsia" w:ascii="仿宋" w:hAnsi="仿宋" w:eastAsia="仿宋" w:cs="宋体"/>
          <w:kern w:val="0"/>
          <w:sz w:val="32"/>
          <w:szCs w:val="32"/>
          <w:lang w:eastAsia="zh-CN"/>
        </w:rPr>
        <w:t>职能配置、内设机构和人员编制规定》</w:t>
      </w:r>
      <w:r>
        <w:rPr>
          <w:rFonts w:hint="eastAsia" w:ascii="仿宋" w:hAnsi="仿宋" w:eastAsia="仿宋" w:cs="宋体"/>
          <w:kern w:val="0"/>
          <w:sz w:val="32"/>
          <w:szCs w:val="32"/>
        </w:rPr>
        <w:t>，宁晋县公安局的主要职责是：</w:t>
      </w:r>
    </w:p>
    <w:p w14:paraId="3D1B361D">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1.贯彻执行公安工作的方针、政策、法律、法规；组织部署全县公安工作并指导、监督、检查贯彻执行情况。</w:t>
      </w:r>
    </w:p>
    <w:p w14:paraId="4BDEDD45">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2.收集、掌握影响稳定、危害国内安全和社会治安的情况，分析形势，研究公安工作出现的新情况、新问题，为县委、县政府和上级公安机关提供信息和决策依据。</w:t>
      </w:r>
    </w:p>
    <w:p w14:paraId="7AB4EADA">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3.指导全县公安法制建设，负责案件审批、行政诉讼和行政复议工作，组织实施执法监督工作。</w:t>
      </w:r>
    </w:p>
    <w:p w14:paraId="4C3D9A37">
      <w:pPr>
        <w:ind w:firstLine="560"/>
        <w:rPr>
          <w:rFonts w:ascii="仿宋" w:hAnsi="仿宋" w:eastAsia="仿宋" w:cs="宋体"/>
          <w:kern w:val="0"/>
          <w:sz w:val="32"/>
          <w:szCs w:val="32"/>
        </w:rPr>
      </w:pPr>
      <w:r>
        <w:rPr>
          <w:rFonts w:hint="eastAsia" w:ascii="仿宋" w:hAnsi="仿宋" w:eastAsia="仿宋" w:cs="宋体"/>
          <w:kern w:val="0"/>
          <w:sz w:val="32"/>
          <w:szCs w:val="32"/>
        </w:rPr>
        <w:t>4.组织指挥全县公安侦查工作，惩治违法犯罪活动；打击、防范暴力恐怖活动和邪教活动；处置骚乱和群体性突发事件，组织实施重大活动的安全保卫工作。</w:t>
      </w:r>
    </w:p>
    <w:p w14:paraId="5F6FA5FC">
      <w:pPr>
        <w:ind w:firstLine="560"/>
        <w:rPr>
          <w:rFonts w:ascii="仿宋" w:hAnsi="仿宋" w:eastAsia="仿宋" w:cs="宋体"/>
          <w:kern w:val="0"/>
          <w:sz w:val="32"/>
          <w:szCs w:val="32"/>
        </w:rPr>
      </w:pPr>
      <w:r>
        <w:rPr>
          <w:rFonts w:hint="eastAsia" w:ascii="仿宋" w:hAnsi="仿宋" w:eastAsia="仿宋" w:cs="宋体"/>
          <w:kern w:val="0"/>
          <w:sz w:val="32"/>
          <w:szCs w:val="32"/>
        </w:rPr>
        <w:t>5.组织指挥全县公安机关查处危害社会治安秩序的行为；依法管理治安、户政、居民身份证的有关事务；依法管理集会、游行、示威活动。</w:t>
      </w:r>
    </w:p>
    <w:p w14:paraId="602BFCB1">
      <w:pPr>
        <w:ind w:firstLine="560"/>
        <w:rPr>
          <w:rFonts w:ascii="仿宋" w:hAnsi="仿宋" w:eastAsia="仿宋" w:cs="宋体"/>
          <w:kern w:val="0"/>
          <w:sz w:val="32"/>
          <w:szCs w:val="32"/>
        </w:rPr>
      </w:pPr>
      <w:r>
        <w:rPr>
          <w:rFonts w:hint="eastAsia" w:ascii="仿宋" w:hAnsi="仿宋" w:eastAsia="仿宋" w:cs="宋体"/>
          <w:kern w:val="0"/>
          <w:sz w:val="32"/>
          <w:szCs w:val="32"/>
        </w:rPr>
        <w:t>6.负责全县食品药品制假案件的立案查处及环境违法犯罪案件的打击查处。</w:t>
      </w:r>
    </w:p>
    <w:p w14:paraId="2A6E8462">
      <w:pPr>
        <w:ind w:firstLine="560"/>
        <w:rPr>
          <w:rFonts w:ascii="仿宋" w:hAnsi="仿宋" w:eastAsia="仿宋" w:cs="宋体"/>
          <w:kern w:val="0"/>
          <w:sz w:val="32"/>
          <w:szCs w:val="32"/>
        </w:rPr>
      </w:pPr>
      <w:r>
        <w:rPr>
          <w:rFonts w:hint="eastAsia" w:ascii="仿宋" w:hAnsi="仿宋" w:eastAsia="仿宋" w:cs="宋体"/>
          <w:kern w:val="0"/>
          <w:sz w:val="32"/>
          <w:szCs w:val="32"/>
        </w:rPr>
        <w:t>7.做好社会治安防控。做好各项安全保卫工作，开展重点信访人稳控、劝返任务，打造环京安全屏障，消除治安隐患。</w:t>
      </w:r>
    </w:p>
    <w:p w14:paraId="0E247D8D">
      <w:pPr>
        <w:ind w:firstLine="560"/>
        <w:rPr>
          <w:rFonts w:ascii="仿宋" w:hAnsi="仿宋" w:eastAsia="仿宋" w:cs="宋体"/>
          <w:kern w:val="0"/>
          <w:sz w:val="32"/>
          <w:szCs w:val="32"/>
        </w:rPr>
      </w:pPr>
      <w:r>
        <w:rPr>
          <w:rFonts w:hint="eastAsia" w:ascii="仿宋" w:hAnsi="仿宋" w:eastAsia="仿宋" w:cs="宋体"/>
          <w:kern w:val="0"/>
          <w:sz w:val="32"/>
          <w:szCs w:val="32"/>
        </w:rPr>
        <w:t>8.维护交通秩序和交通安全，组织实施交通管理，处理交通事故；依法做好机动车辆和驾驶员的管理工作。</w:t>
      </w:r>
    </w:p>
    <w:p w14:paraId="2ECFE1F9">
      <w:pPr>
        <w:ind w:firstLine="560"/>
        <w:rPr>
          <w:rFonts w:ascii="仿宋" w:hAnsi="仿宋" w:eastAsia="仿宋" w:cs="宋体"/>
          <w:kern w:val="0"/>
          <w:sz w:val="32"/>
          <w:szCs w:val="32"/>
        </w:rPr>
      </w:pPr>
      <w:r>
        <w:rPr>
          <w:rFonts w:hint="eastAsia" w:ascii="仿宋" w:hAnsi="仿宋" w:eastAsia="仿宋" w:cs="宋体"/>
          <w:kern w:val="0"/>
          <w:sz w:val="32"/>
          <w:szCs w:val="32"/>
        </w:rPr>
        <w:t>9.警卫国家规定的特定人员，守卫重要场所和设施。</w:t>
      </w:r>
    </w:p>
    <w:p w14:paraId="5A29AF24">
      <w:pPr>
        <w:ind w:firstLine="560"/>
        <w:rPr>
          <w:rFonts w:ascii="仿宋" w:hAnsi="仿宋" w:eastAsia="仿宋" w:cs="宋体"/>
          <w:kern w:val="0"/>
          <w:sz w:val="32"/>
          <w:szCs w:val="32"/>
        </w:rPr>
      </w:pPr>
      <w:r>
        <w:rPr>
          <w:rFonts w:hint="eastAsia" w:ascii="仿宋" w:hAnsi="仿宋" w:eastAsia="仿宋" w:cs="宋体"/>
          <w:kern w:val="0"/>
          <w:sz w:val="32"/>
          <w:szCs w:val="32"/>
        </w:rPr>
        <w:t>10.依法贯彻出入境管理政策，受理中国公民因私出境申请和外国人及港、澳、台公民在中国境内居留的临时登记；依法查处“六非”人员。</w:t>
      </w:r>
    </w:p>
    <w:p w14:paraId="57B29A9E">
      <w:pPr>
        <w:ind w:firstLine="560"/>
        <w:rPr>
          <w:rFonts w:ascii="仿宋" w:hAnsi="仿宋" w:eastAsia="仿宋" w:cs="宋体"/>
          <w:kern w:val="0"/>
          <w:sz w:val="32"/>
          <w:szCs w:val="32"/>
        </w:rPr>
      </w:pPr>
      <w:r>
        <w:rPr>
          <w:rFonts w:hint="eastAsia" w:ascii="仿宋" w:hAnsi="仿宋" w:eastAsia="仿宋" w:cs="宋体"/>
          <w:kern w:val="0"/>
          <w:sz w:val="32"/>
          <w:szCs w:val="32"/>
        </w:rPr>
        <w:t>11.负责全县公安机关依法承担的执行刑罚的指导和监督工作，指导、监督全县收容教育审批工作和看守所、治安拘留所的管理工作。</w:t>
      </w:r>
    </w:p>
    <w:p w14:paraId="4FD9E8EF">
      <w:pPr>
        <w:ind w:firstLine="560"/>
        <w:rPr>
          <w:rFonts w:ascii="仿宋" w:hAnsi="仿宋" w:eastAsia="仿宋" w:cs="宋体"/>
          <w:kern w:val="0"/>
          <w:sz w:val="32"/>
          <w:szCs w:val="32"/>
        </w:rPr>
      </w:pPr>
      <w:r>
        <w:rPr>
          <w:rFonts w:hint="eastAsia" w:ascii="仿宋" w:hAnsi="仿宋" w:eastAsia="仿宋" w:cs="宋体"/>
          <w:kern w:val="0"/>
          <w:sz w:val="32"/>
          <w:szCs w:val="32"/>
        </w:rPr>
        <w:t>12.组织实施全县公安机关公安信息网络的安全监察工作。</w:t>
      </w:r>
    </w:p>
    <w:p w14:paraId="2866DBC5">
      <w:pPr>
        <w:ind w:firstLine="560"/>
        <w:rPr>
          <w:rFonts w:ascii="仿宋" w:hAnsi="仿宋" w:eastAsia="仿宋" w:cs="宋体"/>
          <w:kern w:val="0"/>
          <w:sz w:val="32"/>
          <w:szCs w:val="32"/>
        </w:rPr>
      </w:pPr>
      <w:r>
        <w:rPr>
          <w:rFonts w:hint="eastAsia" w:ascii="仿宋" w:hAnsi="仿宋" w:eastAsia="仿宋" w:cs="宋体"/>
          <w:kern w:val="0"/>
          <w:sz w:val="32"/>
          <w:szCs w:val="32"/>
        </w:rPr>
        <w:t>13.指导、监督全县公安机关对国家机关、社会团体、企事业单位和重点建设工程的治安保卫工作以及群众性组织的治安防范工作。</w:t>
      </w:r>
    </w:p>
    <w:p w14:paraId="050C8028">
      <w:pPr>
        <w:ind w:firstLine="560"/>
        <w:rPr>
          <w:rFonts w:ascii="仿宋" w:hAnsi="仿宋" w:eastAsia="仿宋" w:cs="宋体"/>
          <w:kern w:val="0"/>
          <w:sz w:val="32"/>
          <w:szCs w:val="32"/>
        </w:rPr>
      </w:pPr>
      <w:r>
        <w:rPr>
          <w:rFonts w:hint="eastAsia" w:ascii="仿宋" w:hAnsi="仿宋" w:eastAsia="仿宋" w:cs="宋体"/>
          <w:kern w:val="0"/>
          <w:sz w:val="32"/>
          <w:szCs w:val="32"/>
        </w:rPr>
        <w:t>14.组织实施全县公安科学技术工作；规划全县公安信息技术、刑事技术和行动技术建设。</w:t>
      </w:r>
    </w:p>
    <w:p w14:paraId="7E254B0D">
      <w:pPr>
        <w:ind w:firstLine="560"/>
        <w:rPr>
          <w:rFonts w:ascii="仿宋" w:hAnsi="仿宋" w:eastAsia="仿宋" w:cs="宋体"/>
          <w:kern w:val="0"/>
          <w:sz w:val="32"/>
          <w:szCs w:val="32"/>
        </w:rPr>
      </w:pPr>
      <w:r>
        <w:rPr>
          <w:rFonts w:hint="eastAsia" w:ascii="仿宋" w:hAnsi="仿宋" w:eastAsia="仿宋" w:cs="宋体"/>
          <w:kern w:val="0"/>
          <w:sz w:val="32"/>
          <w:szCs w:val="32"/>
        </w:rPr>
        <w:t>15.分析全县公安队伍状况，研究、制定公安队伍建设、民警教育培训和公安宣传的规章制度，监督检查落实情况；组织指导全县公安队伍建设、干警教育培训、表彰奖励和宣传工作；按规定权限管理干部。</w:t>
      </w:r>
    </w:p>
    <w:p w14:paraId="58CB232B">
      <w:pPr>
        <w:ind w:firstLine="560"/>
        <w:rPr>
          <w:rFonts w:ascii="仿宋" w:hAnsi="仿宋" w:eastAsia="仿宋" w:cs="宋体"/>
          <w:kern w:val="0"/>
          <w:sz w:val="32"/>
          <w:szCs w:val="32"/>
        </w:rPr>
      </w:pPr>
      <w:r>
        <w:rPr>
          <w:rFonts w:hint="eastAsia" w:ascii="仿宋" w:hAnsi="仿宋" w:eastAsia="仿宋" w:cs="宋体"/>
          <w:kern w:val="0"/>
          <w:sz w:val="32"/>
          <w:szCs w:val="32"/>
        </w:rPr>
        <w:t>16.负责全县公安机关纪检监察和警务督察工作，对全县公安机关及人民警察的执法情况进行监督；按规定权限对干部实施监督；查处民警违法违纪案件。</w:t>
      </w:r>
    </w:p>
    <w:p w14:paraId="0CE5FDEB">
      <w:pPr>
        <w:ind w:firstLine="560"/>
        <w:rPr>
          <w:rFonts w:ascii="仿宋" w:hAnsi="仿宋" w:eastAsia="仿宋" w:cs="宋体"/>
          <w:kern w:val="0"/>
          <w:sz w:val="32"/>
          <w:szCs w:val="32"/>
        </w:rPr>
      </w:pPr>
      <w:r>
        <w:rPr>
          <w:rFonts w:hint="eastAsia" w:ascii="仿宋" w:hAnsi="仿宋" w:eastAsia="仿宋" w:cs="宋体"/>
          <w:kern w:val="0"/>
          <w:sz w:val="32"/>
          <w:szCs w:val="32"/>
        </w:rPr>
        <w:t>17.制定全县公安装备、被装、经费等警务保障计划和标准，组织、管理和分配全县公安装备、被装和经费。</w:t>
      </w:r>
    </w:p>
    <w:p w14:paraId="06377BA4">
      <w:pPr>
        <w:ind w:firstLine="560"/>
        <w:rPr>
          <w:rFonts w:ascii="仿宋" w:hAnsi="仿宋" w:eastAsia="仿宋" w:cs="宋体"/>
          <w:kern w:val="0"/>
          <w:sz w:val="32"/>
          <w:szCs w:val="32"/>
        </w:rPr>
      </w:pPr>
      <w:r>
        <w:rPr>
          <w:rFonts w:hint="eastAsia" w:ascii="仿宋" w:hAnsi="仿宋" w:eastAsia="仿宋" w:cs="宋体"/>
          <w:kern w:val="0"/>
          <w:sz w:val="32"/>
          <w:szCs w:val="32"/>
        </w:rPr>
        <w:t>18.承办全县禁毒工作。</w:t>
      </w:r>
    </w:p>
    <w:p w14:paraId="49D4C89D">
      <w:pPr>
        <w:ind w:firstLine="560"/>
        <w:rPr>
          <w:rFonts w:ascii="仿宋" w:hAnsi="仿宋" w:eastAsia="仿宋" w:cs="宋体"/>
          <w:kern w:val="0"/>
          <w:sz w:val="32"/>
          <w:szCs w:val="32"/>
        </w:rPr>
      </w:pPr>
      <w:r>
        <w:rPr>
          <w:rFonts w:hint="eastAsia" w:ascii="仿宋" w:hAnsi="仿宋" w:eastAsia="仿宋" w:cs="宋体"/>
          <w:kern w:val="0"/>
          <w:sz w:val="32"/>
          <w:szCs w:val="32"/>
        </w:rPr>
        <w:t>19.组织指挥县武警中队执行公安任务。</w:t>
      </w:r>
    </w:p>
    <w:p w14:paraId="75BCE689">
      <w:pPr>
        <w:ind w:firstLine="560"/>
        <w:rPr>
          <w:rFonts w:ascii="仿宋" w:hAnsi="仿宋" w:eastAsia="仿宋" w:cs="宋体"/>
          <w:kern w:val="0"/>
          <w:sz w:val="32"/>
          <w:szCs w:val="32"/>
        </w:rPr>
      </w:pPr>
      <w:r>
        <w:rPr>
          <w:rFonts w:hint="eastAsia" w:ascii="仿宋" w:hAnsi="仿宋" w:eastAsia="仿宋" w:cs="宋体"/>
          <w:kern w:val="0"/>
          <w:sz w:val="32"/>
          <w:szCs w:val="32"/>
        </w:rPr>
        <w:t>20.承办县委、县政府和上级公安机关交办的其他事项。</w:t>
      </w:r>
    </w:p>
    <w:p w14:paraId="0537B8A7">
      <w:pPr>
        <w:spacing w:line="560" w:lineRule="exact"/>
        <w:ind w:firstLine="640" w:firstLineChars="200"/>
        <w:rPr>
          <w:rFonts w:ascii="仿宋" w:hAnsi="仿宋" w:eastAsia="仿宋"/>
          <w:sz w:val="32"/>
          <w:szCs w:val="32"/>
        </w:rPr>
      </w:pPr>
    </w:p>
    <w:p w14:paraId="42C662E7">
      <w:pPr>
        <w:widowControl/>
        <w:spacing w:line="560" w:lineRule="exact"/>
        <w:ind w:firstLine="640"/>
        <w:jc w:val="left"/>
        <w:rPr>
          <w:rFonts w:ascii="仿宋" w:hAnsi="仿宋" w:eastAsia="仿宋" w:cs="宋体"/>
          <w:kern w:val="0"/>
          <w:sz w:val="32"/>
          <w:szCs w:val="32"/>
        </w:rPr>
      </w:pPr>
      <w:r>
        <w:rPr>
          <w:rFonts w:hint="eastAsia" w:ascii="华文楷体" w:hAnsi="华文楷体" w:eastAsia="华文楷体"/>
          <w:sz w:val="32"/>
          <w:szCs w:val="32"/>
        </w:rPr>
        <w:t>内设机构：</w:t>
      </w:r>
      <w:r>
        <w:rPr>
          <w:rFonts w:hint="eastAsia" w:ascii="仿宋" w:hAnsi="仿宋" w:eastAsia="仿宋" w:cs="宋体"/>
          <w:kern w:val="0"/>
          <w:sz w:val="32"/>
          <w:szCs w:val="32"/>
        </w:rPr>
        <w:t>根据主要职责，宁晋县公安局设</w:t>
      </w:r>
      <w:r>
        <w:rPr>
          <w:rFonts w:ascii="仿宋" w:hAnsi="仿宋" w:eastAsia="仿宋" w:cs="宋体"/>
          <w:kern w:val="0"/>
          <w:sz w:val="32"/>
          <w:szCs w:val="32"/>
        </w:rPr>
        <w:t>12</w:t>
      </w:r>
      <w:r>
        <w:rPr>
          <w:rFonts w:hint="eastAsia" w:ascii="仿宋" w:hAnsi="仿宋" w:eastAsia="仿宋" w:cs="宋体"/>
          <w:kern w:val="0"/>
          <w:sz w:val="32"/>
          <w:szCs w:val="32"/>
        </w:rPr>
        <w:t>个内设机构：</w:t>
      </w:r>
    </w:p>
    <w:p w14:paraId="05225081">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一）治安管理。负责对全县派出所的规范化建设，对全县内部单位、行业场所、金融、保安、枪械、危爆物品等进行管理，负责全县治安案件查处及食品药品制假的立案查处。对县内集会、游会、示威实施审批；不断完善各类防暴处突应急预案；组织、指导、协调、参与重大突发事件处置和大型活动安保。</w:t>
      </w:r>
    </w:p>
    <w:p w14:paraId="29D78F8B">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二）刑事侦查。负责各类刑事案件、经济犯罪案件、毒品犯罪案件、网络犯罪案件、信息诈骗案件的侦察工作，协助开展暴力犯罪案件、文物走私案件、多发性侵财案件、黑恶社会性质组织案件和恶势力团伙案件和其他刑事案件的侦破。</w:t>
      </w:r>
    </w:p>
    <w:p w14:paraId="4FD41AD2">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（三）户籍管理。对常住、暂住、重点人口和出租房屋进行治安管理；全县居民提供身份证、户口簿、准迁证、迁移证等特种证件的发放、存储等管理工作。</w:t>
      </w:r>
    </w:p>
    <w:p w14:paraId="285F0C83">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四）经济侦查。负责侦办全县重大经济犯罪案件，掌握全县经济犯罪动态，研究指定预防、打击对策；规划指导和组织协调全县经济犯罪侦查工作；组织、指导、协调全县经济犯罪案件的侦办工作；直接立案侦办上级交办和全县重大经济犯罪案件。</w:t>
      </w:r>
    </w:p>
    <w:p w14:paraId="2A13C046">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五）网络侦查管控。监督、检查、指导和协调全县各级公安机关维护网上公共秩序，保障信息网络安全；监督、检查、指导信息安全等级保护工作；组织开展并监控和处置互联网信息、打击网络违法犯罪，负责网上信息侦查、情报侦查、网上技术手段建设和使用等工作。</w:t>
      </w:r>
    </w:p>
    <w:p w14:paraId="03AF28D4">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六）出入境管理。负责全县公安机关出入境管理工作，管理全县公民非公务活动出境和来我县涉外人员犯罪的侦查和管理，依法侦办和查处涉外案（事）件；负责全县出入境证件的审批及中介机构超范围出国旅游的管理。</w:t>
      </w:r>
    </w:p>
    <w:p w14:paraId="10C1C668">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（七）监所管理。负责全县公安监管场所业务工作及在押人员的监管教育、安全防范工作，查处安全事故；负责监所硬件设施建设；做好教育感化深挖的犯罪工作。</w:t>
      </w:r>
    </w:p>
    <w:p w14:paraId="05FADEE3">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八）国内安全保卫。国保大队负责制定全县公安国保部门情报信息规划工作，掌握分析全县非法宗教势力、民族分裂势力违法犯罪活动情况并研究制定对策，指导协调队邪教、有害气功及冒用宗教名义邪教组织公开违法犯罪活动的防范、控制、处置工作，建立特情人员信息及阵地工作支撑点。</w:t>
      </w:r>
    </w:p>
    <w:p w14:paraId="3E4EA935">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九）环安大队。掌握全县环境犯罪动态，拟定预防、打击对策；直接侦办涉及环境违法犯罪的治安、刑事案件；建立与环保部门刑事执法与行政执法的相互衔接与协调联动机制，参与环境保护集中专项整治行动。</w:t>
      </w:r>
    </w:p>
    <w:p w14:paraId="2B8F037B">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（十）执法建设。法制大队负责指导全县公安机关法制工作，规范指导各执法办案单位场所的建设使用；组织开展或指导执法质量考评、执法检查、个案检查、执法过错责任认定等执法监督工作。</w:t>
      </w:r>
    </w:p>
    <w:p w14:paraId="6E6F92E3">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十一）信息化建设。负责实施公安信息技术、全县公安科学技术、信息化建设和“金盾工程”、刑事科学技术及技术侦察手段建设，和情报信息接收、掌握各种信息的上报总结，实施全县公安科技管理、安全技术防范管理及公共安全。</w:t>
      </w:r>
      <w:r>
        <w:rPr>
          <w:rFonts w:ascii="仿宋" w:hAnsi="仿宋" w:eastAsia="仿宋" w:cs="宋体"/>
          <w:kern w:val="0"/>
          <w:sz w:val="32"/>
          <w:szCs w:val="32"/>
        </w:rPr>
        <w:t xml:space="preserve"> </w:t>
      </w:r>
    </w:p>
    <w:p w14:paraId="4A81EBEC">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（十二）公安行政服务。</w:t>
      </w:r>
    </w:p>
    <w:p w14:paraId="167340F0">
      <w:pPr>
        <w:widowControl/>
        <w:spacing w:line="560" w:lineRule="exact"/>
        <w:ind w:firstLine="640"/>
        <w:jc w:val="left"/>
        <w:rPr>
          <w:rFonts w:ascii="仿宋" w:hAnsi="仿宋" w:eastAsia="仿宋" w:cs="宋体"/>
          <w:kern w:val="0"/>
          <w:sz w:val="32"/>
          <w:szCs w:val="32"/>
        </w:rPr>
      </w:pPr>
      <w:r>
        <w:rPr>
          <w:rFonts w:ascii="仿宋" w:hAnsi="仿宋" w:eastAsia="仿宋" w:cs="宋体"/>
          <w:kern w:val="0"/>
          <w:sz w:val="32"/>
          <w:szCs w:val="32"/>
        </w:rPr>
        <w:t>1</w:t>
      </w:r>
      <w:r>
        <w:rPr>
          <w:rFonts w:hint="eastAsia" w:ascii="仿宋" w:hAnsi="仿宋" w:eastAsia="仿宋" w:cs="宋体"/>
          <w:kern w:val="0"/>
          <w:sz w:val="32"/>
          <w:szCs w:val="32"/>
        </w:rPr>
        <w:t>、办公室协助局领导组织、协调、处理日常政务；制定各项规范性文件，开展上级下发文件的收集、处置，做好各项保密文件的收集存档。</w:t>
      </w:r>
    </w:p>
    <w:p w14:paraId="2E959E4B">
      <w:pPr>
        <w:widowControl/>
        <w:spacing w:line="560" w:lineRule="exact"/>
        <w:ind w:firstLine="640"/>
        <w:jc w:val="left"/>
        <w:rPr>
          <w:rFonts w:ascii="仿宋" w:hAnsi="仿宋" w:eastAsia="仿宋" w:cs="宋体"/>
          <w:kern w:val="0"/>
          <w:sz w:val="32"/>
          <w:szCs w:val="32"/>
        </w:rPr>
      </w:pPr>
      <w:r>
        <w:rPr>
          <w:rFonts w:ascii="仿宋" w:hAnsi="仿宋" w:eastAsia="仿宋" w:cs="宋体"/>
          <w:kern w:val="0"/>
          <w:sz w:val="32"/>
          <w:szCs w:val="32"/>
        </w:rPr>
        <w:t>2</w:t>
      </w:r>
      <w:r>
        <w:rPr>
          <w:rFonts w:hint="eastAsia" w:ascii="仿宋" w:hAnsi="仿宋" w:eastAsia="仿宋" w:cs="宋体"/>
          <w:kern w:val="0"/>
          <w:sz w:val="32"/>
          <w:szCs w:val="32"/>
        </w:rPr>
        <w:t>、指挥中心负责协助局领导指挥、协调、处置突发事件及重大案（事）件；负责警务战备值班和</w:t>
      </w:r>
      <w:r>
        <w:rPr>
          <w:rFonts w:ascii="仿宋" w:hAnsi="仿宋" w:eastAsia="仿宋" w:cs="宋体"/>
          <w:kern w:val="0"/>
          <w:sz w:val="32"/>
          <w:szCs w:val="32"/>
        </w:rPr>
        <w:t>110</w:t>
      </w:r>
      <w:r>
        <w:rPr>
          <w:rFonts w:hint="eastAsia" w:ascii="仿宋" w:hAnsi="仿宋" w:eastAsia="仿宋" w:cs="宋体"/>
          <w:kern w:val="0"/>
          <w:sz w:val="32"/>
          <w:szCs w:val="32"/>
        </w:rPr>
        <w:t>报警，并做好组织指挥、协调处置工作；重点场所部位的监控工作。</w:t>
      </w:r>
    </w:p>
    <w:p w14:paraId="43FA4121">
      <w:pPr>
        <w:widowControl/>
        <w:spacing w:line="560" w:lineRule="exact"/>
        <w:ind w:firstLine="640"/>
        <w:jc w:val="left"/>
        <w:rPr>
          <w:rFonts w:ascii="仿宋" w:hAnsi="仿宋" w:eastAsia="仿宋" w:cs="宋体"/>
          <w:kern w:val="0"/>
          <w:sz w:val="32"/>
          <w:szCs w:val="32"/>
        </w:rPr>
      </w:pPr>
      <w:r>
        <w:rPr>
          <w:rFonts w:ascii="仿宋" w:hAnsi="仿宋" w:eastAsia="仿宋" w:cs="宋体"/>
          <w:kern w:val="0"/>
          <w:sz w:val="32"/>
          <w:szCs w:val="32"/>
        </w:rPr>
        <w:t>3</w:t>
      </w:r>
      <w:r>
        <w:rPr>
          <w:rFonts w:hint="eastAsia" w:ascii="仿宋" w:hAnsi="仿宋" w:eastAsia="仿宋" w:cs="宋体"/>
          <w:kern w:val="0"/>
          <w:sz w:val="32"/>
          <w:szCs w:val="32"/>
        </w:rPr>
        <w:t>、政治处承担公安民警专业培训任务；公安宣传、教育训练等思想政治工作；工资套改、警衔晋升培训、抚恤优待、工会活动、警体训练指导等工作。</w:t>
      </w:r>
    </w:p>
    <w:p w14:paraId="3ECC3B7B">
      <w:pPr>
        <w:widowControl/>
        <w:spacing w:line="560" w:lineRule="exact"/>
        <w:ind w:firstLine="640"/>
        <w:jc w:val="left"/>
        <w:rPr>
          <w:rFonts w:ascii="仿宋" w:hAnsi="仿宋" w:eastAsia="仿宋" w:cs="宋体"/>
          <w:kern w:val="0"/>
          <w:sz w:val="32"/>
          <w:szCs w:val="32"/>
        </w:rPr>
      </w:pPr>
      <w:r>
        <w:rPr>
          <w:rFonts w:ascii="仿宋" w:hAnsi="仿宋" w:eastAsia="仿宋" w:cs="宋体"/>
          <w:kern w:val="0"/>
          <w:sz w:val="32"/>
          <w:szCs w:val="32"/>
        </w:rPr>
        <w:t>4</w:t>
      </w:r>
      <w:r>
        <w:rPr>
          <w:rFonts w:hint="eastAsia" w:ascii="仿宋" w:hAnsi="仿宋" w:eastAsia="仿宋" w:cs="宋体"/>
          <w:kern w:val="0"/>
          <w:sz w:val="32"/>
          <w:szCs w:val="32"/>
        </w:rPr>
        <w:t>、警务保障室指导全县公安机关财务及经费等保障工作，负责全县公安机关装备、被装配备管理；审核监督各类经费支出；业务用房和基础设施建设；负责局机关事务、接待等工作。</w:t>
      </w:r>
    </w:p>
    <w:p w14:paraId="42B33B78">
      <w:pPr>
        <w:widowControl/>
        <w:spacing w:line="560" w:lineRule="exact"/>
        <w:ind w:firstLine="640"/>
        <w:jc w:val="left"/>
        <w:rPr>
          <w:rFonts w:ascii="仿宋" w:hAnsi="仿宋" w:eastAsia="仿宋" w:cs="宋体"/>
          <w:kern w:val="0"/>
          <w:sz w:val="32"/>
          <w:szCs w:val="32"/>
        </w:rPr>
      </w:pPr>
      <w:r>
        <w:rPr>
          <w:rFonts w:ascii="仿宋" w:hAnsi="仿宋" w:eastAsia="仿宋" w:cs="宋体"/>
          <w:kern w:val="0"/>
          <w:sz w:val="32"/>
          <w:szCs w:val="32"/>
        </w:rPr>
        <w:t>5</w:t>
      </w:r>
      <w:r>
        <w:rPr>
          <w:rFonts w:hint="eastAsia" w:ascii="仿宋" w:hAnsi="仿宋" w:eastAsia="仿宋" w:cs="宋体"/>
          <w:kern w:val="0"/>
          <w:sz w:val="32"/>
          <w:szCs w:val="32"/>
        </w:rPr>
        <w:t>、公安信访负责非正常人员的上访的信息及各项大型会议的进京值班等上级交办的各项信访任务。</w:t>
      </w:r>
    </w:p>
    <w:p w14:paraId="44F0C718">
      <w:pPr>
        <w:widowControl/>
        <w:spacing w:line="560" w:lineRule="exact"/>
        <w:ind w:firstLine="640"/>
        <w:jc w:val="left"/>
        <w:rPr>
          <w:rFonts w:ascii="仿宋" w:hAnsi="仿宋" w:eastAsia="仿宋" w:cs="宋体"/>
          <w:kern w:val="0"/>
          <w:sz w:val="32"/>
          <w:szCs w:val="32"/>
        </w:rPr>
      </w:pPr>
      <w:r>
        <w:rPr>
          <w:rFonts w:ascii="仿宋" w:hAnsi="仿宋" w:eastAsia="仿宋" w:cs="宋体"/>
          <w:kern w:val="0"/>
          <w:sz w:val="32"/>
          <w:szCs w:val="32"/>
        </w:rPr>
        <w:t>6</w:t>
      </w:r>
      <w:r>
        <w:rPr>
          <w:rFonts w:hint="eastAsia" w:ascii="仿宋" w:hAnsi="仿宋" w:eastAsia="仿宋" w:cs="宋体"/>
          <w:kern w:val="0"/>
          <w:sz w:val="32"/>
          <w:szCs w:val="32"/>
        </w:rPr>
        <w:t>、警务督察大队负责局各项重大工作部署、对公安内部各办案场所和基层派出所值班人员值班备勤和窗口服务情况等内部工作的监督检查。</w:t>
      </w:r>
    </w:p>
    <w:p w14:paraId="1354797D">
      <w:pPr>
        <w:spacing w:line="560" w:lineRule="exact"/>
        <w:ind w:firstLine="640" w:firstLineChars="200"/>
        <w:rPr>
          <w:rFonts w:ascii="仿宋" w:hAnsi="仿宋" w:eastAsia="仿宋" w:cs="宋体"/>
          <w:kern w:val="0"/>
          <w:sz w:val="32"/>
          <w:szCs w:val="32"/>
        </w:rPr>
      </w:pPr>
      <w:r>
        <w:rPr>
          <w:rFonts w:hint="eastAsia" w:ascii="华文楷体" w:hAnsi="华文楷体" w:eastAsia="华文楷体"/>
          <w:sz w:val="32"/>
          <w:szCs w:val="32"/>
        </w:rPr>
        <w:t>预算单位构成</w:t>
      </w:r>
      <w:r>
        <w:rPr>
          <w:rFonts w:ascii="华文楷体" w:hAnsi="华文楷体" w:eastAsia="华文楷体"/>
          <w:sz w:val="32"/>
          <w:szCs w:val="32"/>
        </w:rPr>
        <w:t>：</w:t>
      </w:r>
      <w:r>
        <w:rPr>
          <w:rFonts w:hint="eastAsia" w:ascii="仿宋" w:hAnsi="仿宋" w:eastAsia="仿宋" w:cs="宋体"/>
          <w:kern w:val="0"/>
          <w:sz w:val="32"/>
          <w:szCs w:val="32"/>
        </w:rPr>
        <w:t>从预算单位构成看，宁晋县公安局202</w:t>
      </w:r>
      <w:r>
        <w:rPr>
          <w:rFonts w:hint="eastAsia" w:ascii="仿宋" w:hAnsi="仿宋" w:eastAsia="仿宋" w:cs="宋体"/>
          <w:kern w:val="0"/>
          <w:sz w:val="32"/>
          <w:szCs w:val="32"/>
          <w:lang w:val="en-US" w:eastAsia="zh-CN"/>
        </w:rPr>
        <w:t>2</w:t>
      </w:r>
      <w:r>
        <w:rPr>
          <w:rFonts w:hint="eastAsia" w:ascii="仿宋" w:hAnsi="仿宋" w:eastAsia="仿宋" w:cs="宋体"/>
          <w:kern w:val="0"/>
          <w:sz w:val="32"/>
          <w:szCs w:val="32"/>
        </w:rPr>
        <w:t>年度部门预算包括局本级预算和局属单位预算。</w:t>
      </w:r>
    </w:p>
    <w:p w14:paraId="0F4AE07E">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纳入宁晋县公安局</w:t>
      </w:r>
      <w:r>
        <w:rPr>
          <w:rFonts w:hint="eastAsia" w:ascii="仿宋" w:hAnsi="仿宋" w:eastAsia="仿宋" w:cs="宋体"/>
          <w:kern w:val="0"/>
          <w:sz w:val="32"/>
          <w:szCs w:val="32"/>
          <w:lang w:val="en-US" w:eastAsia="zh-CN"/>
        </w:rPr>
        <w:t>本级</w:t>
      </w:r>
      <w:r>
        <w:rPr>
          <w:rFonts w:hint="eastAsia" w:ascii="仿宋" w:hAnsi="仿宋" w:eastAsia="仿宋" w:cs="宋体"/>
          <w:kern w:val="0"/>
          <w:sz w:val="32"/>
          <w:szCs w:val="32"/>
        </w:rPr>
        <w:t>202</w:t>
      </w:r>
      <w:r>
        <w:rPr>
          <w:rFonts w:hint="eastAsia" w:ascii="仿宋" w:hAnsi="仿宋" w:eastAsia="仿宋" w:cs="宋体"/>
          <w:kern w:val="0"/>
          <w:sz w:val="32"/>
          <w:szCs w:val="32"/>
          <w:lang w:val="en-US" w:eastAsia="zh-CN"/>
        </w:rPr>
        <w:t>2</w:t>
      </w:r>
      <w:r>
        <w:rPr>
          <w:rFonts w:hint="eastAsia" w:ascii="仿宋" w:hAnsi="仿宋" w:eastAsia="仿宋" w:cs="宋体"/>
          <w:kern w:val="0"/>
          <w:sz w:val="32"/>
          <w:szCs w:val="32"/>
        </w:rPr>
        <w:t>年度</w:t>
      </w:r>
      <w:r>
        <w:rPr>
          <w:rFonts w:hint="eastAsia" w:ascii="仿宋" w:hAnsi="仿宋" w:eastAsia="仿宋" w:cs="宋体"/>
          <w:kern w:val="0"/>
          <w:sz w:val="32"/>
          <w:szCs w:val="32"/>
          <w:lang w:val="en-US" w:eastAsia="zh-CN"/>
        </w:rPr>
        <w:t>单位</w:t>
      </w:r>
      <w:r>
        <w:rPr>
          <w:rFonts w:hint="eastAsia" w:ascii="仿宋" w:hAnsi="仿宋" w:eastAsia="仿宋" w:cs="宋体"/>
          <w:kern w:val="0"/>
          <w:sz w:val="32"/>
          <w:szCs w:val="32"/>
        </w:rPr>
        <w:t>预算编制范围的单位共</w:t>
      </w:r>
      <w:r>
        <w:rPr>
          <w:rFonts w:hint="eastAsia" w:ascii="仿宋" w:hAnsi="仿宋" w:eastAsia="仿宋" w:cs="宋体"/>
          <w:kern w:val="0"/>
          <w:sz w:val="32"/>
          <w:szCs w:val="32"/>
          <w:lang w:val="en-US" w:eastAsia="zh-CN"/>
        </w:rPr>
        <w:t>1</w:t>
      </w:r>
      <w:r>
        <w:rPr>
          <w:rFonts w:hint="eastAsia" w:ascii="仿宋" w:hAnsi="仿宋" w:eastAsia="仿宋" w:cs="宋体"/>
          <w:kern w:val="0"/>
          <w:sz w:val="32"/>
          <w:szCs w:val="32"/>
        </w:rPr>
        <w:t>个，详细情况见下表：</w:t>
      </w:r>
    </w:p>
    <w:tbl>
      <w:tblPr>
        <w:tblStyle w:val="5"/>
        <w:tblW w:w="7950" w:type="dxa"/>
        <w:jc w:val="center"/>
        <w:tblLayout w:type="fixed"/>
        <w:tblCellMar>
          <w:top w:w="0" w:type="dxa"/>
          <w:left w:w="0" w:type="dxa"/>
          <w:bottom w:w="0" w:type="dxa"/>
          <w:right w:w="0" w:type="dxa"/>
        </w:tblCellMar>
      </w:tblPr>
      <w:tblGrid>
        <w:gridCol w:w="1528"/>
        <w:gridCol w:w="6422"/>
      </w:tblGrid>
      <w:tr w14:paraId="22D63332">
        <w:tblPrEx>
          <w:tblCellMar>
            <w:top w:w="0" w:type="dxa"/>
            <w:left w:w="0" w:type="dxa"/>
            <w:bottom w:w="0" w:type="dxa"/>
            <w:right w:w="0" w:type="dxa"/>
          </w:tblCellMar>
        </w:tblPrEx>
        <w:trPr>
          <w:trHeight w:val="435" w:hRule="atLeast"/>
          <w:jc w:val="center"/>
        </w:trPr>
        <w:tc>
          <w:tcPr>
            <w:tcW w:w="1528"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0544BEE">
            <w:pPr>
              <w:keepNext w:val="0"/>
              <w:keepLines w:val="0"/>
              <w:suppressLineNumbers w:val="0"/>
              <w:spacing w:before="0" w:beforeAutospacing="0" w:after="0" w:afterAutospacing="0" w:line="560" w:lineRule="exact"/>
              <w:ind w:left="0" w:right="0"/>
              <w:jc w:val="center"/>
              <w:rPr>
                <w:rFonts w:hint="default" w:ascii="仿宋" w:hAnsi="仿宋" w:eastAsia="仿宋" w:cs="宋体"/>
                <w:sz w:val="32"/>
                <w:szCs w:val="32"/>
              </w:rPr>
            </w:pPr>
            <w:r>
              <w:rPr>
                <w:rFonts w:hint="eastAsia" w:ascii="仿宋" w:hAnsi="仿宋" w:eastAsia="仿宋" w:cs="宋体"/>
                <w:sz w:val="32"/>
                <w:szCs w:val="32"/>
              </w:rPr>
              <w:t>序号</w:t>
            </w:r>
          </w:p>
        </w:tc>
        <w:tc>
          <w:tcPr>
            <w:tcW w:w="6422"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5779E79">
            <w:pPr>
              <w:keepNext w:val="0"/>
              <w:keepLines w:val="0"/>
              <w:suppressLineNumbers w:val="0"/>
              <w:spacing w:before="0" w:beforeAutospacing="0" w:after="0" w:afterAutospacing="0" w:line="560" w:lineRule="exact"/>
              <w:ind w:left="0" w:right="0"/>
              <w:jc w:val="center"/>
              <w:rPr>
                <w:rFonts w:hint="default" w:ascii="仿宋" w:hAnsi="仿宋" w:eastAsia="仿宋" w:cs="宋体"/>
                <w:sz w:val="32"/>
                <w:szCs w:val="32"/>
              </w:rPr>
            </w:pPr>
            <w:r>
              <w:rPr>
                <w:rFonts w:hint="eastAsia" w:ascii="仿宋" w:hAnsi="仿宋" w:eastAsia="仿宋" w:cs="宋体"/>
                <w:sz w:val="32"/>
                <w:szCs w:val="32"/>
              </w:rPr>
              <w:t>单位名称</w:t>
            </w:r>
          </w:p>
        </w:tc>
      </w:tr>
      <w:tr w14:paraId="091578BD">
        <w:tblPrEx>
          <w:tblCellMar>
            <w:top w:w="0" w:type="dxa"/>
            <w:left w:w="0" w:type="dxa"/>
            <w:bottom w:w="0" w:type="dxa"/>
            <w:right w:w="0" w:type="dxa"/>
          </w:tblCellMar>
        </w:tblPrEx>
        <w:trPr>
          <w:trHeight w:val="435" w:hRule="atLeast"/>
          <w:jc w:val="center"/>
        </w:trPr>
        <w:tc>
          <w:tcPr>
            <w:tcW w:w="1528"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D7440BE">
            <w:pPr>
              <w:keepNext w:val="0"/>
              <w:keepLines w:val="0"/>
              <w:suppressLineNumbers w:val="0"/>
              <w:spacing w:before="0" w:beforeAutospacing="0" w:after="0" w:afterAutospacing="0" w:line="560" w:lineRule="exact"/>
              <w:ind w:left="0" w:right="0"/>
              <w:jc w:val="center"/>
              <w:rPr>
                <w:rFonts w:hint="default" w:ascii="仿宋" w:hAnsi="仿宋" w:eastAsia="仿宋" w:cs="宋体"/>
                <w:sz w:val="32"/>
                <w:szCs w:val="32"/>
              </w:rPr>
            </w:pPr>
            <w:r>
              <w:rPr>
                <w:rFonts w:hint="default" w:ascii="仿宋" w:hAnsi="仿宋" w:eastAsia="仿宋" w:cs="宋体"/>
                <w:sz w:val="32"/>
                <w:szCs w:val="32"/>
              </w:rPr>
              <w:t>1</w:t>
            </w:r>
          </w:p>
        </w:tc>
        <w:tc>
          <w:tcPr>
            <w:tcW w:w="6422"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3959BF0">
            <w:pPr>
              <w:keepNext w:val="0"/>
              <w:keepLines w:val="0"/>
              <w:suppressLineNumbers w:val="0"/>
              <w:spacing w:before="0" w:beforeAutospacing="0" w:after="0" w:afterAutospacing="0" w:line="560" w:lineRule="exact"/>
              <w:ind w:left="0" w:right="0"/>
              <w:jc w:val="center"/>
              <w:rPr>
                <w:rFonts w:hint="default" w:ascii="仿宋" w:hAnsi="仿宋" w:eastAsia="仿宋" w:cs="宋体"/>
                <w:sz w:val="32"/>
                <w:szCs w:val="32"/>
              </w:rPr>
            </w:pPr>
            <w:r>
              <w:rPr>
                <w:rFonts w:hint="eastAsia" w:ascii="仿宋" w:hAnsi="仿宋" w:eastAsia="仿宋" w:cs="宋体"/>
                <w:sz w:val="32"/>
                <w:szCs w:val="32"/>
              </w:rPr>
              <w:t>宁晋县公安局本级</w:t>
            </w:r>
          </w:p>
        </w:tc>
      </w:tr>
    </w:tbl>
    <w:p w14:paraId="0BD25BF5">
      <w:pPr>
        <w:spacing w:line="560" w:lineRule="exact"/>
        <w:rPr>
          <w:rFonts w:ascii="仿宋" w:hAnsi="仿宋" w:eastAsia="仿宋" w:cs="宋体"/>
          <w:kern w:val="0"/>
          <w:sz w:val="32"/>
          <w:szCs w:val="32"/>
        </w:rPr>
      </w:pPr>
    </w:p>
    <w:p w14:paraId="4E9DF5EB">
      <w:pPr>
        <w:widowControl/>
        <w:spacing w:line="560" w:lineRule="exact"/>
        <w:ind w:firstLine="643"/>
        <w:jc w:val="left"/>
        <w:rPr>
          <w:rFonts w:ascii="黑体" w:hAnsi="黑体" w:eastAsia="黑体"/>
          <w:sz w:val="32"/>
          <w:szCs w:val="32"/>
        </w:rPr>
      </w:pPr>
      <w:r>
        <w:rPr>
          <w:rFonts w:hint="eastAsia" w:ascii="黑体" w:hAnsi="黑体" w:eastAsia="黑体" w:cs="宋体"/>
          <w:kern w:val="0"/>
          <w:sz w:val="32"/>
          <w:szCs w:val="32"/>
        </w:rPr>
        <w:t>二、</w:t>
      </w:r>
      <w:r>
        <w:rPr>
          <w:rFonts w:hint="eastAsia" w:ascii="黑体" w:hAnsi="黑体" w:eastAsia="黑体" w:cs="宋体"/>
          <w:kern w:val="0"/>
          <w:sz w:val="32"/>
          <w:szCs w:val="32"/>
          <w:lang w:val="en-US" w:eastAsia="zh-CN"/>
        </w:rPr>
        <w:t>单位</w:t>
      </w:r>
      <w:r>
        <w:rPr>
          <w:rFonts w:hint="eastAsia" w:ascii="黑体" w:hAnsi="黑体" w:eastAsia="黑体" w:cs="宋体"/>
          <w:kern w:val="0"/>
          <w:sz w:val="32"/>
          <w:szCs w:val="32"/>
        </w:rPr>
        <w:t>预算安排的总体情况</w:t>
      </w:r>
    </w:p>
    <w:p w14:paraId="7B4D3793">
      <w:pPr>
        <w:pStyle w:val="11"/>
        <w:rPr>
          <w:rFonts w:hint="eastAsia" w:ascii="仿宋" w:hAnsi="仿宋" w:eastAsia="仿宋" w:cs="仿宋"/>
          <w:sz w:val="32"/>
          <w:szCs w:val="32"/>
        </w:rPr>
      </w:pPr>
      <w:r>
        <w:rPr>
          <w:rFonts w:hint="eastAsia" w:ascii="仿宋" w:hAnsi="仿宋" w:eastAsia="仿宋" w:cs="仿宋"/>
          <w:sz w:val="32"/>
          <w:szCs w:val="32"/>
        </w:rPr>
        <w:t>我单位2022年一般公共预算拨款收入10479.86万元，较2021年预算总收入10241.71万元，增加238.15万元，增长2.3%，全部为一般公共预算拨款。2022年预算总支出10479.86万元，较2021年预算总支出10241.71万元，增加238.15万元，增长2.3%，其中基本支出：4524.86万元，项目支出：5955.00万元。</w:t>
      </w:r>
    </w:p>
    <w:p w14:paraId="1070E085">
      <w:pPr>
        <w:spacing w:line="560" w:lineRule="exact"/>
        <w:ind w:firstLine="640" w:firstLineChars="200"/>
        <w:rPr>
          <w:rFonts w:ascii="黑体" w:hAnsi="黑体" w:eastAsia="黑体" w:cs="宋体"/>
          <w:kern w:val="0"/>
          <w:sz w:val="32"/>
          <w:szCs w:val="32"/>
        </w:rPr>
      </w:pPr>
      <w:r>
        <w:rPr>
          <w:rFonts w:hint="eastAsia" w:ascii="黑体" w:hAnsi="黑体" w:eastAsia="黑体" w:cs="宋体"/>
          <w:kern w:val="0"/>
          <w:sz w:val="32"/>
          <w:szCs w:val="32"/>
        </w:rPr>
        <w:t>三、机关运行经费安排情况</w:t>
      </w:r>
    </w:p>
    <w:p w14:paraId="25C13DEE">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我单位2022年机关运行经费583.52万元，其中办公费142.69万元、电费60万元、水费2万元、公务接待费2万元，公车运行维护费32万元、工会会费26.16万元、福利费36.47万元、公务移动通讯费用补贴82.5万元、公务交通补贴199.7万元。</w:t>
      </w:r>
    </w:p>
    <w:p w14:paraId="225280AB">
      <w:pPr>
        <w:spacing w:line="560" w:lineRule="exact"/>
        <w:ind w:firstLine="640" w:firstLineChars="200"/>
        <w:rPr>
          <w:rFonts w:ascii="黑体" w:hAnsi="黑体" w:eastAsia="黑体" w:cs="宋体"/>
          <w:kern w:val="0"/>
          <w:sz w:val="32"/>
          <w:szCs w:val="32"/>
        </w:rPr>
      </w:pPr>
      <w:r>
        <w:rPr>
          <w:rFonts w:hint="eastAsia" w:ascii="黑体" w:hAnsi="黑体" w:eastAsia="黑体" w:cs="宋体"/>
          <w:kern w:val="0"/>
          <w:sz w:val="32"/>
          <w:szCs w:val="32"/>
        </w:rPr>
        <w:t>四、财政拨款</w:t>
      </w:r>
      <w:r>
        <w:rPr>
          <w:rFonts w:ascii="黑体" w:hAnsi="黑体" w:eastAsia="黑体" w:cs="宋体"/>
          <w:kern w:val="0"/>
          <w:sz w:val="32"/>
          <w:szCs w:val="32"/>
        </w:rPr>
        <w:t>“</w:t>
      </w:r>
      <w:r>
        <w:rPr>
          <w:rFonts w:hint="eastAsia" w:ascii="黑体" w:hAnsi="黑体" w:eastAsia="黑体" w:cs="宋体"/>
          <w:kern w:val="0"/>
          <w:sz w:val="32"/>
          <w:szCs w:val="32"/>
        </w:rPr>
        <w:t>三公</w:t>
      </w:r>
      <w:r>
        <w:rPr>
          <w:rFonts w:ascii="黑体" w:hAnsi="黑体" w:eastAsia="黑体" w:cs="宋体"/>
          <w:kern w:val="0"/>
          <w:sz w:val="32"/>
          <w:szCs w:val="32"/>
        </w:rPr>
        <w:t>”</w:t>
      </w:r>
      <w:r>
        <w:rPr>
          <w:rFonts w:hint="eastAsia" w:ascii="黑体" w:hAnsi="黑体" w:eastAsia="黑体" w:cs="宋体"/>
          <w:kern w:val="0"/>
          <w:sz w:val="32"/>
          <w:szCs w:val="32"/>
        </w:rPr>
        <w:t>经费预算情况及增减变化原因</w:t>
      </w:r>
    </w:p>
    <w:p w14:paraId="49F076EC">
      <w:pPr>
        <w:pStyle w:val="12"/>
        <w:rPr>
          <w:rFonts w:hint="eastAsia" w:ascii="仿宋" w:hAnsi="仿宋" w:eastAsia="仿宋" w:cs="仿宋"/>
          <w:sz w:val="32"/>
          <w:szCs w:val="32"/>
        </w:rPr>
      </w:pPr>
      <w:r>
        <w:rPr>
          <w:rFonts w:hint="eastAsia" w:ascii="仿宋" w:hAnsi="仿宋" w:eastAsia="仿宋" w:cs="仿宋"/>
          <w:sz w:val="32"/>
          <w:szCs w:val="32"/>
        </w:rPr>
        <w:t>我单位2022年“三公”经费预算数为87.56万元，比2021年（142万元）减少54.44万元，其中公务接待费2万元，与上年持平；公务用车购置及运行费85.56万元，比上年（140万元）减少54.44万元，主要是因为本年度减少公务用车购置；因公出国（境）费0万元，与上年持平。</w:t>
      </w:r>
    </w:p>
    <w:p w14:paraId="6A9715CE">
      <w:pPr>
        <w:spacing w:line="560" w:lineRule="exact"/>
        <w:ind w:firstLine="640" w:firstLineChars="200"/>
        <w:rPr>
          <w:rFonts w:ascii="黑体" w:hAnsi="黑体" w:eastAsia="黑体" w:cs="宋体"/>
          <w:kern w:val="0"/>
          <w:sz w:val="32"/>
          <w:szCs w:val="32"/>
        </w:rPr>
      </w:pPr>
      <w:r>
        <w:rPr>
          <w:rFonts w:hint="eastAsia" w:ascii="黑体" w:hAnsi="黑体" w:eastAsia="黑体" w:cs="宋体"/>
          <w:kern w:val="0"/>
          <w:sz w:val="32"/>
          <w:szCs w:val="32"/>
        </w:rPr>
        <w:t>五、预算</w:t>
      </w:r>
      <w:r>
        <w:rPr>
          <w:rFonts w:hint="eastAsia" w:ascii="黑体" w:hAnsi="黑体" w:eastAsia="黑体" w:cs="宋体"/>
          <w:kern w:val="0"/>
          <w:sz w:val="32"/>
          <w:szCs w:val="32"/>
          <w:lang w:val="en-US" w:eastAsia="zh-CN"/>
        </w:rPr>
        <w:t>绩效</w:t>
      </w:r>
      <w:r>
        <w:rPr>
          <w:rFonts w:hint="eastAsia" w:ascii="黑体" w:hAnsi="黑体" w:eastAsia="黑体" w:cs="宋体"/>
          <w:kern w:val="0"/>
          <w:sz w:val="32"/>
          <w:szCs w:val="32"/>
        </w:rPr>
        <w:t>信息</w:t>
      </w:r>
    </w:p>
    <w:p w14:paraId="5E4E7D53">
      <w:pPr>
        <w:ind w:firstLine="640"/>
        <w:rPr>
          <w:rFonts w:ascii="华文楷体" w:hAnsi="华文楷体" w:eastAsia="华文楷体"/>
          <w:sz w:val="32"/>
          <w:szCs w:val="32"/>
        </w:rPr>
      </w:pPr>
      <w:r>
        <w:rPr>
          <w:rFonts w:hint="eastAsia" w:ascii="仿宋" w:hAnsi="仿宋" w:eastAsia="仿宋" w:cs="仿宋"/>
          <w:b/>
          <w:color w:val="000000"/>
          <w:sz w:val="32"/>
        </w:rPr>
        <w:t xml:space="preserve">第一部分 </w:t>
      </w:r>
      <w:r>
        <w:rPr>
          <w:rFonts w:hint="eastAsia" w:ascii="仿宋" w:hAnsi="仿宋" w:eastAsia="仿宋" w:cs="仿宋"/>
          <w:b/>
          <w:color w:val="000000"/>
          <w:sz w:val="32"/>
          <w:lang w:val="en-US" w:eastAsia="zh-CN"/>
        </w:rPr>
        <w:t>单位</w:t>
      </w:r>
      <w:r>
        <w:rPr>
          <w:rFonts w:hint="eastAsia" w:ascii="仿宋" w:hAnsi="仿宋" w:eastAsia="仿宋" w:cs="仿宋"/>
          <w:b/>
          <w:color w:val="000000"/>
          <w:sz w:val="32"/>
        </w:rPr>
        <w:t>整体绩效目标</w:t>
      </w:r>
    </w:p>
    <w:p w14:paraId="4C72AA31">
      <w:pPr>
        <w:ind w:firstLine="640" w:firstLineChars="200"/>
        <w:jc w:val="left"/>
        <w:rPr>
          <w:rFonts w:ascii="华文楷体" w:hAnsi="华文楷体" w:eastAsia="华文楷体"/>
          <w:sz w:val="32"/>
          <w:szCs w:val="32"/>
        </w:rPr>
      </w:pPr>
      <w:r>
        <w:rPr>
          <w:rFonts w:hint="eastAsia" w:ascii="华文楷体" w:hAnsi="华文楷体" w:eastAsia="华文楷体"/>
          <w:sz w:val="32"/>
          <w:szCs w:val="32"/>
          <w:lang w:eastAsia="zh-CN"/>
        </w:rPr>
        <w:t>（一）</w:t>
      </w:r>
      <w:r>
        <w:rPr>
          <w:rFonts w:ascii="华文楷体" w:hAnsi="华文楷体" w:eastAsia="华文楷体"/>
          <w:sz w:val="32"/>
          <w:szCs w:val="32"/>
        </w:rPr>
        <w:t>总体绩效目标：</w:t>
      </w:r>
    </w:p>
    <w:p w14:paraId="4CEF8D9A">
      <w:pPr>
        <w:pStyle w:val="13"/>
        <w:rPr>
          <w:rFonts w:hint="eastAsia" w:ascii="仿宋" w:hAnsi="仿宋" w:eastAsia="仿宋" w:cs="仿宋"/>
          <w:sz w:val="32"/>
          <w:szCs w:val="32"/>
        </w:rPr>
      </w:pPr>
      <w:r>
        <w:rPr>
          <w:rFonts w:hint="eastAsia" w:ascii="仿宋" w:hAnsi="仿宋" w:eastAsia="仿宋" w:cs="仿宋"/>
          <w:sz w:val="32"/>
          <w:szCs w:val="32"/>
        </w:rPr>
        <w:t>2022年宁晋县公安局在县委、县政府和上级公安机关的坚强领导下，以贯彻落实党的十九大精神和习近平总书记系列重要讲话为主线，编制并严格落实执行“十四五”装备规划建设，进一步提高政治站位和政治规矩，紧紧围绕全县中心工作，全力护航宁晋经济社会健康持续发展，聚焦“平安宁晋”建设，以打击犯罪、维护稳定、安保维稳、护航发展、服务民生为工作总基调，深化公安改革，推进“四项建设”，全面推进公安整体工作再上新台阶。</w:t>
      </w:r>
    </w:p>
    <w:p w14:paraId="741B1066">
      <w:pPr>
        <w:spacing w:line="560" w:lineRule="exact"/>
        <w:ind w:firstLine="640" w:firstLineChars="200"/>
        <w:rPr>
          <w:rFonts w:ascii="方正楷体_GBK" w:eastAsia="方正楷体_GBK"/>
          <w:b/>
          <w:sz w:val="32"/>
          <w:szCs w:val="32"/>
        </w:rPr>
      </w:pPr>
      <w:r>
        <w:rPr>
          <w:rFonts w:hint="eastAsia" w:ascii="华文楷体" w:hAnsi="华文楷体" w:eastAsia="华文楷体"/>
          <w:sz w:val="32"/>
          <w:szCs w:val="32"/>
          <w:lang w:eastAsia="zh-CN"/>
        </w:rPr>
        <w:t>（二）分项</w:t>
      </w:r>
      <w:r>
        <w:rPr>
          <w:rFonts w:hint="eastAsia" w:ascii="华文楷体" w:hAnsi="华文楷体" w:eastAsia="华文楷体"/>
          <w:sz w:val="32"/>
          <w:szCs w:val="32"/>
        </w:rPr>
        <w:t>绩效目标</w:t>
      </w:r>
      <w:r>
        <w:rPr>
          <w:rFonts w:hint="eastAsia" w:ascii="方正楷体_GBK" w:eastAsia="方正楷体_GBK"/>
          <w:b/>
          <w:sz w:val="32"/>
          <w:szCs w:val="32"/>
        </w:rPr>
        <w:t>：</w:t>
      </w:r>
    </w:p>
    <w:p w14:paraId="2924E699">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1.贯彻执行公安工作的方针、政策、法律、法规；组织部署全县公安工作并指导、监督、检查贯彻执行情况。</w:t>
      </w:r>
    </w:p>
    <w:p w14:paraId="3B7AD9A7">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2.收集、掌握影响稳定、危害国内安全和社会治安的情况，分析形势，研究公安工作出现的新情况、新问题，为县委、县政府和上级公安机关提供信息和决策依据。</w:t>
      </w:r>
    </w:p>
    <w:p w14:paraId="0C49A988">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3.指导全县公安法制建设，负责案件审批、行政诉讼和行政复议工作，组织实施执法监督工作。</w:t>
      </w:r>
    </w:p>
    <w:p w14:paraId="172A662D">
      <w:pPr>
        <w:ind w:firstLine="560"/>
        <w:rPr>
          <w:rFonts w:ascii="仿宋" w:hAnsi="仿宋" w:eastAsia="仿宋" w:cs="宋体"/>
          <w:kern w:val="0"/>
          <w:sz w:val="32"/>
          <w:szCs w:val="32"/>
        </w:rPr>
      </w:pPr>
      <w:r>
        <w:rPr>
          <w:rFonts w:hint="eastAsia" w:ascii="仿宋" w:hAnsi="仿宋" w:eastAsia="仿宋" w:cs="宋体"/>
          <w:kern w:val="0"/>
          <w:sz w:val="32"/>
          <w:szCs w:val="32"/>
        </w:rPr>
        <w:t>4.组织指挥全县公安侦查工作，惩治违法犯罪活动；打击、防范暴力恐怖活动和邪教活动；处置骚乱和群体性突发事件，组织实施重大活动的安全保卫工作。</w:t>
      </w:r>
    </w:p>
    <w:p w14:paraId="40B7095C">
      <w:pPr>
        <w:ind w:firstLine="560"/>
        <w:rPr>
          <w:rFonts w:ascii="仿宋" w:hAnsi="仿宋" w:eastAsia="仿宋" w:cs="宋体"/>
          <w:kern w:val="0"/>
          <w:sz w:val="32"/>
          <w:szCs w:val="32"/>
        </w:rPr>
      </w:pPr>
      <w:r>
        <w:rPr>
          <w:rFonts w:hint="eastAsia" w:ascii="仿宋" w:hAnsi="仿宋" w:eastAsia="仿宋" w:cs="宋体"/>
          <w:kern w:val="0"/>
          <w:sz w:val="32"/>
          <w:szCs w:val="32"/>
        </w:rPr>
        <w:t>5.组织指挥全县公安机关查处危害社会治安秩序的行为；依法管理治安、户政、居民身份证的有关事务；依法管理集会、游行、示威活动。</w:t>
      </w:r>
    </w:p>
    <w:p w14:paraId="3818B767">
      <w:pPr>
        <w:ind w:firstLine="560"/>
        <w:rPr>
          <w:rFonts w:ascii="仿宋" w:hAnsi="仿宋" w:eastAsia="仿宋" w:cs="宋体"/>
          <w:kern w:val="0"/>
          <w:sz w:val="32"/>
          <w:szCs w:val="32"/>
        </w:rPr>
      </w:pPr>
      <w:r>
        <w:rPr>
          <w:rFonts w:hint="eastAsia" w:ascii="仿宋" w:hAnsi="仿宋" w:eastAsia="仿宋" w:cs="宋体"/>
          <w:kern w:val="0"/>
          <w:sz w:val="32"/>
          <w:szCs w:val="32"/>
        </w:rPr>
        <w:t>6.负责全县食品药品制假案件的立案查处及环境违法犯罪案件的打击查处。</w:t>
      </w:r>
    </w:p>
    <w:p w14:paraId="48D30253">
      <w:pPr>
        <w:ind w:firstLine="560"/>
        <w:rPr>
          <w:rFonts w:ascii="仿宋" w:hAnsi="仿宋" w:eastAsia="仿宋" w:cs="宋体"/>
          <w:kern w:val="0"/>
          <w:sz w:val="32"/>
          <w:szCs w:val="32"/>
        </w:rPr>
      </w:pPr>
      <w:r>
        <w:rPr>
          <w:rFonts w:hint="eastAsia" w:ascii="仿宋" w:hAnsi="仿宋" w:eastAsia="仿宋" w:cs="宋体"/>
          <w:kern w:val="0"/>
          <w:sz w:val="32"/>
          <w:szCs w:val="32"/>
        </w:rPr>
        <w:t>7.做好社会治安防控。做好各项安全保卫工作，开展重点信访人稳控、劝返任务，打造环京安全屏障，消除治安隐患。</w:t>
      </w:r>
    </w:p>
    <w:p w14:paraId="0FF2A5B8">
      <w:pPr>
        <w:ind w:firstLine="560"/>
        <w:rPr>
          <w:rFonts w:ascii="仿宋" w:hAnsi="仿宋" w:eastAsia="仿宋" w:cs="宋体"/>
          <w:kern w:val="0"/>
          <w:sz w:val="32"/>
          <w:szCs w:val="32"/>
        </w:rPr>
      </w:pPr>
      <w:r>
        <w:rPr>
          <w:rFonts w:hint="eastAsia" w:ascii="仿宋" w:hAnsi="仿宋" w:eastAsia="仿宋" w:cs="宋体"/>
          <w:kern w:val="0"/>
          <w:sz w:val="32"/>
          <w:szCs w:val="32"/>
        </w:rPr>
        <w:t>8.维护交通秩序和交通安全，组织实施交通管理，处理交通事故；依法做好机动车辆和驾驶员的管理工作。</w:t>
      </w:r>
    </w:p>
    <w:p w14:paraId="1294962D">
      <w:pPr>
        <w:ind w:firstLine="560"/>
        <w:rPr>
          <w:rFonts w:ascii="仿宋" w:hAnsi="仿宋" w:eastAsia="仿宋" w:cs="宋体"/>
          <w:kern w:val="0"/>
          <w:sz w:val="32"/>
          <w:szCs w:val="32"/>
        </w:rPr>
      </w:pPr>
      <w:r>
        <w:rPr>
          <w:rFonts w:hint="eastAsia" w:ascii="仿宋" w:hAnsi="仿宋" w:eastAsia="仿宋" w:cs="宋体"/>
          <w:kern w:val="0"/>
          <w:sz w:val="32"/>
          <w:szCs w:val="32"/>
        </w:rPr>
        <w:t>9.警卫国家规定的特定人员，守卫重要场所和设施。</w:t>
      </w:r>
    </w:p>
    <w:p w14:paraId="4257B57B">
      <w:pPr>
        <w:ind w:firstLine="560"/>
        <w:rPr>
          <w:rFonts w:ascii="仿宋" w:hAnsi="仿宋" w:eastAsia="仿宋" w:cs="宋体"/>
          <w:kern w:val="0"/>
          <w:sz w:val="32"/>
          <w:szCs w:val="32"/>
        </w:rPr>
      </w:pPr>
      <w:r>
        <w:rPr>
          <w:rFonts w:hint="eastAsia" w:ascii="仿宋" w:hAnsi="仿宋" w:eastAsia="仿宋" w:cs="宋体"/>
          <w:kern w:val="0"/>
          <w:sz w:val="32"/>
          <w:szCs w:val="32"/>
        </w:rPr>
        <w:t>10.依法贯彻出入境管理政策，受理中国公民因私出境申请和外国人及港、澳、台公民在中国境内居留的临时登记；依法查处“六非”人员。</w:t>
      </w:r>
    </w:p>
    <w:p w14:paraId="5D0EDA21">
      <w:pPr>
        <w:ind w:firstLine="560"/>
        <w:rPr>
          <w:rFonts w:ascii="仿宋" w:hAnsi="仿宋" w:eastAsia="仿宋" w:cs="宋体"/>
          <w:kern w:val="0"/>
          <w:sz w:val="32"/>
          <w:szCs w:val="32"/>
        </w:rPr>
      </w:pPr>
      <w:r>
        <w:rPr>
          <w:rFonts w:hint="eastAsia" w:ascii="仿宋" w:hAnsi="仿宋" w:eastAsia="仿宋" w:cs="宋体"/>
          <w:kern w:val="0"/>
          <w:sz w:val="32"/>
          <w:szCs w:val="32"/>
        </w:rPr>
        <w:t>11.负责全县公安机关依法承担的执行刑罚的指导和监督工作，指导、监督全县收容教育审批工作和看守所、治安拘留所的管理工作。</w:t>
      </w:r>
    </w:p>
    <w:p w14:paraId="2FDD055C">
      <w:pPr>
        <w:ind w:firstLine="560"/>
        <w:rPr>
          <w:rFonts w:ascii="仿宋" w:hAnsi="仿宋" w:eastAsia="仿宋" w:cs="宋体"/>
          <w:kern w:val="0"/>
          <w:sz w:val="32"/>
          <w:szCs w:val="32"/>
        </w:rPr>
      </w:pPr>
      <w:r>
        <w:rPr>
          <w:rFonts w:hint="eastAsia" w:ascii="仿宋" w:hAnsi="仿宋" w:eastAsia="仿宋" w:cs="宋体"/>
          <w:kern w:val="0"/>
          <w:sz w:val="32"/>
          <w:szCs w:val="32"/>
        </w:rPr>
        <w:t>12.组织实施全县公安机关公安信息网络的安全监察工作。</w:t>
      </w:r>
    </w:p>
    <w:p w14:paraId="69AA56EE">
      <w:pPr>
        <w:ind w:firstLine="560"/>
        <w:rPr>
          <w:rFonts w:ascii="仿宋" w:hAnsi="仿宋" w:eastAsia="仿宋" w:cs="宋体"/>
          <w:kern w:val="0"/>
          <w:sz w:val="32"/>
          <w:szCs w:val="32"/>
        </w:rPr>
      </w:pPr>
      <w:r>
        <w:rPr>
          <w:rFonts w:hint="eastAsia" w:ascii="仿宋" w:hAnsi="仿宋" w:eastAsia="仿宋" w:cs="宋体"/>
          <w:kern w:val="0"/>
          <w:sz w:val="32"/>
          <w:szCs w:val="32"/>
        </w:rPr>
        <w:t>13.指导、监督全县公安机关对国家机关、社会团体、企事业单位和重点建设工程的治安保卫工作以及群众性组织的治安防范工作。</w:t>
      </w:r>
    </w:p>
    <w:p w14:paraId="11BC9C32">
      <w:pPr>
        <w:ind w:firstLine="560"/>
        <w:rPr>
          <w:rFonts w:ascii="仿宋" w:hAnsi="仿宋" w:eastAsia="仿宋" w:cs="宋体"/>
          <w:kern w:val="0"/>
          <w:sz w:val="32"/>
          <w:szCs w:val="32"/>
        </w:rPr>
      </w:pPr>
      <w:r>
        <w:rPr>
          <w:rFonts w:hint="eastAsia" w:ascii="仿宋" w:hAnsi="仿宋" w:eastAsia="仿宋" w:cs="宋体"/>
          <w:kern w:val="0"/>
          <w:sz w:val="32"/>
          <w:szCs w:val="32"/>
        </w:rPr>
        <w:t>14.组织实施全县公安科学技术工作；规划全县公安信息技术、刑事技术和行动技术建设。</w:t>
      </w:r>
    </w:p>
    <w:p w14:paraId="7DDE9E26">
      <w:pPr>
        <w:ind w:firstLine="560"/>
        <w:rPr>
          <w:rFonts w:ascii="仿宋" w:hAnsi="仿宋" w:eastAsia="仿宋" w:cs="宋体"/>
          <w:kern w:val="0"/>
          <w:sz w:val="32"/>
          <w:szCs w:val="32"/>
        </w:rPr>
      </w:pPr>
      <w:r>
        <w:rPr>
          <w:rFonts w:hint="eastAsia" w:ascii="仿宋" w:hAnsi="仿宋" w:eastAsia="仿宋" w:cs="宋体"/>
          <w:kern w:val="0"/>
          <w:sz w:val="32"/>
          <w:szCs w:val="32"/>
        </w:rPr>
        <w:t>15.分析全县公安队伍状况，研究、制定公安队伍建设、民警教育培训和公安宣传的规章制度，监督检查落实情况；组织指导全县公安队伍建设、干警教育培训、表彰奖励和宣传工作；按规定权限管理干部。</w:t>
      </w:r>
    </w:p>
    <w:p w14:paraId="26F0275E">
      <w:pPr>
        <w:ind w:firstLine="560"/>
        <w:rPr>
          <w:rFonts w:ascii="仿宋" w:hAnsi="仿宋" w:eastAsia="仿宋" w:cs="宋体"/>
          <w:kern w:val="0"/>
          <w:sz w:val="32"/>
          <w:szCs w:val="32"/>
        </w:rPr>
      </w:pPr>
      <w:r>
        <w:rPr>
          <w:rFonts w:hint="eastAsia" w:ascii="仿宋" w:hAnsi="仿宋" w:eastAsia="仿宋" w:cs="宋体"/>
          <w:kern w:val="0"/>
          <w:sz w:val="32"/>
          <w:szCs w:val="32"/>
        </w:rPr>
        <w:t>16.负责全县公安机关纪检监察和警务督察工作，对全县公安机关及人民警察的执法情况进行监督；按规定权限对干部实施监督；查处民警违法违纪案件。</w:t>
      </w:r>
    </w:p>
    <w:p w14:paraId="3606FAF5">
      <w:pPr>
        <w:ind w:firstLine="560"/>
        <w:rPr>
          <w:rFonts w:ascii="仿宋" w:hAnsi="仿宋" w:eastAsia="仿宋" w:cs="宋体"/>
          <w:kern w:val="0"/>
          <w:sz w:val="32"/>
          <w:szCs w:val="32"/>
        </w:rPr>
      </w:pPr>
      <w:r>
        <w:rPr>
          <w:rFonts w:hint="eastAsia" w:ascii="仿宋" w:hAnsi="仿宋" w:eastAsia="仿宋" w:cs="宋体"/>
          <w:kern w:val="0"/>
          <w:sz w:val="32"/>
          <w:szCs w:val="32"/>
        </w:rPr>
        <w:t>17.制定全县公安装备、被装、经费等警务保障计划和标准，组织、管理和分配全县公安装备、被装和经费。</w:t>
      </w:r>
    </w:p>
    <w:p w14:paraId="5D654E0B">
      <w:pPr>
        <w:ind w:firstLine="560"/>
        <w:rPr>
          <w:rFonts w:ascii="仿宋" w:hAnsi="仿宋" w:eastAsia="仿宋" w:cs="宋体"/>
          <w:kern w:val="0"/>
          <w:sz w:val="32"/>
          <w:szCs w:val="32"/>
        </w:rPr>
      </w:pPr>
      <w:r>
        <w:rPr>
          <w:rFonts w:hint="eastAsia" w:ascii="仿宋" w:hAnsi="仿宋" w:eastAsia="仿宋" w:cs="宋体"/>
          <w:kern w:val="0"/>
          <w:sz w:val="32"/>
          <w:szCs w:val="32"/>
        </w:rPr>
        <w:t>18.承办全县禁毒工作。</w:t>
      </w:r>
    </w:p>
    <w:p w14:paraId="054449C4">
      <w:pPr>
        <w:ind w:firstLine="560"/>
        <w:rPr>
          <w:rFonts w:ascii="仿宋" w:hAnsi="仿宋" w:eastAsia="仿宋" w:cs="宋体"/>
          <w:kern w:val="0"/>
          <w:sz w:val="32"/>
          <w:szCs w:val="32"/>
        </w:rPr>
      </w:pPr>
      <w:r>
        <w:rPr>
          <w:rFonts w:hint="eastAsia" w:ascii="仿宋" w:hAnsi="仿宋" w:eastAsia="仿宋" w:cs="宋体"/>
          <w:kern w:val="0"/>
          <w:sz w:val="32"/>
          <w:szCs w:val="32"/>
        </w:rPr>
        <w:t>19.组织指挥县武警中队执行公安任务。</w:t>
      </w:r>
    </w:p>
    <w:p w14:paraId="2816CDCE">
      <w:pPr>
        <w:ind w:firstLine="560"/>
        <w:rPr>
          <w:rFonts w:hint="eastAsia" w:ascii="仿宋" w:hAnsi="仿宋" w:eastAsia="仿宋" w:cs="宋体"/>
          <w:kern w:val="0"/>
          <w:sz w:val="32"/>
          <w:szCs w:val="32"/>
        </w:rPr>
      </w:pPr>
      <w:r>
        <w:rPr>
          <w:rFonts w:hint="eastAsia" w:ascii="仿宋" w:hAnsi="仿宋" w:eastAsia="仿宋" w:cs="宋体"/>
          <w:kern w:val="0"/>
          <w:sz w:val="32"/>
          <w:szCs w:val="32"/>
        </w:rPr>
        <w:t>20.承办县委、县政府和上级公安机关交办的其他事项。</w:t>
      </w:r>
    </w:p>
    <w:p w14:paraId="580330E4">
      <w:pPr>
        <w:spacing w:line="560" w:lineRule="exact"/>
        <w:rPr>
          <w:rFonts w:hint="eastAsia" w:ascii="仿宋" w:hAnsi="仿宋" w:eastAsia="仿宋" w:cs="宋体"/>
          <w:kern w:val="0"/>
          <w:sz w:val="32"/>
          <w:szCs w:val="32"/>
        </w:rPr>
      </w:pPr>
    </w:p>
    <w:p w14:paraId="0B4DC7C2">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（三）工作保障措施</w:t>
      </w:r>
    </w:p>
    <w:p w14:paraId="73FAA826">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1、落实执行“十四五”装备基础建设规划纲要。根据省公安厅装备建设要求，进一步健全应急装备物资的储备更新机制，对现有装备开展常态检查，淘汰落后警用装备，及时维护并更新，不断提升装备质量、完善装备种类、提高装备科技含量，保障公安机关工作需要。</w:t>
      </w:r>
    </w:p>
    <w:p w14:paraId="202B5CE3">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2、建立高效指挥体系，实施扁平化调度，提升快速处警能力。逐步更新指挥调度系统、视频会议系统；不断加强交警大队、特警大队、巡警大队警力整合力度，实行车巡、步巡、天网巡三结合的“大巡控”工作模式，逐步提升城区街面治安、交通管控能力。</w:t>
      </w:r>
    </w:p>
    <w:p w14:paraId="6804000B">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3、加大案件侦破力度。坚持命案必破理念，进一步完善全警联动、网上串并等命案侦破机制，按照配备标准逐步提高刑事技术装备质量，全面叫响宁晋命案侦破品牌；深入开展严打整治行动、“两抢一盗”、非法集资、新型电信诈骗等专项行动，让人民群众在破案追赃中看到公安机关维护社会稳定的决心和严惩犯罪的实质行动;加大网上逃犯抓逃力度，尤其针对外地逃犯要坚持网上网下巡查，技侦技术协作工作机制，力争实现逃犯在侦、在控。充分发挥y库建设，为打击侦破各类违法犯罪提供有力保障。</w:t>
      </w:r>
    </w:p>
    <w:p w14:paraId="57BD3659">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4、做好社会治安防控。通过全县84个小区智慧安防建设、管理平台搭建，不断提升社会治安防控能力。积极开展“网格化大排查”，积极开展烟花爆竹排查、法轮功等邪教分子排查、群体性隐患排查等行动；积极做好“两会、暑期安保”等安全保卫工作；理顺驻京工作队工作机制，开展信访人稳控、劝返任务，打造环京安全屏障，消除治安隐患；做强群防群治，积极物建群治力量，在有条件的社区、村镇安装防控联控视频监控设备，打造样板社区、样板村镇；加大食品药品犯罪领域案件侦破力度，保障群众舌尖上的安全。根据县局大巡控体系部署，不断提升巡逻装备水平，做好民警巡逻防护，不断加强敏感期、案件高发期巡逻密度，提升城区居民安全感和满意度。不断加强对政府机关、金融网点、油、电、气等部门的安全指导力度，提升安全自查水平。</w:t>
      </w:r>
    </w:p>
    <w:p w14:paraId="2177E1BF">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5、积极开展禁毒人民斗争。开展缉毒执法专项行动，打击各类吸贩毒行为，净化社会环境；严厉打击种植毒品行为，实现我县禁绝非法种植毒品原植物目标；扩大宣传范围，加大宣传力度，最大限度让群众知晓毒品危害。常态化开展走进社区、走进校园、走进机关等活动，开展禁毒知识讲座。</w:t>
      </w:r>
    </w:p>
    <w:p w14:paraId="69ADE198">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6、加大环境违法犯罪打击力度。加大环境安全违法犯罪线索的摸排力度，扩大案件来源，积极配合相关部门开展环境安全检查，对环境污染行为绝不姑息迁就，一律顶格处理。购置涉环境违法犯罪相关检测设备，水质采集器、便携式毒害气体检测仪、土壤重金属检测仪、多参数水质分析仪等，进一步理顺污染环境犯罪送检机制。</w:t>
      </w:r>
    </w:p>
    <w:p w14:paraId="21A0A19E">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7、创新交通管理机制。加大全县范围内交通治理力度，实现控事故、保稳定工作目标。对重点国省道，着手建设道路监控设备。完善更新现有道路标识标牌。</w:t>
      </w:r>
    </w:p>
    <w:p w14:paraId="01127159">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8、做好派出所基层基础建设。及时对基层设施进行改建维护，争取建设项目立项及申报资金。</w:t>
      </w:r>
    </w:p>
    <w:p w14:paraId="08D192CA">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9、加强网络侦控力度。加大互联网舆情分析系统及高科技设备的投入，落实无线上网定位设备购置，全时段关注网民动态，及时做好网上封控疏导工作。</w:t>
      </w:r>
    </w:p>
    <w:p w14:paraId="4A3DAF9C">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10、做好天网一期、二期、三期工程运维工作，提升农村科技防范水平。加快城区电子围栏建设，做好视频侦查设备配备、视频侦查系统建设，全面提升案件侦破力度。利用警用数字集群（PDT）通信系统，进一步完善指挥调度机制。</w:t>
      </w:r>
    </w:p>
    <w:p w14:paraId="74FA0337">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11、推进执法规范化建设。建设高质量、高标准执法办案中心，全面提升执法效能。延伸办案区升级改造建设，对部分派出所办案区进行升级改造，最大限度提升办案水平。按照网上执法办案系统建设要求，配足硬件、做强软件，确保系统正常运转。完善网上执法考核措施，强化网上审批监督能力;加强执法理念教育，从源头上理性严格执法，严防涉法涉诉问题发生。</w:t>
      </w:r>
    </w:p>
    <w:p w14:paraId="5B13B276">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12、积极推行“外网受理、内网办理”的模式。加大服务大厅规范改造建设，打造全天候、全流程方便群众办理各项业务。免费为群众办理户口准迁、户口本更换、居住证办理等业务，增加二代身份证信息采集系统的配备数量、自助满意拍，临时身份证立等可取设备、身份证、港澳通行证自助办理机，完成出入境系统升级改造。借力移动、联通、电信运营平台，对办事群众、案件当事人进行短信回访。做好外国人遣送出境工作，做好涉外婚姻管理，做好涉外人员案件办理工作。</w:t>
      </w:r>
    </w:p>
    <w:p w14:paraId="464AEB88">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13、加大从优待警工作力度。完善民警健康体检，逐步提升基层民警生活、住宿水平，对援疆支暑民警进行慰问，改善基层民警的生活、办公环境。按照公安部建设标准，迅速开展民警休息用房摸底调查，在原有基础上提升建设标准，达到建设要求。</w:t>
      </w:r>
    </w:p>
    <w:p w14:paraId="3136E5AE">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14、加强民警业务培训。加强民警业务技能训练，扎实开展春训秋考、防汛抗旱、反恐演练、处突演练、技战术演练等训练科目，邀请省厅、市局相关业务专家针对暑期安保、专项安保等开展现场授课。完善民警（辅警）服装配备、武器弹药配备和民警个人防护装备配备工作。</w:t>
      </w:r>
    </w:p>
    <w:p w14:paraId="26BAF772">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15、按照省厅市局统一部署，制定切实有效的辅警管理办法，落实省市下达的辅警相关待遇，激发辅警工作积极性，提升工作效能。</w:t>
      </w:r>
    </w:p>
    <w:p w14:paraId="3CFC71BD">
      <w:pPr>
        <w:spacing w:line="560" w:lineRule="exact"/>
        <w:rPr>
          <w:rFonts w:hint="eastAsia" w:ascii="仿宋" w:hAnsi="仿宋" w:eastAsia="仿宋" w:cs="宋体"/>
          <w:kern w:val="0"/>
          <w:sz w:val="32"/>
          <w:szCs w:val="32"/>
        </w:rPr>
      </w:pPr>
    </w:p>
    <w:p w14:paraId="3CBB7C34">
      <w:pPr>
        <w:spacing w:line="560" w:lineRule="exact"/>
        <w:rPr>
          <w:rFonts w:hint="eastAsia" w:ascii="仿宋" w:hAnsi="仿宋" w:eastAsia="仿宋" w:cs="宋体"/>
          <w:kern w:val="0"/>
          <w:sz w:val="32"/>
          <w:szCs w:val="32"/>
        </w:rPr>
        <w:sectPr>
          <w:headerReference r:id="rId3" w:type="default"/>
          <w:headerReference r:id="rId4" w:type="even"/>
          <w:pgSz w:w="16838" w:h="11906" w:orient="landscape"/>
          <w:pgMar w:top="1758" w:right="1440" w:bottom="1758" w:left="1440" w:header="851" w:footer="992" w:gutter="0"/>
          <w:cols w:space="425" w:num="1"/>
          <w:docGrid w:type="linesAndChars" w:linePitch="312" w:charSpace="0"/>
        </w:sectPr>
      </w:pPr>
    </w:p>
    <w:p w14:paraId="39287AFF">
      <w:pPr>
        <w:numPr>
          <w:ilvl w:val="0"/>
          <w:numId w:val="2"/>
        </w:numPr>
        <w:ind w:firstLine="640"/>
        <w:rPr>
          <w:rFonts w:hint="eastAsia" w:ascii="仿宋" w:hAnsi="仿宋" w:eastAsia="仿宋" w:cs="仿宋"/>
          <w:b/>
          <w:color w:val="000000"/>
          <w:sz w:val="32"/>
        </w:rPr>
      </w:pPr>
      <w:r>
        <w:rPr>
          <w:rFonts w:hint="eastAsia" w:ascii="仿宋" w:hAnsi="仿宋" w:eastAsia="仿宋" w:cs="仿宋"/>
          <w:b/>
          <w:color w:val="000000"/>
          <w:sz w:val="32"/>
        </w:rPr>
        <w:t xml:space="preserve"> 预算项目绩效目标</w:t>
      </w:r>
    </w:p>
    <w:p w14:paraId="06C6D607">
      <w:pPr>
        <w:widowControl w:val="0"/>
        <w:numPr>
          <w:ilvl w:val="0"/>
          <w:numId w:val="0"/>
        </w:numPr>
        <w:jc w:val="both"/>
        <w:rPr>
          <w:rFonts w:hint="eastAsia" w:ascii="仿宋" w:hAnsi="仿宋" w:eastAsia="仿宋" w:cs="仿宋"/>
          <w:b/>
          <w:color w:val="000000"/>
          <w:sz w:val="32"/>
        </w:rPr>
      </w:pPr>
    </w:p>
    <w:p w14:paraId="21107323">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p>
    <w:p w14:paraId="10BFFE40">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1.2022年大曹庄辅警人员劳务费绩效目标表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4910B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32060C81">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306D7D6D">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6AB41C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6B419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DBC91C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13052822P000772100015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B8341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5E3E616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2022年大曹庄辅警人员劳务费</w:t>
            </w:r>
          </w:p>
        </w:tc>
      </w:tr>
      <w:tr w14:paraId="401B88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594097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11572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D5E60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32.40</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89746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92F88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32.40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0E49B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ECEB2E">
            <w:pPr>
              <w:pStyle w:val="17"/>
              <w:keepNext w:val="0"/>
              <w:keepLines w:val="0"/>
              <w:widowControl/>
              <w:suppressLineNumbers w:val="0"/>
              <w:rPr>
                <w:rFonts w:hint="default" w:ascii="方正书宋_GBK" w:hAnsi="方正书宋_GBK" w:eastAsia="方正书宋_GBK" w:cs="方正书宋_GBK"/>
                <w:sz w:val="21"/>
                <w:szCs w:val="21"/>
              </w:rPr>
            </w:pPr>
          </w:p>
        </w:tc>
      </w:tr>
      <w:tr w14:paraId="0791D3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9AD1CE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5E6250E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大曹庄辅警人员劳务费</w:t>
            </w:r>
          </w:p>
        </w:tc>
      </w:tr>
      <w:tr w14:paraId="73BCEA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EAA0EF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9EC4C5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82B4C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8D6BF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96A51C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611588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8C912F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997F320">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8D6ADE">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80732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C460082">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0E5430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7286C52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56E2E61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1.保障单位人员工资及时准确发放</w:t>
            </w:r>
          </w:p>
        </w:tc>
      </w:tr>
    </w:tbl>
    <w:p w14:paraId="4A126D9B">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798A3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0CF12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1BF35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92D0B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F0A97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492C4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99261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62DB2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2C94C3F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7BAD6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4D598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保障单位人员工资发放人数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6FFF3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保证单位人员工资发放的人数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6798D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＝18人数</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E4615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50C27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D66977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B3E8D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2B377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工资发放计算准确率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9A277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实际发放工资额/应发放工资额*100%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870F6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C818B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44ABB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2BACAC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3749F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A4EFD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按政策按时发放到位率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BB8EC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实际按规定发放时间次数/全部发放次数*100%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71DBF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8DFEA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62393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FA001C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016A4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605A3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工资成本</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BA93D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人均经费达到政策要求</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15296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≥5000元/月</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2791C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117D4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9778B54">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2F914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6B0FE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DAE16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职工对工资发放工作的评价</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C8469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AC6DE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r w14:paraId="5BBA3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7E87F7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D5D3D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54BA2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D463E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重点工作完成的占全部重点工作的比重</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FBBD2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D9844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年初工作计划</w:t>
            </w:r>
          </w:p>
        </w:tc>
      </w:tr>
      <w:tr w14:paraId="74945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5BCC1A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37877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7A508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年终考核成绩</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E17A1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单位人员年终考核成绩</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073BF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F2D0A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323AD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FC78FC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D433D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C7729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生态保护影响力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2BDF9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促进本单位持续、稳定发展</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C3DD9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8CFD1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345CD3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7BC1E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81F8A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322D1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3B793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18FAB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BC750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bl>
    <w:p w14:paraId="6B40E5DD">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53A76108">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100DEB71">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2.2022年段志林、贾小偶两人一次性抚恤金及丧葬费绩效目标表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A1A13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0CBB2A91">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18774505">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7F61DB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A49C9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53BAAE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13052822P00070110001W</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3BE15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1390C1C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2022年段志林、贾小偶两人一次性抚恤金及丧葬费</w:t>
            </w:r>
          </w:p>
        </w:tc>
      </w:tr>
      <w:tr w14:paraId="0FEC18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059E87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75D0A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5BA25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39.50</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74E66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8AFC6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39.50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3E421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93F9D4">
            <w:pPr>
              <w:pStyle w:val="17"/>
              <w:keepNext w:val="0"/>
              <w:keepLines w:val="0"/>
              <w:widowControl/>
              <w:suppressLineNumbers w:val="0"/>
              <w:rPr>
                <w:rFonts w:hint="default" w:ascii="方正书宋_GBK" w:hAnsi="方正书宋_GBK" w:eastAsia="方正书宋_GBK" w:cs="方正书宋_GBK"/>
                <w:sz w:val="21"/>
                <w:szCs w:val="21"/>
              </w:rPr>
            </w:pPr>
          </w:p>
        </w:tc>
      </w:tr>
      <w:tr w14:paraId="06737D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8C14BA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5CFC725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段志林、贾小偶两人一次性抚恤金</w:t>
            </w:r>
          </w:p>
        </w:tc>
      </w:tr>
      <w:tr w14:paraId="5AB2E0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57E884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8F872D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1A544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D11C3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C51736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3B980D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DF8A90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B65441E">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946330">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178C0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C3C9D6E">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426066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735088D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2960ED9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1.优抚退休人员</w:t>
            </w:r>
          </w:p>
        </w:tc>
      </w:tr>
    </w:tbl>
    <w:p w14:paraId="79DFDB40">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02EA8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C5A6B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EC256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6E382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B653E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40CF7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A7510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6169C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D153D0E">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DCF62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E90D4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保障单位人员工资发放人数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09F04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保证单位人员工资发放的人数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ACEC1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＝2人数</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557FC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421DA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1AE0FC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B5715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1857B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工资发放计算准确率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40BD4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实际发放工资额/应发放工资额*100%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A342B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4A288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504673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E029F6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67B4A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BBEEC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按政策按时发放到位率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FB791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实际按规定发放时间次数/全部发放次数*100%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70489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1697E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51E6A7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3CA741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E2B2F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822D8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工资成本</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ED3FB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人均经费达到政策要求</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F2FF4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≥5000元/月</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D887F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7437F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548A80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7E57C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9AFE3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6243B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职工对工资发放工作的评价</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AC5CA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2E042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r w14:paraId="359BD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AC839A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0DF2F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FCDA3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BA5EC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重点工作完成的占全部重点工作的比重</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F5015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2E48B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年初工作计划</w:t>
            </w:r>
          </w:p>
        </w:tc>
      </w:tr>
      <w:tr w14:paraId="503BDE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DBBCF5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0853F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6680F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年终考核成绩</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E10BD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单位人员年终考核成绩</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72932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73219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1508F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0E6749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FFABA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B73A9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生态保护影响力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EF99F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促进本单位持续、稳定发展</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52BD5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0DFA9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16E2A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0BBEE2">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287F8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3DF7D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29FF5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21228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83D6F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bl>
    <w:p w14:paraId="1CC7FADE">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01BC1BD0">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6FC58F73">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3.2022年劳务派遣人员劳务费绩效目标表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263A5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1273DEEF">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5F9FB4FD">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3544B5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738AE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0E16FC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13052822P00077110001F</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1D44B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25843CD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2022年劳务派遣人员劳务费</w:t>
            </w:r>
          </w:p>
        </w:tc>
      </w:tr>
      <w:tr w14:paraId="0E44D6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A9A001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A8F8D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23FA7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304.05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A80AF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4D4C7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304.05</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E1A23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A6C141">
            <w:pPr>
              <w:pStyle w:val="17"/>
              <w:keepNext w:val="0"/>
              <w:keepLines w:val="0"/>
              <w:widowControl/>
              <w:suppressLineNumbers w:val="0"/>
              <w:rPr>
                <w:rFonts w:hint="default" w:ascii="方正书宋_GBK" w:hAnsi="方正书宋_GBK" w:eastAsia="方正书宋_GBK" w:cs="方正书宋_GBK"/>
                <w:sz w:val="21"/>
                <w:szCs w:val="21"/>
              </w:rPr>
            </w:pPr>
          </w:p>
        </w:tc>
      </w:tr>
      <w:tr w14:paraId="7CAA99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1EA3CD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51CA5B7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劳务派遣人员劳务费</w:t>
            </w:r>
          </w:p>
        </w:tc>
      </w:tr>
      <w:tr w14:paraId="03D97C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0F8C51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899B9E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57314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B6D18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AB4869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795E1A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0B85C8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AE9358E">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17A7D8">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856E8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8198DC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7CCEBC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15B06A1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398E5C9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1.保障单位人员工资及时准确发放</w:t>
            </w:r>
          </w:p>
        </w:tc>
      </w:tr>
    </w:tbl>
    <w:p w14:paraId="7DAE9A1E">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5D537C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CD3FC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EA633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87FC1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650CC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3E229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0D3EF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550445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632B45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1BFFC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25BB0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保障单位人员工资发放人数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599FF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保证单位人员工资发放的人数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687FC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＝64人数</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E0765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6E1E6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DEF851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BF0D7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595F2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工资发放计算准确率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B1909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实际发放工资额/应发放工资额*100%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A9094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1B192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4099A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C0A884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4D60D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69030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按政策按时发放到位率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333C4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实际按规定发放时间次数/全部发放次数*100%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1CE64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8BB53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52DF8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F38396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BF518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3F95A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工资成本</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2EA7A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人均经费达到政策要求</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3F2E3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≥5000元/月</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CA3A4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4067C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A68384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FC6B5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FBFA1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B9361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职工对工资发放工作的评价</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8D01C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0928A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r w14:paraId="03C659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1E0F3F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158C2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49D22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2C31E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重点工作完成的占全部重点工作的比重</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E3B17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E22B1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年初工作计划</w:t>
            </w:r>
          </w:p>
        </w:tc>
      </w:tr>
      <w:tr w14:paraId="1A253F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FCF221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B66C9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ECC1F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年终考核成绩</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C4656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单位人员年终考核成绩</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CA80F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E5258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35087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276D50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610D2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7D9EE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生态保护影响力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DF0F6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促进本单位持续、稳定发展</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9CEDA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A73EE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432BC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4C9E66">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0B800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5BF8B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43D46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2C666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160EF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bl>
    <w:p w14:paraId="527ED9D7">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018ABE28">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3CD4C7F5">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4.2022年李殿奎、戴国华、刘林科一次性抚恤金及丧葬费绩效目标表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1C7B2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34540ACE">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7CEAB8F7">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409302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44F46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F39E01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13052822P00108610001F</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8F1B1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3105E54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2022年李殿奎、戴国华、刘林科一次性抚恤金及丧葬费</w:t>
            </w:r>
          </w:p>
        </w:tc>
      </w:tr>
      <w:tr w14:paraId="04A2A1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953338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C556A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8B0E1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60.78</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553A9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9363E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60.78</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9493C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6BC30E">
            <w:pPr>
              <w:pStyle w:val="17"/>
              <w:keepNext w:val="0"/>
              <w:keepLines w:val="0"/>
              <w:widowControl/>
              <w:suppressLineNumbers w:val="0"/>
              <w:rPr>
                <w:rFonts w:hint="default" w:ascii="方正书宋_GBK" w:hAnsi="方正书宋_GBK" w:eastAsia="方正书宋_GBK" w:cs="方正书宋_GBK"/>
                <w:sz w:val="21"/>
                <w:szCs w:val="21"/>
              </w:rPr>
            </w:pPr>
          </w:p>
        </w:tc>
      </w:tr>
      <w:tr w14:paraId="020094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6BA0C7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320BC92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支付一次性抚恤金</w:t>
            </w:r>
          </w:p>
        </w:tc>
      </w:tr>
      <w:tr w14:paraId="1ACD0D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2DCDB50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0CDC9C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975C1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79D5E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A05147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5EF1B1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7E71CE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3E6C9D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7DF7A0">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C2D042">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532F946">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2A9BDE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33C956C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74F3927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1.优抚退休人员</w:t>
            </w:r>
          </w:p>
        </w:tc>
      </w:tr>
    </w:tbl>
    <w:p w14:paraId="0C8649B7">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5E19D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66099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E0E82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B8A48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72657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7E48A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3ED58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0F9D3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AE258E0">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D4104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0B80A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保障单位人员工资发放人数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E1308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保证单位人员工资发放的人数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5282A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＝3人数</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6FBB1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0A9E1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5E3107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9D8F3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25112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工资发放计算准确率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F43C5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实际发放工资额/应发放工资额*100%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A439E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3B1F3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4EA0C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B57B2D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6D3EE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114DA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按政策按时发放到位率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62DB5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实际按规定发放时间次数/全部发放次数*100%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EE82C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FDF42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19D12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72E158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A68E1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CD2C9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工资成本</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82F5C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人均经费达到政策要求</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08267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≥5000元/月</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B6E45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26807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F2E40F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9CE10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107DA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DECF1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职工对工资发放工作的评价</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1E577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F5B63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r w14:paraId="6624D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A560F8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1AF9A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B480D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1DDA0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重点工作完成的占全部重点工作的比重</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C2FBE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BC664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年初工作计划</w:t>
            </w:r>
          </w:p>
        </w:tc>
      </w:tr>
      <w:tr w14:paraId="7490F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01E15C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2F896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1CFF0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年终考核成绩</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2BD8C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单位人员年终考核成绩</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FF831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3320A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7D6AE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293C24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9A488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262EB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生态保护影响力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6EEC8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促进本单位持续、稳定发展</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FF286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7976F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78CEA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28847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05E82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1F4E3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CB957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C289F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C04BB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bl>
    <w:p w14:paraId="20767D30">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084890AA">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71716879">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5.2022年民警加班津贴绩效目标表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33DF5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1D347CA5">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072AE4F9">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0B1F6A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69522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519B17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13052822P00076310001K</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82D58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4212F46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2022年民警加班津贴</w:t>
            </w:r>
          </w:p>
        </w:tc>
      </w:tr>
      <w:tr w14:paraId="206544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422038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11F23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59DF0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259.01</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9FDFE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98BD1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259.01</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576BA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F2AFAF">
            <w:pPr>
              <w:pStyle w:val="17"/>
              <w:keepNext w:val="0"/>
              <w:keepLines w:val="0"/>
              <w:widowControl/>
              <w:suppressLineNumbers w:val="0"/>
              <w:rPr>
                <w:rFonts w:hint="default" w:ascii="方正书宋_GBK" w:hAnsi="方正书宋_GBK" w:eastAsia="方正书宋_GBK" w:cs="方正书宋_GBK"/>
                <w:sz w:val="21"/>
                <w:szCs w:val="21"/>
              </w:rPr>
            </w:pPr>
          </w:p>
        </w:tc>
      </w:tr>
      <w:tr w14:paraId="0A81EF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4CFCF6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211055E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2022年民警加班津贴</w:t>
            </w:r>
          </w:p>
        </w:tc>
      </w:tr>
      <w:tr w14:paraId="566831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16696E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8BB00C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3D0C4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928C7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BF732E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20BC8F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44FFC0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2694A12">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D3674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F761F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C9AAE8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0789E0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49CFF5C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1DBD4FA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1.保障单位人员工资及时准确发放</w:t>
            </w:r>
          </w:p>
        </w:tc>
      </w:tr>
    </w:tbl>
    <w:p w14:paraId="46D3E96C">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4CBF7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D3B23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BEFA86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5807B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5AD18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742C4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4650C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06B3B4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3174860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28D8C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71AEA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保障单位人员工资发放人数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CBAF2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保证单位人员工资发放的人数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51780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＝304人数</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55424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567B9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508189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427C5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BDE4B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工资发放计算准确率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220F5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实际发放工资额/应发放工资额*100%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67252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8A325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2177E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FFD573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3098B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89450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按政策按时发放到位率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C8151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实际按规定发放时间次数/全部发放次数*100%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2C672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4CDC8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7A07E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01A1E1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E35B3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BE10D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工资成本</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50DF7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人均经费达到政策要求</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E0074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≥5000元/月</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D7232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3E8A0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34CB5E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4F5EE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5969F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37A77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职工对工资发放工作的评价</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EDEFB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8D144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r w14:paraId="02143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873BC1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D09B3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94B1A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49DBE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重点工作完成的占全部重点工作的比重</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0B9EB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A714D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年初工作计划</w:t>
            </w:r>
          </w:p>
        </w:tc>
      </w:tr>
      <w:tr w14:paraId="3DCAD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8AC8DE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978F1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BFADA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年终考核成绩</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21C36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单位人员年终考核成绩</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17925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C395F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6AE05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350748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B84E7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1E2A8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生态保护影响力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E7336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促进本单位持续、稳定发展</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62CD9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CBD05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10F17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65687A">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B9133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04604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6023A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BB124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E481A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bl>
    <w:p w14:paraId="36E9FC3E">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6DC60A63">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69C41844">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6.2022年民警执勤津贴绩效目标表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517C2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1B80F60E">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52E05099">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4F9DD2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35DA9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3769B6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13052822P000764100019</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DACCC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7F78895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2022年民警执勤津贴</w:t>
            </w:r>
          </w:p>
        </w:tc>
      </w:tr>
      <w:tr w14:paraId="345812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2104333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F3ECD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265AB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353.13</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17DD3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EF530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353.13</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1906C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247311">
            <w:pPr>
              <w:pStyle w:val="17"/>
              <w:keepNext w:val="0"/>
              <w:keepLines w:val="0"/>
              <w:widowControl/>
              <w:suppressLineNumbers w:val="0"/>
              <w:rPr>
                <w:rFonts w:hint="default" w:ascii="方正书宋_GBK" w:hAnsi="方正书宋_GBK" w:eastAsia="方正书宋_GBK" w:cs="方正书宋_GBK"/>
                <w:sz w:val="21"/>
                <w:szCs w:val="21"/>
              </w:rPr>
            </w:pPr>
          </w:p>
        </w:tc>
      </w:tr>
      <w:tr w14:paraId="23079D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AAED16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7830BAB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民警执勤津帖</w:t>
            </w:r>
          </w:p>
        </w:tc>
      </w:tr>
      <w:tr w14:paraId="5B5CEC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DE8702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A2BC6D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724F3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305A6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F83CD4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78FBC3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D0CC9E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5AA2A8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BD8A78">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5E91E0">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87572F6">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2FEBC9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1AFB499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2A0AA4C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1.保障单位人员津贴及时准确发放</w:t>
            </w:r>
          </w:p>
        </w:tc>
      </w:tr>
    </w:tbl>
    <w:p w14:paraId="09BF672F">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6D19E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AC2EE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578A1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C9832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DE811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4DD58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88A65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7AB1D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B6992C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D6F79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DC62C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保障单位人员工资发放人数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C306D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保证单位人员工资发放的人数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533DA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＝304人数</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35570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5324CE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5F6FF7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816F6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D6C42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工资发放计算准确率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61424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实际发放工资额/应发放工资额*100%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641AC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0CD9C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64C78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696D65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8A411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34EF3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按政策按时发放到位率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0F8EB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实际按规定发放时间次数/全部发放次数*100%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A71B0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15088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2313A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511FFD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378A6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A4496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工资成本</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C2F79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人均经费达到政策要求</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E9EFE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≥5000元/月</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9F198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1B1C3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B6FCF0F">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703D0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1AC77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90805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职工对工资发放工作的评价</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1188A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2D4A7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r w14:paraId="4FD6F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220D7D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CF667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D7689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B959E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重点工作完成的占全部重点工作的比重</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B3254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C8D49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年初工作计划</w:t>
            </w:r>
          </w:p>
        </w:tc>
      </w:tr>
      <w:tr w14:paraId="01C9F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1BAAD8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AA5A3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02E83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年终考核成绩</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90755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单位人员年终考核成绩</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8A489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588F1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274E29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C2297F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61490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114F6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生态保护影响力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D3D56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促进本单位持续、稳定发展</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556E7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30A5C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7D00A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73E1F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3DB9E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954F9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2105C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CFC06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922E0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bl>
    <w:p w14:paraId="04DFF777">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21D8400E">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2AE113CF">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7.2022年人事代理人员劳务费绩效目标表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C7DAE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17FBDE20">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49C3AFF7">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3F8FDD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84B37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AEEDA0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13052822P00076710001A</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44ECC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3106103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2022年人事代理人员劳务费</w:t>
            </w:r>
          </w:p>
        </w:tc>
      </w:tr>
      <w:tr w14:paraId="2AACB7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4075B9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A3B9E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322D3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230.42</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F2476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B567F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230.42</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54AA4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1B5E3F">
            <w:pPr>
              <w:pStyle w:val="17"/>
              <w:keepNext w:val="0"/>
              <w:keepLines w:val="0"/>
              <w:widowControl/>
              <w:suppressLineNumbers w:val="0"/>
              <w:rPr>
                <w:rFonts w:hint="default" w:ascii="方正书宋_GBK" w:hAnsi="方正书宋_GBK" w:eastAsia="方正书宋_GBK" w:cs="方正书宋_GBK"/>
                <w:sz w:val="21"/>
                <w:szCs w:val="21"/>
              </w:rPr>
            </w:pPr>
          </w:p>
        </w:tc>
      </w:tr>
      <w:tr w14:paraId="3A2002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DF2AF6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28EC24C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人事代理人员劳务费</w:t>
            </w:r>
          </w:p>
        </w:tc>
      </w:tr>
      <w:tr w14:paraId="57A4C4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E3475E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FCF22D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61660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9440A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2E0425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49252A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6BF597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4A7690F">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E2AB49">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A060F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0AD1A8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33C901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27C4EB6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2FF7A4C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1.保障单位人员工资及时准确发放</w:t>
            </w:r>
          </w:p>
        </w:tc>
      </w:tr>
    </w:tbl>
    <w:p w14:paraId="7DB0F777">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683A7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CB805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D1BA9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1B738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4458A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105D5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05EA6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50DD5A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2C1207D9">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E4603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8D69F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保障单位人员工资发放人数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44C02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保证单位人员工资发放的人数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FD64C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＝45人数</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90CFF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49CDA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8F8929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302CD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8CA85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工资发放计算准确率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B55B1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实际发放工资额/应发放工资额*100%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99353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D486D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2A934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DBCD94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3B230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CB108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按政策按时发放到位率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25779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实际按规定发放时间次数/全部发放次数*100%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179BF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F884D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41400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7EC543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95861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FF230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工资成本</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740A3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人均经费达到政策要求</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B38BF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≥5000元/月</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0D91E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2C244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0BAFB48">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60E7A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C75B1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032C1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职工对工资发放工作的评价</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CD84B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41F97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r w14:paraId="78F2C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48A98C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E358A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FE78F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3BFA6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重点工作完成的占全部重点工作的比重</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C30FA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051A3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年初工作计划</w:t>
            </w:r>
          </w:p>
        </w:tc>
      </w:tr>
      <w:tr w14:paraId="388A9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BD9463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5E1B0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2298E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年终考核成绩</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73813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单位人员年终考核成绩</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92C58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67970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508FB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AC6428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D2BFD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B42A2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生态保护影响力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C4975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促进本单位持续、稳定发展</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1EA8D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6E320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08C97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8D212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42C62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06965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CAC31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FA898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E7811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bl>
    <w:p w14:paraId="216839E6">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6F7B9E57">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628E3DC1">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8.2022年涉军安置人员劳务费绩效目标表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093FA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3FCA48EB">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06E7D343">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4A78A4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FCB8F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4159AA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13052822P00076910001M</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EA671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370BA7B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2022年涉军安置人员劳务费</w:t>
            </w:r>
          </w:p>
        </w:tc>
      </w:tr>
      <w:tr w14:paraId="50F08C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2FBD7B8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81EA8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1DF4A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267.89</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0028B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6BB76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267.89</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44C09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351323">
            <w:pPr>
              <w:pStyle w:val="17"/>
              <w:keepNext w:val="0"/>
              <w:keepLines w:val="0"/>
              <w:widowControl/>
              <w:suppressLineNumbers w:val="0"/>
              <w:rPr>
                <w:rFonts w:hint="default" w:ascii="方正书宋_GBK" w:hAnsi="方正书宋_GBK" w:eastAsia="方正书宋_GBK" w:cs="方正书宋_GBK"/>
                <w:sz w:val="21"/>
                <w:szCs w:val="21"/>
              </w:rPr>
            </w:pPr>
          </w:p>
        </w:tc>
      </w:tr>
      <w:tr w14:paraId="4557CC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A283E4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6F0533C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涉军安置人员劳务费</w:t>
            </w:r>
          </w:p>
        </w:tc>
      </w:tr>
      <w:tr w14:paraId="12C023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C9B61B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C6936B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19D23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215B8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C2EB22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685F4D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9280DD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BAD02BE">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C45DF9">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D1BF8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1EF52C9">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6488D1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151A8AE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69197A0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1.保障单位人员工资及时准确发放</w:t>
            </w:r>
          </w:p>
        </w:tc>
      </w:tr>
    </w:tbl>
    <w:p w14:paraId="1E4160B7">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06281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B7E94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FC540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B3C39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22760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136FE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736F8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78E09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E0B730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3FF7E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777CE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保障单位人员工资发放人数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A00EA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保证单位人员工资发放的人数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5011D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＝41人数</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BCC3D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048AC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C52DF2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7E7C2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D4A78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工资发放计算准确率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2EB42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实际发放工资额/应发放工资额*100%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3D06A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D0507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382B2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77F295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BBB80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9B371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按政策按时发放到位率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9EA89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实际按规定发放时间次数/全部发放次数*100%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EA31C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1D362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03539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A72D77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1F62E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A89AE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工资成本</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D8482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人均经费达到政策要求</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57D58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≥5000元/月</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985BF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453C92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C6CFB4E">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48DA8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8ACE2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850D8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职工对工资发放工作的评价</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8B40B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9C8CD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r w14:paraId="6E78D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9D4C52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1FDFF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9CE3F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2DA1E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重点工作完成的占全部重点工作的比重</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EE1CC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CB445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年初工作计划</w:t>
            </w:r>
          </w:p>
        </w:tc>
      </w:tr>
      <w:tr w14:paraId="238C22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9ABC29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07119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7E98F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年终考核成绩</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4875D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单位人员年终考核成绩</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1509C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56049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1B823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4694BD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8D5E3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FAD60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生态保护影响力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25C84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促进本单位持续、稳定发展</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91D19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60ACF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1D829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E871D0">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3CAD4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2FB8B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9A368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BE896A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EA399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bl>
    <w:p w14:paraId="59BC0D6E">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59E3BAFB">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16C0EC0F">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9.2022年事业人员劳务费绩效目标表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8A2CD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54B7CDE3">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36FDAD3C">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4F85BA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DE929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2EEE02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13052822P000768100010</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E113A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096FD65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2022年事业人员劳务费</w:t>
            </w:r>
          </w:p>
        </w:tc>
      </w:tr>
      <w:tr w14:paraId="343E67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38B4D8F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6F8EC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7C8E1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458.26</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21F0C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0B33D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458.26</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91144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12FFF8">
            <w:pPr>
              <w:pStyle w:val="17"/>
              <w:keepNext w:val="0"/>
              <w:keepLines w:val="0"/>
              <w:widowControl/>
              <w:suppressLineNumbers w:val="0"/>
              <w:rPr>
                <w:rFonts w:hint="default" w:ascii="方正书宋_GBK" w:hAnsi="方正书宋_GBK" w:eastAsia="方正书宋_GBK" w:cs="方正书宋_GBK"/>
                <w:sz w:val="21"/>
                <w:szCs w:val="21"/>
              </w:rPr>
            </w:pPr>
          </w:p>
        </w:tc>
      </w:tr>
      <w:tr w14:paraId="2C53E0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B036A7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2FDEE7E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事业人员劳务费</w:t>
            </w:r>
          </w:p>
        </w:tc>
      </w:tr>
      <w:tr w14:paraId="27971C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07FBAE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5555DB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CE44F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0883A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7A6DB9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37D8CE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AB8646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39A8D9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A1273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E6D9FE">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A63046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2C05A1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0236772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0AE9EAE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1.保障单位人员工资及时准确发放</w:t>
            </w:r>
          </w:p>
        </w:tc>
      </w:tr>
    </w:tbl>
    <w:p w14:paraId="16051D4D">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78A69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84391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607CF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12084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99129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10DED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FDE60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4D438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39BE6DE4">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3D052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979E8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保障单位人员工资发放人数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FE72C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保证单位人员工资发放的人数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910BA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＝59人数</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4A7D1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1D059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D7BB8E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AB062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D1443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工资发放计算准确率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3B8FB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实际发放工资额/应发放工资额*100%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1AA35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8C495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69574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38068A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2B306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65BF9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按政策按时发放到位率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B7E57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实际按规定发放时间次数/全部发放次数*100%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CF9C3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B5B7DF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15F0F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5B73C8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76501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0F004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工资成本</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C471D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人均经费达到政策要求</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5994E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≥5000元/月</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DABF8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22002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4C07784">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B7CA8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2CEBD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9DC3D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职工对工资发放工作的评价</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3A94C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D6A77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r w14:paraId="62E9D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1260C2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7DCAB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E8899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42D42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重点工作完成的占全部重点工作的比重</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00F8A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B73CE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年初工作计划</w:t>
            </w:r>
          </w:p>
        </w:tc>
      </w:tr>
      <w:tr w14:paraId="15EB65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C0FABE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DA866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A0714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年终考核成绩</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34495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单位人员年终考核成绩</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D3C41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D9A3A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223C7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19D85E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0D9B3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EEE0F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生态保护影响力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32ABC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促进本单位持续、稳定发展</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E4E1F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5A20F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767A1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83656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FF647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50328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F2356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71CD9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1D1F6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bl>
    <w:p w14:paraId="0330A80B">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0BF01D2D">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47BE5997">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10.2022年特警人员劳务费绩效目标表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C8032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0DCDE15A">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4C9F0097">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74B7EC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3F4E1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3296C7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13052822P00076610001L</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DB385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7623071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2022年特警人员劳务费</w:t>
            </w:r>
          </w:p>
        </w:tc>
      </w:tr>
      <w:tr w14:paraId="67EA08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2031359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ADABD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607B3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152.37</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6D481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1C9CA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152.37</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0F4F3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15C7C5">
            <w:pPr>
              <w:pStyle w:val="17"/>
              <w:keepNext w:val="0"/>
              <w:keepLines w:val="0"/>
              <w:widowControl/>
              <w:suppressLineNumbers w:val="0"/>
              <w:rPr>
                <w:rFonts w:hint="default" w:ascii="方正书宋_GBK" w:hAnsi="方正书宋_GBK" w:eastAsia="方正书宋_GBK" w:cs="方正书宋_GBK"/>
                <w:sz w:val="21"/>
                <w:szCs w:val="21"/>
              </w:rPr>
            </w:pPr>
          </w:p>
        </w:tc>
      </w:tr>
      <w:tr w14:paraId="33DD56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F6625C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0B663D9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特警人员劳务费</w:t>
            </w:r>
          </w:p>
        </w:tc>
      </w:tr>
      <w:tr w14:paraId="51A723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AD0BB4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B3F920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A3B96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E5BF2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B55B50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4F41FD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4AC63D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21CA5B0">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EC82F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1F2B0F">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B8BB56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1E8223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3DADA25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6402686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1.保障单位人员工资及时准确发放</w:t>
            </w:r>
          </w:p>
        </w:tc>
      </w:tr>
    </w:tbl>
    <w:p w14:paraId="7A5DB97D">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5E699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D88D5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C9A6A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1E387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112EB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58081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0C75A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725BB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C70297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76422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A85F9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保障单位人员工资发放人数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AE4C5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保证单位人员工资发放的人数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47B5B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＝23人数</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E8C09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76F157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71AEFD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43530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A000F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工资发放计算准确率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B1CC1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实际发放工资额/应发放工资额*100%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3AF06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98BC8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69A5E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8F7FAA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9C9CF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AD0D3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按政策按时发放到位率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39C56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实际按规定发放时间次数/全部发放次数*100%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45B53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0306F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3A908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095FC9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201E2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89841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工资成本</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8161F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人均经费达到政策要求</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818EE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≥5000元/月</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18DC9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488EF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A8BCC3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D7B30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1116A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61039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职工对工资发放工作的评价</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27B6B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FB9E0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r w14:paraId="739584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992242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DD5CB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06D97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570E4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重点工作完成的占全部重点工作的比重</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D01ED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F9287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年初工作计划</w:t>
            </w:r>
          </w:p>
        </w:tc>
      </w:tr>
      <w:tr w14:paraId="3568E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994D91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D5AB2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6F0EE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年终考核成绩</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54509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单位人员年终考核成绩</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3EFE6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B0143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3BB30E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BA2734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7E294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E42D4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生态保护影响力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0F149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促进本单位持续、稳定发展</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BCC98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F88E6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263CD8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7F4214">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DBC3F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21EC3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D725C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AD0C1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C1D6E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bl>
    <w:p w14:paraId="29DA868D">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30826F9D">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557184CE">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11.2022年退休合同制工人统筹外项目绩效目标表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603DA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7ED4EF0B">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2FD3F8A7">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68F61E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1DFF8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F1CADC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13052822P00921710002A</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38F32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03D74BB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2022年退休合同制工人统筹外项目</w:t>
            </w:r>
          </w:p>
        </w:tc>
      </w:tr>
      <w:tr w14:paraId="16F626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45868D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2C68D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64C11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0.43</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40585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8881D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0.43</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4F09F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CFE98F">
            <w:pPr>
              <w:pStyle w:val="17"/>
              <w:keepNext w:val="0"/>
              <w:keepLines w:val="0"/>
              <w:widowControl/>
              <w:suppressLineNumbers w:val="0"/>
              <w:rPr>
                <w:rFonts w:hint="default" w:ascii="方正书宋_GBK" w:hAnsi="方正书宋_GBK" w:eastAsia="方正书宋_GBK" w:cs="方正书宋_GBK"/>
                <w:sz w:val="21"/>
                <w:szCs w:val="21"/>
              </w:rPr>
            </w:pPr>
          </w:p>
        </w:tc>
      </w:tr>
      <w:tr w14:paraId="64C3B7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53BDB0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6D8E779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退休合同制工人统筹外项目</w:t>
            </w:r>
          </w:p>
        </w:tc>
      </w:tr>
      <w:tr w14:paraId="549A4B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2E40B5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1B0E43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2DB6C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0ED83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EBA8CA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24DD05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ED3633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6D3330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EADC08">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85C864">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7BE4B34">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715400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6FACD93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0DC14D7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1.保障单位人员工资及时准确发放</w:t>
            </w:r>
          </w:p>
        </w:tc>
      </w:tr>
    </w:tbl>
    <w:p w14:paraId="51459E75">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1A515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0A33A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FF845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D6DAD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A3D96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A075B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27C43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04FE6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8C30FEA">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EC83C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156D3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保障单位人员工资发放人数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B96ED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保证单位人员工资发放的人数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037CE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＝1人数</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70DB2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6C2ACF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B83E8B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9CACE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B39C8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工资发放计算准确率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F31E8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实际发放工资额/应发放工资额*100%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CD5AE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65BAC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1C7EB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3F0192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D2B18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49932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按政策按时发放到位率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88D9B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实际按规定发放时间次数/全部发放次数*100%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DB24C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E568C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481C06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FE3E99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51276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13812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工资成本</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9D381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人均经费达到政策要求</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7C634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≥5000元/月</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D3AD3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276E6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4AFFE66">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FAB40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009C4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98A48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职工对工资发放工作的评价</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3A9A7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73E9F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r w14:paraId="2F95D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D65EED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5D12A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09E85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7C506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重点工作完成的占全部重点工作的比重</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2145E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E45A9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年初工作计划</w:t>
            </w:r>
          </w:p>
        </w:tc>
      </w:tr>
      <w:tr w14:paraId="1E3D3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7EBC65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4E8E8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E6A15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年终考核成绩</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312ED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单位人员年终考核成绩</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2D290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CC112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6AC3D1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F9D186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D2D66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640EF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生态保护影响力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B9260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促进本单位持续、稳定发展</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0D437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855B6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60F70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0475AE">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170F6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AC5B0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8B0C3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099DB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9EA8B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bl>
    <w:p w14:paraId="795AC84E">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5E1753D8">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68161C6D">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12.2022年巡警人员劳务费绩效目标表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E49A0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3001ECD8">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44D9E405">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0D99FF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5A7DE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F25D38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13052822P00076510001Y</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5E0DF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7F9A8AA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2022年巡警人员劳务费</w:t>
            </w:r>
          </w:p>
        </w:tc>
      </w:tr>
      <w:tr w14:paraId="601D79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A0F44C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CE57C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F06AB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116.18</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DAC22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E1C1F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116.18</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F27ED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34191C">
            <w:pPr>
              <w:pStyle w:val="17"/>
              <w:keepNext w:val="0"/>
              <w:keepLines w:val="0"/>
              <w:widowControl/>
              <w:suppressLineNumbers w:val="0"/>
              <w:rPr>
                <w:rFonts w:hint="default" w:ascii="方正书宋_GBK" w:hAnsi="方正书宋_GBK" w:eastAsia="方正书宋_GBK" w:cs="方正书宋_GBK"/>
                <w:sz w:val="21"/>
                <w:szCs w:val="21"/>
              </w:rPr>
            </w:pPr>
          </w:p>
        </w:tc>
      </w:tr>
      <w:tr w14:paraId="46BF2C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188CBA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7FC6E49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巡警人员劳务费</w:t>
            </w:r>
          </w:p>
        </w:tc>
      </w:tr>
      <w:tr w14:paraId="172F21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575807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AEC08B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44D95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27557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C91D3C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6557B6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752D1C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DF31AF4">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FAF2B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76B43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3865EB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6A5C1A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03035E6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7190166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1.保障单位人员工资及时准确发放</w:t>
            </w:r>
          </w:p>
        </w:tc>
      </w:tr>
    </w:tbl>
    <w:p w14:paraId="22B45DCA">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16E367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D7594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BC134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3C769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67631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6602C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ACBCB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1802B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31295CD9">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D8BF8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7D100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保障单位人员工资发放人数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B547C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保证单位人员工资发放的人数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0B41A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＝23人数</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8FC87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06713F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AFABCF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275F2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278EF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工资发放计算准确率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ACC87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实际发放工资额/应发放工资额*100%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E0664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F5DD7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70428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E3433C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EBBAA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EF9BA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按政策按时发放到位率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747E5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实际按规定发放时间次数/全部发放次数*100%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CC1C7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4527F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25A3D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F98A1F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33B6F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882ED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工资成本</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AECE9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人均经费达到政策要求</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3DDD3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≥5000元/月</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64331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05A0B3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F151120">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F9863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6A078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C39E7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职工对工资发放工作的评价</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ABE5B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A0529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r w14:paraId="069E3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283364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276A4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3A367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4CE3C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重点工作完成的占全部重点工作的比重</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C7E80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A52B7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年初工作计划</w:t>
            </w:r>
          </w:p>
        </w:tc>
      </w:tr>
      <w:tr w14:paraId="052237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B711DF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9D4CF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5F3DB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年终考核成绩</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59F26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单位人员年终考核成绩</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43876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115D1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65EA13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5062E2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04003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11E21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生态保护影响力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AD7EC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促进本单位持续、稳定发展</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33D62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10AC1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7502B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922E86">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78E6B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0E15D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ECD17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56883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EC1F4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bl>
    <w:p w14:paraId="79432927">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52E2B8B5">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2EF33911">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13.2022年转业士官劳务费绩效目标表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4E57F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259DC9A4">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1428F2F2">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31B66F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F2D0F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44565E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13052822P00077010001R</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496DD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483D173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2022年转业士官劳务费</w:t>
            </w:r>
          </w:p>
        </w:tc>
      </w:tr>
      <w:tr w14:paraId="6CF78A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DFFFB6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5AB2A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BE8C7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158.71</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7A6EC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EE7DF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158.71</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6A394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2CCDE1">
            <w:pPr>
              <w:pStyle w:val="17"/>
              <w:keepNext w:val="0"/>
              <w:keepLines w:val="0"/>
              <w:widowControl/>
              <w:suppressLineNumbers w:val="0"/>
              <w:rPr>
                <w:rFonts w:hint="default" w:ascii="方正书宋_GBK" w:hAnsi="方正书宋_GBK" w:eastAsia="方正书宋_GBK" w:cs="方正书宋_GBK"/>
                <w:sz w:val="21"/>
                <w:szCs w:val="21"/>
              </w:rPr>
            </w:pPr>
          </w:p>
        </w:tc>
      </w:tr>
      <w:tr w14:paraId="1177D6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DBDB29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17E2AE6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转业士官劳务费</w:t>
            </w:r>
          </w:p>
        </w:tc>
      </w:tr>
      <w:tr w14:paraId="03ACEF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2EEBC26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5271C9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0292D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F8D4D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C813A4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34BB45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B368C8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22F466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1FD526">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0DD8EF">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93431F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1B85F9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1E99E06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1E65B71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1.保障单位人员工资及时准确发放</w:t>
            </w:r>
          </w:p>
        </w:tc>
      </w:tr>
    </w:tbl>
    <w:p w14:paraId="2AC9D792">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3D808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07595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ABF45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EE0E2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306B8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B27E5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19411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202D0E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4FFB599">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F82B3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F8394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保障单位人员工资发放人数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566CB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保证单位人员工资发放的人数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E1B1C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＝21人数</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9D6EB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46AFE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95D032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ADE4F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F420C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工资发放计算准确率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45325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实际发放工资额/应发放工资额*100%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18546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BDD17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7BD3AE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B11F42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E7C4C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D0078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按政策按时发放到位率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7A0D1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实际按规定发放时间次数/全部发放次数*100%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CBA9D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85A47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33A4D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356453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92EAE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197A5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工资成本</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8F63B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人均经费达到政策要求</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16F82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≥5000元/月</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3BCF9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3FD81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A0CF818">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A7E78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D1805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12949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职工对工资发放工作的评价</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34208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990E4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r w14:paraId="34EA8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B6CEAE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33FC2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B7646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FD207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重点工作完成的占全部重点工作的比重</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3E901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CF521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年初工作计划</w:t>
            </w:r>
          </w:p>
        </w:tc>
      </w:tr>
      <w:tr w14:paraId="0BC84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11E439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98A74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FEA2E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年终考核成绩</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1ECAA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单位人员年终考核成绩</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3ECB9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AE2DF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6E1D9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8767AF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53B59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AE576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生态保护影响力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DE46F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促进本单位持续、稳定发展</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A4DF2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4FF97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2396C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8A4532">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41FB8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71CCA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F3C7F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485F2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F6D76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bl>
    <w:p w14:paraId="008FAE9F">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4EF5C478">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14D6CC24">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14.大曹庄天网、公安网专线租用费绩效目标表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EFE79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1170AC84">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362AC3D2">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3DA343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64AC9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20E696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13052822P001099100223</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2521F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2B12070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大曹庄天网、公安网专线租用费</w:t>
            </w:r>
          </w:p>
        </w:tc>
      </w:tr>
      <w:tr w14:paraId="123673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78A3A6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D8014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43FCB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2.40</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758B6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4645B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2.40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28DD9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F5D6AC">
            <w:pPr>
              <w:pStyle w:val="17"/>
              <w:keepNext w:val="0"/>
              <w:keepLines w:val="0"/>
              <w:widowControl/>
              <w:suppressLineNumbers w:val="0"/>
              <w:rPr>
                <w:rFonts w:hint="default" w:ascii="方正书宋_GBK" w:hAnsi="方正书宋_GBK" w:eastAsia="方正书宋_GBK" w:cs="方正书宋_GBK"/>
                <w:sz w:val="21"/>
                <w:szCs w:val="21"/>
              </w:rPr>
            </w:pPr>
          </w:p>
        </w:tc>
      </w:tr>
      <w:tr w14:paraId="11C685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A1E2A9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2D36E47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大曹庄天网、公安网专线租用费</w:t>
            </w:r>
          </w:p>
        </w:tc>
      </w:tr>
      <w:tr w14:paraId="516608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9A3C2D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35721C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926EA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9688E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4AE112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1E4815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02B930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4D8953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B89F2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07DF2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FB1010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7070DF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0A658C3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6CC7BFE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1.保障天网正常运转及终端视频图像的传输</w:t>
            </w:r>
          </w:p>
        </w:tc>
      </w:tr>
    </w:tbl>
    <w:p w14:paraId="2BEFD949">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34721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D8E2D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01EF8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ABC3F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6948D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1120A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7ECA8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7B385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9A6648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29148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A84C1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设备检修维护次数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1204E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设备检修维护次数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C488E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24B44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维护摄像头数量</w:t>
            </w:r>
          </w:p>
        </w:tc>
      </w:tr>
      <w:tr w14:paraId="154B0D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B5F961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6BA81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6933A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年度维护成本增长率（%）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79D21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年度维护成本增长率（%）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D1E34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12A8A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网络维护成本</w:t>
            </w:r>
          </w:p>
        </w:tc>
      </w:tr>
      <w:tr w14:paraId="31C15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BD6DA2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1432E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E6DC5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信息系统建设维护工作完成率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7CEFA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信息系统建设维护工作完成率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F5F03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F8C64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网络正常运行保障率</w:t>
            </w:r>
          </w:p>
        </w:tc>
      </w:tr>
      <w:tr w14:paraId="090C8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11A122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B6832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FCCF6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光纤网络等维护响应时间</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7DEAB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光纤网络等维护响应时间</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9DA7E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4B6AC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及时完成信息系统及网络安全隐患排查</w:t>
            </w:r>
          </w:p>
        </w:tc>
      </w:tr>
      <w:tr w14:paraId="42C1AC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DF2E9E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1DD3B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2F440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提高工作效率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C34DE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提高工作效率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CAF4A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1B28E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提高办案效率</w:t>
            </w:r>
          </w:p>
        </w:tc>
      </w:tr>
      <w:tr w14:paraId="231435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940770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54730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0123A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治安防控体系覆盖率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BB1D2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治安防控体系覆盖率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84F7D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0D932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提高辖区治安防范能力</w:t>
            </w:r>
          </w:p>
        </w:tc>
      </w:tr>
      <w:tr w14:paraId="2B39A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6F0CE3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4F21D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67671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AB132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12234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4865D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w:t>
            </w:r>
          </w:p>
        </w:tc>
      </w:tr>
      <w:tr w14:paraId="36D62F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D02B2B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D712E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1209E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81214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92930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DE432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r>
      <w:tr w14:paraId="1FC1F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FA0EC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93688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264B7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46F07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ED892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6AB98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更好维护全县社会治安稳定</w:t>
            </w:r>
          </w:p>
        </w:tc>
      </w:tr>
    </w:tbl>
    <w:p w14:paraId="45853E81">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32698FDC">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5AFA6A07">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15.大曹庄天网线路租用费绩效目标表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5C7A6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6F32163D">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0E125DAC">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3D8B8F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75EE0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E21FE3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13052822P00109910021F</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DD0B8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4D9E4D6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大曹庄天网线路租用费</w:t>
            </w:r>
          </w:p>
        </w:tc>
      </w:tr>
      <w:tr w14:paraId="550B43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80372C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C8CC0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69785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10.00</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B368E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924B3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496EB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D9F340">
            <w:pPr>
              <w:pStyle w:val="17"/>
              <w:keepNext w:val="0"/>
              <w:keepLines w:val="0"/>
              <w:widowControl/>
              <w:suppressLineNumbers w:val="0"/>
              <w:rPr>
                <w:rFonts w:hint="default" w:ascii="方正书宋_GBK" w:hAnsi="方正书宋_GBK" w:eastAsia="方正书宋_GBK" w:cs="方正书宋_GBK"/>
                <w:sz w:val="21"/>
                <w:szCs w:val="21"/>
              </w:rPr>
            </w:pPr>
          </w:p>
        </w:tc>
      </w:tr>
      <w:tr w14:paraId="63C4BE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D05A3D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10D3AFD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大曹庄天网线路租用费</w:t>
            </w:r>
          </w:p>
        </w:tc>
      </w:tr>
      <w:tr w14:paraId="1BBF98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3A9B037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2A8469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CEF05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2E296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88021D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025F14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16DA1F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40773B2">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C46ED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72F22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52BCD88">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43CBC6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3F7EA9E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318BD98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1.保障天网正常运转及终端视频图像的传输</w:t>
            </w:r>
          </w:p>
        </w:tc>
      </w:tr>
    </w:tbl>
    <w:p w14:paraId="1C15247D">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11EB5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40372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CCEDA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BB35C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B3B76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6A721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4E2F2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074E0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110B98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3C9DF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5437F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设备检修维护次数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ABCFB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设备检修维护次数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8DB09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BBA8C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维护摄像头数量</w:t>
            </w:r>
          </w:p>
        </w:tc>
      </w:tr>
      <w:tr w14:paraId="1D441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362B15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85045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1FE87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年度维护成本增长率（%）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37F45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年度维护成本增长率（%）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AADB9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95C04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网络维护成本</w:t>
            </w:r>
          </w:p>
        </w:tc>
      </w:tr>
      <w:tr w14:paraId="00C0E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D9E4F5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2D052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E6AC0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信息系统建设维护工作完成率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DB6FD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信息系统建设维护工作完成率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4561C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F4A2B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网络正常运行保障率</w:t>
            </w:r>
          </w:p>
        </w:tc>
      </w:tr>
      <w:tr w14:paraId="785D6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4B66E4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BBA41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1CBBF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光纤网络等维护响应时间</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35C12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光纤网络等维护响应时间</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46A88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958AC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及时完成信息系统及网络安全隐患排查</w:t>
            </w:r>
          </w:p>
        </w:tc>
      </w:tr>
      <w:tr w14:paraId="66B11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6ECAFE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91DF5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B8687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提高工作效率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6C64D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提高工作效率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843B8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AD767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提高办案效率</w:t>
            </w:r>
          </w:p>
        </w:tc>
      </w:tr>
      <w:tr w14:paraId="5EDD3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B8EBA4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37BD4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1C4BD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治安防控体系覆盖率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9BFC3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治安防控体系覆盖率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FD6EE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6FB18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提高辖区治安防范能力</w:t>
            </w:r>
          </w:p>
        </w:tc>
      </w:tr>
      <w:tr w14:paraId="2B3B4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825640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3E854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E666C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B5B58D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FC439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CD8D1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w:t>
            </w:r>
          </w:p>
        </w:tc>
      </w:tr>
      <w:tr w14:paraId="7CC6D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E77500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BE860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AB3F5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FF4D5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48820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68193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r>
      <w:tr w14:paraId="477AE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AF689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87C59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38F1D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637FF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23BE2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6A2CF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更好维护全县社会治安稳定</w:t>
            </w:r>
          </w:p>
        </w:tc>
      </w:tr>
    </w:tbl>
    <w:p w14:paraId="274C04B9">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015464B9">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05C0D996">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16.反诈骗经费绩效目标表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AB6EC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5011B7FA">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62115150">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2481FC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DB74B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AE9B80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13052822P001099100398</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C2488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4DE8178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反诈骗经费</w:t>
            </w:r>
          </w:p>
        </w:tc>
      </w:tr>
      <w:tr w14:paraId="2E50BE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ABFBAB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F517C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CEF1C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20.10</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C0993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85051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20.10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D1573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866138">
            <w:pPr>
              <w:pStyle w:val="17"/>
              <w:keepNext w:val="0"/>
              <w:keepLines w:val="0"/>
              <w:widowControl/>
              <w:suppressLineNumbers w:val="0"/>
              <w:rPr>
                <w:rFonts w:hint="default" w:ascii="方正书宋_GBK" w:hAnsi="方正书宋_GBK" w:eastAsia="方正书宋_GBK" w:cs="方正书宋_GBK"/>
                <w:sz w:val="21"/>
                <w:szCs w:val="21"/>
              </w:rPr>
            </w:pPr>
          </w:p>
        </w:tc>
      </w:tr>
      <w:tr w14:paraId="564ABC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609F05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00A4A70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反诈骗系统款</w:t>
            </w:r>
          </w:p>
        </w:tc>
      </w:tr>
      <w:tr w14:paraId="7654EB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5535E6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A9BEFA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BD1BF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14124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4C95C8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39D309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E4AB7C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DAA297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3A78A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3DEBF8">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0933EAF">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25485F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2466247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3E6E2EE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1.侦破案件、抓捕逃犯</w:t>
            </w:r>
          </w:p>
        </w:tc>
      </w:tr>
    </w:tbl>
    <w:p w14:paraId="1CF6039B">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7A40C9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20914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65032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B90F4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1DF9E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A839A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03D5D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1E2F42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2D4C88F">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6ADF9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441BA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协调督办案件数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2E675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协调督办案件数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10EE0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≥95协调督办案件数</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88372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办结、破案数占案件总数的比例</w:t>
            </w:r>
          </w:p>
        </w:tc>
      </w:tr>
      <w:tr w14:paraId="00ED7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F1DD9B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3017F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0B272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违法案件人均办案率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5B698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违法案件人均办案率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5B9D0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≥95违法案件人均办案率</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35621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办结、破案数占案件总数的比例</w:t>
            </w:r>
          </w:p>
        </w:tc>
      </w:tr>
      <w:tr w14:paraId="1F2F7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E21D7F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B58C3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6DC03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保障办案工作的开展进度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1269D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保障办案工作的开展进度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EC3B5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≥95保障办案工作的开展进度</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EC62D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办结、破案数占案件总数的比例</w:t>
            </w:r>
          </w:p>
        </w:tc>
      </w:tr>
      <w:tr w14:paraId="7BF6CA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94C3CF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FA941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08367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经费保证能力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92DCC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经费保证能力</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8F82B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≥95经费保证能力</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008F4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办结、破案数占案件总数的比例</w:t>
            </w:r>
          </w:p>
        </w:tc>
      </w:tr>
      <w:tr w14:paraId="120F2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3661C7B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201B5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E74E4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信息化破案率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DEAF7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信息化破案率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72241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≥95信息化破案率</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F1AAF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办结、破案数占案件总数的比例</w:t>
            </w:r>
          </w:p>
        </w:tc>
      </w:tr>
      <w:tr w14:paraId="7CCDC3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B34F6E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61BA7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D9B8A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有组织犯罪案件数降低率(%)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4600B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有组织犯罪案件数降低率(%)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C3DC8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≥95有组织犯罪案件数降低率(%)</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94523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办结、破案数占案件总数的比例</w:t>
            </w:r>
          </w:p>
        </w:tc>
      </w:tr>
      <w:tr w14:paraId="5BB184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CFF259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0225C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1176A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违法犯罪得到有力打击</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8DF32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违法犯罪得到有力打击</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101D4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≥95违法犯罪得到有力打击</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3DCC4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办结、破案数占案件总数的比例</w:t>
            </w:r>
          </w:p>
        </w:tc>
      </w:tr>
      <w:tr w14:paraId="448E27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F0C865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DC3CA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7C4AA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维护社会稳定</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8B474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维护社会稳定</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F63CB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≥95维护社会稳定</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4C606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办结、破案数占案件总数的比例</w:t>
            </w:r>
          </w:p>
        </w:tc>
      </w:tr>
      <w:tr w14:paraId="1B2D6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85F5C4">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D9D26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66B18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28D5E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6E877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≥95社会公众满意度（%）</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03450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办结、破案数占案件总数的比例</w:t>
            </w:r>
          </w:p>
        </w:tc>
      </w:tr>
    </w:tbl>
    <w:p w14:paraId="09044C2B">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4A5DF004">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1796802A">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17.辅警公用经费绩效目标表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EC6E8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180ADFB6">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7E4D267B">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0088B4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DB947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BF6EF7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13052822P00109910032Y</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A2A69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739161E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辅警公用经费</w:t>
            </w:r>
          </w:p>
        </w:tc>
      </w:tr>
      <w:tr w14:paraId="2BC4D0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A85FC2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2A16B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F66EA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55.40</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FCDEB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962B6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55.40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42644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9EFCD8">
            <w:pPr>
              <w:pStyle w:val="17"/>
              <w:keepNext w:val="0"/>
              <w:keepLines w:val="0"/>
              <w:widowControl/>
              <w:suppressLineNumbers w:val="0"/>
              <w:rPr>
                <w:rFonts w:hint="default" w:ascii="方正书宋_GBK" w:hAnsi="方正书宋_GBK" w:eastAsia="方正书宋_GBK" w:cs="方正书宋_GBK"/>
                <w:sz w:val="21"/>
                <w:szCs w:val="21"/>
              </w:rPr>
            </w:pPr>
          </w:p>
        </w:tc>
      </w:tr>
      <w:tr w14:paraId="111985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7064E5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0118E2A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加强辅警执勤装备</w:t>
            </w:r>
          </w:p>
        </w:tc>
      </w:tr>
      <w:tr w14:paraId="68B40F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65FDFD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96ABD2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4FFF5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400FC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8CDF30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084D00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070553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089A6C9">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A7128A">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7B845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6DC6FA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45708E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2A15FE1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2D904D6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1.保障辅警执勤装备，提高辅警战斗力</w:t>
            </w:r>
          </w:p>
        </w:tc>
      </w:tr>
    </w:tbl>
    <w:p w14:paraId="2D8C977C">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57195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B0EA9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2B3D2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AD79D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C3355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5A83C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FC13D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0ED3F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02D05AE">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9ED7C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3DA28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公安技术装备配备完成率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B9120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公安技术装备配备完成率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98885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A9FEA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公安技术装备配备完成率</w:t>
            </w:r>
          </w:p>
        </w:tc>
      </w:tr>
      <w:tr w14:paraId="747F5E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491640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B64B8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4874F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装备配发数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93B55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装备配发数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E1C01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7C7C4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装备配发数</w:t>
            </w:r>
          </w:p>
        </w:tc>
      </w:tr>
      <w:tr w14:paraId="2C157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4B1E67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A99A3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17FC1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辅警勤务装备配备完成率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16E28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辅警勤务装备配备完成率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2F2B6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CC72B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辅警勤务装备配备完成率</w:t>
            </w:r>
          </w:p>
        </w:tc>
      </w:tr>
      <w:tr w14:paraId="7C1F54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184B5B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EE6E8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551C5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装备配备及时率（%）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FA0CD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装备配备及时情况</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801B5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82C2C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装备配备及时情况</w:t>
            </w:r>
          </w:p>
        </w:tc>
      </w:tr>
      <w:tr w14:paraId="45705E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2199F0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9E6C3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43221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6BE08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8DD86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74162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r>
      <w:tr w14:paraId="12840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1D9283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66326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2B316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5DF78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C94E6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A80F5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r>
      <w:tr w14:paraId="2A5E95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43A7D1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4EEEB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22EA9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提高辅警战斗力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BF81D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提高辅警战斗力</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B0405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15343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提高辅警战斗力</w:t>
            </w:r>
          </w:p>
        </w:tc>
      </w:tr>
      <w:tr w14:paraId="2EAC1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BF91BD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B7867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C3F8D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D836C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D3B1D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BBED6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r>
      <w:tr w14:paraId="5BE0A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0E12B0">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1B09A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4AD84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普法宣传对象满意度(%)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01AF1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普法宣传对象满意度(%)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078E5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20AA7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群众对工作整体满意度</w:t>
            </w:r>
          </w:p>
        </w:tc>
      </w:tr>
    </w:tbl>
    <w:p w14:paraId="4BFC42CE">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699BD9AE">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218501BC">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18.公安办案业务装备费（公用运转保障）绩效目标表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20BA6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0D3F3A0E">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6EA4E96C">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5AEF4D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4060D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4E350C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13052822P000926100017</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872CC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552CF10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公安办案业务装备费（公用运转保障）</w:t>
            </w:r>
          </w:p>
        </w:tc>
      </w:tr>
      <w:tr w14:paraId="679639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A5FB75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C3BC5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C53B8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24.25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E0D21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32C33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24.25</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06C73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CBC614">
            <w:pPr>
              <w:pStyle w:val="17"/>
              <w:keepNext w:val="0"/>
              <w:keepLines w:val="0"/>
              <w:widowControl/>
              <w:suppressLineNumbers w:val="0"/>
              <w:rPr>
                <w:rFonts w:hint="default" w:ascii="方正书宋_GBK" w:hAnsi="方正书宋_GBK" w:eastAsia="方正书宋_GBK" w:cs="方正书宋_GBK"/>
                <w:sz w:val="21"/>
                <w:szCs w:val="21"/>
              </w:rPr>
            </w:pPr>
          </w:p>
        </w:tc>
      </w:tr>
      <w:tr w14:paraId="742D2B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E97376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7D52DDA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办公设备购置</w:t>
            </w:r>
          </w:p>
        </w:tc>
      </w:tr>
      <w:tr w14:paraId="228A02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3DF691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5029AB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23E7C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CAADA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9C4070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584AA1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051542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41AC06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1532E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F9D8E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A7561B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0EE904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198E2E2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545D34A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1.为更好应对各种突发性事件，打击各种违法犯罪行为</w:t>
            </w:r>
          </w:p>
        </w:tc>
      </w:tr>
    </w:tbl>
    <w:p w14:paraId="19508BAF">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3A1CC6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F50D7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49C2C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6ECE2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03B8E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64E55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83D90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30951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2F96BE5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5A57C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37324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公安技术装备配备完成率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8AEE2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公安技术装备配备完成率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7A3BA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66B7B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公安技术装备配备完成率</w:t>
            </w:r>
          </w:p>
        </w:tc>
      </w:tr>
      <w:tr w14:paraId="3B148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5C2603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9DB5E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B32A6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装备配发数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E21BC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装备配发数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E6B18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F2D66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装备配发数</w:t>
            </w:r>
          </w:p>
        </w:tc>
      </w:tr>
      <w:tr w14:paraId="29D2E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465836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77223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AB200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民警勤务装备配备完成率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8827B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民警勤务装备配备完成率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F713D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EE195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民警勤务装备配备完成率</w:t>
            </w:r>
          </w:p>
        </w:tc>
      </w:tr>
      <w:tr w14:paraId="6F43F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1AACBB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EF5B2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0F460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装备配备及时率（%）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76DD5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装备配备及时情况</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1D751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D47EB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装备配备及时情况</w:t>
            </w:r>
          </w:p>
        </w:tc>
      </w:tr>
      <w:tr w14:paraId="2FF51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B66A762">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A3C38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097FE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63275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69EB1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121C0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r>
      <w:tr w14:paraId="4DE1B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AD5726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BA74D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A6EAC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4410E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323B0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22E06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r>
      <w:tr w14:paraId="5F1DE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53C1E2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83325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5F3D9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提高民警战斗力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B7DE1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提高民警战斗力</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6D8D2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AF982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民警战斗力提升率</w:t>
            </w:r>
          </w:p>
        </w:tc>
      </w:tr>
      <w:tr w14:paraId="0715FA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F45F0F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38B3B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1967B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F69FF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1C0F6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DC0CF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r>
      <w:tr w14:paraId="2E291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8857F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1EF21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D67B8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普法宣传对象满意度(%)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B8330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普法宣传对象满意度(%)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6FF63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D25C3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群众对工作整体满意度</w:t>
            </w:r>
          </w:p>
        </w:tc>
      </w:tr>
    </w:tbl>
    <w:p w14:paraId="32728359">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2E3DE449">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089E5C04">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19.公安视频传输网安全防护体系建设绩效目标表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E505C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311DBDAB">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3685346A">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5FA2F3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243F2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1C21B6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13052822P00109910033J</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41842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1954A76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公安视频传输网安全防护体系建设</w:t>
            </w:r>
          </w:p>
        </w:tc>
      </w:tr>
      <w:tr w14:paraId="18FA18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E7DD7B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C7F7A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B3307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135.00</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24CC7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32B20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135.00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6C6A7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7A021A">
            <w:pPr>
              <w:pStyle w:val="17"/>
              <w:keepNext w:val="0"/>
              <w:keepLines w:val="0"/>
              <w:widowControl/>
              <w:suppressLineNumbers w:val="0"/>
              <w:rPr>
                <w:rFonts w:hint="default" w:ascii="方正书宋_GBK" w:hAnsi="方正书宋_GBK" w:eastAsia="方正书宋_GBK" w:cs="方正书宋_GBK"/>
                <w:sz w:val="21"/>
                <w:szCs w:val="21"/>
              </w:rPr>
            </w:pPr>
          </w:p>
        </w:tc>
      </w:tr>
      <w:tr w14:paraId="72AD8E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81954F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403DA5C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公安视频传输网安全防护体系建设</w:t>
            </w:r>
          </w:p>
        </w:tc>
      </w:tr>
      <w:tr w14:paraId="3DEE01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DB2EAD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06B1FC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0C635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162F3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4D3D2A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13988C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A1C90F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C80725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3FE67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8C58D6">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007DE40">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42FF0D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48C28EF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1803306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1.全面提升我省公安视频传输网安全防护水平，坚决防止发生安全事件。</w:t>
            </w:r>
          </w:p>
        </w:tc>
      </w:tr>
    </w:tbl>
    <w:p w14:paraId="4AEB6BF1">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3437C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79B64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345D0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E90EF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D5C9B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367D3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4AD4B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3CB380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0BC0CC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35183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7CC48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公安网络建设运行维护</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F1B20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公安网络建设运行维护运行正常运转率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6740C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4508F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公安网络建设运行维护运行正常运转率</w:t>
            </w:r>
          </w:p>
        </w:tc>
      </w:tr>
      <w:tr w14:paraId="5EE82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371BAA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1C639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C4BCC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年度维护成本增长率（%）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41BCB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年度维护成本增长率（%）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7BC82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1BB30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网络维护成本</w:t>
            </w:r>
          </w:p>
        </w:tc>
      </w:tr>
      <w:tr w14:paraId="4F4F6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476E90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EFBBA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FAC35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信息系统建设维护工作完成率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C00AB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信息系统建设维护工作完成率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6B2C6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BFAA1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网络正常运行保障率</w:t>
            </w:r>
          </w:p>
        </w:tc>
      </w:tr>
      <w:tr w14:paraId="0DB93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33D3E8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91A00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38118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光纤网络等维护响应时间</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52F8B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光纤网络等维护响应时间</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3F015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B232F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及时完成信息系统及网络安全隐患排查</w:t>
            </w:r>
          </w:p>
        </w:tc>
      </w:tr>
      <w:tr w14:paraId="0FAA4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74AA48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1C99C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91680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提高工作效率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34665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提高工作效率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E3EDD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654A7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提高办案效率</w:t>
            </w:r>
          </w:p>
        </w:tc>
      </w:tr>
      <w:tr w14:paraId="3A6D5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FE4FC8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6BAB4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317E0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信息网络系统安全</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AB399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信息网络系统安全</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112C7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509D2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信息网络系统安全</w:t>
            </w:r>
          </w:p>
        </w:tc>
      </w:tr>
      <w:tr w14:paraId="321C7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A263BC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F8955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2456F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53936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26265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44199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w:t>
            </w:r>
          </w:p>
        </w:tc>
      </w:tr>
      <w:tr w14:paraId="5CF3AB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450428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00617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51017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BDEAAA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56ED2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0D3B6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r>
      <w:tr w14:paraId="039255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950860">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60823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37B14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CE2D7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BA2D2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DE67A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更好维护全县社会治安稳定</w:t>
            </w:r>
          </w:p>
        </w:tc>
      </w:tr>
    </w:tbl>
    <w:p w14:paraId="02EC2A7D">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30DD0D4A">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1F99FB90">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20.公安执法办案业务经费（公用运转保障）绩效目标表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E4F94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764DCEE8">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417DB9B8">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46C2D0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FEEAE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8432F4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13052822P00092710001W</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6631B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034CA15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公安执法办案业务经费（公用运转保障）</w:t>
            </w:r>
          </w:p>
        </w:tc>
      </w:tr>
      <w:tr w14:paraId="4E38C8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3697CC4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B2DE0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E3407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347.23</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3E414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80CF2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347.23</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0049C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652C07">
            <w:pPr>
              <w:pStyle w:val="17"/>
              <w:keepNext w:val="0"/>
              <w:keepLines w:val="0"/>
              <w:widowControl/>
              <w:suppressLineNumbers w:val="0"/>
              <w:rPr>
                <w:rFonts w:hint="default" w:ascii="方正书宋_GBK" w:hAnsi="方正书宋_GBK" w:eastAsia="方正书宋_GBK" w:cs="方正书宋_GBK"/>
                <w:sz w:val="21"/>
                <w:szCs w:val="21"/>
              </w:rPr>
            </w:pPr>
          </w:p>
        </w:tc>
      </w:tr>
      <w:tr w14:paraId="5C5DF3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886640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4ECC4CE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公安执法办案业务经费</w:t>
            </w:r>
          </w:p>
        </w:tc>
      </w:tr>
      <w:tr w14:paraId="48D282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6AF516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0DF383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62ADB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6CD41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AB6816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67C0FB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338737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7D3327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39A84F">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3D8A1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D3CC3B9">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445165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209FE6D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1D3229E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1.为更好应对各种突发性事件，打击各种违法犯罪行为</w:t>
            </w:r>
          </w:p>
        </w:tc>
      </w:tr>
    </w:tbl>
    <w:p w14:paraId="06059D33">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7261E4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BD59D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C7441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2848E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65AC8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1F5FF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933D7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23DF15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B745A5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05506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6B588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大案要案查处率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B95CD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大案要案查处率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35C19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3DCC9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成功查处大要案情况</w:t>
            </w:r>
          </w:p>
        </w:tc>
      </w:tr>
      <w:tr w14:paraId="3331DE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4A639E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4A4C3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D3282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治安案件发案数（个）</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5FADD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平均每日治安案件发案数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EF76A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6716A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成功处置群体性事件数</w:t>
            </w:r>
          </w:p>
        </w:tc>
      </w:tr>
      <w:tr w14:paraId="44A039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B0E280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6072A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17FC0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群体性事件成功处置率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82EFD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成功处置群体性事件数占全部案件数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669A5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84BE8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成功处置群体性事件数</w:t>
            </w:r>
          </w:p>
        </w:tc>
      </w:tr>
      <w:tr w14:paraId="7EE8C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D6F364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62C5D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B0004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治安、刑事案件处理及时性（小时）</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620E1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治安、刑事案件处理及时性（小时）</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5893C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26D6A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治安、刑事案件处理及时性</w:t>
            </w:r>
          </w:p>
        </w:tc>
      </w:tr>
      <w:tr w14:paraId="6F9AD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21B0D6C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66AE4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35015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8FEA0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B7BC6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CAA6B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r>
      <w:tr w14:paraId="26081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9BC611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D20F4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092E1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A5FFE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B3F4A3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0D96F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r>
      <w:tr w14:paraId="22C473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D9A459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FA2DC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8B554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经济损失减少/避免数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BCA79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经济损失减少/避免数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AC07A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7BF9D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减少群众经济损失</w:t>
            </w:r>
          </w:p>
        </w:tc>
      </w:tr>
      <w:tr w14:paraId="1C7DF8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28B982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B9746C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E83D4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38959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618FC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CE85F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r>
      <w:tr w14:paraId="71F24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141CA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E58CC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37421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普法宣传对象满意度(%)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B3E2F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普法宣传对象满意度(%)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D7B1D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63AF2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群众对工作整体满意度</w:t>
            </w:r>
          </w:p>
        </w:tc>
      </w:tr>
    </w:tbl>
    <w:p w14:paraId="5681BE97">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3A397232">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1393F6D4">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21.禁毒经费绩效目标表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4E9D7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12D34AE2">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7E500968">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17A6FE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BF1F7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F7F871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13052822P001099100275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91F36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687D5D0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禁毒经费</w:t>
            </w:r>
          </w:p>
        </w:tc>
      </w:tr>
      <w:tr w14:paraId="43B0DB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83DA54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B3230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26210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32.00</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110B7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1EBE3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32.00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606CC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AD169B">
            <w:pPr>
              <w:pStyle w:val="17"/>
              <w:keepNext w:val="0"/>
              <w:keepLines w:val="0"/>
              <w:widowControl/>
              <w:suppressLineNumbers w:val="0"/>
              <w:rPr>
                <w:rFonts w:hint="default" w:ascii="方正书宋_GBK" w:hAnsi="方正书宋_GBK" w:eastAsia="方正书宋_GBK" w:cs="方正书宋_GBK"/>
                <w:sz w:val="21"/>
                <w:szCs w:val="21"/>
              </w:rPr>
            </w:pPr>
          </w:p>
        </w:tc>
      </w:tr>
      <w:tr w14:paraId="64352C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C16838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004B0D2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禁毒经费</w:t>
            </w:r>
          </w:p>
        </w:tc>
      </w:tr>
      <w:tr w14:paraId="47EE7B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372DD16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AEA2C5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4DCBF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27786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E45838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38171B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ABD8B1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BB80D54">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F98B2A">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C3DE60">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BD41EC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68100B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6F26B24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575E4EC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1.巩固我县禁毒铲毒成果，毒品犯罪得到有效防范和控制</w:t>
            </w:r>
          </w:p>
        </w:tc>
      </w:tr>
    </w:tbl>
    <w:p w14:paraId="1AF935C6">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4B0DA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07667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4D18D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4C2B4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0DCF3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EF08C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7C52F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0B7AA0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14088A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84BFF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47835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协调督办案件数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DF645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协调督办案件数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60BF3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0AF35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协调督办案件数</w:t>
            </w:r>
          </w:p>
        </w:tc>
      </w:tr>
      <w:tr w14:paraId="74905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C8F40D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F49B9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5ACDA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违法案件人均办案率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805AD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违法案件人均办案率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0F203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EA34F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违法案件人均办案率</w:t>
            </w:r>
          </w:p>
        </w:tc>
      </w:tr>
      <w:tr w14:paraId="5215F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7E5876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0D2C1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C7F1F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保障办案工作的开展进度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8CF24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保障办案工作的开展进度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675DC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DD7AB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保障办案工作的开展进度</w:t>
            </w:r>
          </w:p>
        </w:tc>
      </w:tr>
      <w:tr w14:paraId="6BC815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AA4947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97897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88730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经费保证能力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509C4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经费保证能力</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F180A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A3C62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经费保证能力</w:t>
            </w:r>
          </w:p>
        </w:tc>
      </w:tr>
      <w:tr w14:paraId="285AB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86B06A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4FA84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3727B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信息化破案率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4CEB0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信息化破案率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D16C8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5C9A3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信息化破案率</w:t>
            </w:r>
          </w:p>
        </w:tc>
      </w:tr>
      <w:tr w14:paraId="7DA81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33B21D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497C1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41A08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有组织犯罪案件数降低率(%)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820C0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有组织犯罪案件数降低率(%)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543A0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4F476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有组织犯罪案件数降低率(%)</w:t>
            </w:r>
          </w:p>
        </w:tc>
      </w:tr>
      <w:tr w14:paraId="440AD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4C1E5E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AB772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01AFD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违法犯罪得到有力打击</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DE937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违法犯罪得到有力打击</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7D025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93B39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违法犯罪得到有力打击</w:t>
            </w:r>
          </w:p>
        </w:tc>
      </w:tr>
      <w:tr w14:paraId="088115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398F62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920DD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311EB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维护社会稳定</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8D083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维护社会稳定</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C393D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5C94D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维护社会稳定</w:t>
            </w:r>
          </w:p>
        </w:tc>
      </w:tr>
      <w:tr w14:paraId="46D64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F76068">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750F2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0ADAA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88EDF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0A1A2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704FA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r>
    </w:tbl>
    <w:p w14:paraId="557E11C6">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4F869839">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624AC7FC">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22.看守所人犯给养费、公务费绩效目标表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30A60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2E63922D">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6EBAB018">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29FEAE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36A77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9E967A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13052822P00109910030P</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D1736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2DEF440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看守所人犯给养费、公务费</w:t>
            </w:r>
          </w:p>
        </w:tc>
      </w:tr>
      <w:tr w14:paraId="214408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D7E593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F2250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FA3AE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170.00</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FA9B8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5B4DC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170.00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BB35B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742098">
            <w:pPr>
              <w:pStyle w:val="17"/>
              <w:keepNext w:val="0"/>
              <w:keepLines w:val="0"/>
              <w:widowControl/>
              <w:suppressLineNumbers w:val="0"/>
              <w:rPr>
                <w:rFonts w:hint="default" w:ascii="方正书宋_GBK" w:hAnsi="方正书宋_GBK" w:eastAsia="方正书宋_GBK" w:cs="方正书宋_GBK"/>
                <w:sz w:val="21"/>
                <w:szCs w:val="21"/>
              </w:rPr>
            </w:pPr>
          </w:p>
        </w:tc>
      </w:tr>
      <w:tr w14:paraId="2119AE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69F609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382F02C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看守所人犯给养费、公务费</w:t>
            </w:r>
          </w:p>
        </w:tc>
      </w:tr>
      <w:tr w14:paraId="6EEC7D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135DE2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F0D5E1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1E0E5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5A66E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672144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64C6BB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FF81DA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BA1712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46A44F">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DAFBB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7AA085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70950B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1DF2472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7401B3B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1.保障被羁押人员生活、安全</w:t>
            </w:r>
          </w:p>
        </w:tc>
      </w:tr>
    </w:tbl>
    <w:p w14:paraId="706C3227">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30508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4CFDB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6C076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6A431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D761A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91CBD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4082E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609E4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DCF743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E664A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CC736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被羁押人员各类安全事故发生数量</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04DF1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被羁押人员各类安全事故发生数量控制数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72F12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0ABAE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监管场所经费保障率</w:t>
            </w:r>
          </w:p>
        </w:tc>
      </w:tr>
      <w:tr w14:paraId="74B902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32A595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91E6A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6D98A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监所日常公用经费财政拨款保障率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79132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监所日常公用经费财政拨款保障率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17511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1A6A5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监管场所经费保障率</w:t>
            </w:r>
          </w:p>
        </w:tc>
      </w:tr>
      <w:tr w14:paraId="1DD51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E1F7A6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020A9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33B11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保障综合事务工作完成及时率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56BD2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保障综合事务工作完成及时率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D2827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4B232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监管场所经费保障率</w:t>
            </w:r>
          </w:p>
        </w:tc>
      </w:tr>
      <w:tr w14:paraId="4F1F3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E558DC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0967B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BA9AF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经费使用率(%)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87AA2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经费使用率(%)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15A45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60600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经费使用率(%)</w:t>
            </w:r>
          </w:p>
        </w:tc>
      </w:tr>
      <w:tr w14:paraId="3C6970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AB2850A">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5B50B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13266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对社会经济发展的影响</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3527D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对社会经济发展的影响</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680DD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85F0B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监管场所经费保障率</w:t>
            </w:r>
          </w:p>
        </w:tc>
      </w:tr>
      <w:tr w14:paraId="18981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65CCC9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476C1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707BD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社会帮教率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FB2F0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社会帮教率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2E0AC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22694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监管场所经费保障率</w:t>
            </w:r>
          </w:p>
        </w:tc>
      </w:tr>
      <w:tr w14:paraId="67A7F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56628C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1E6CA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DA017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维护社会稳定</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7CCF4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维护社会稳定</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01A90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7F53E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监管场所经费保障率</w:t>
            </w:r>
          </w:p>
        </w:tc>
      </w:tr>
      <w:tr w14:paraId="20F6B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C6F976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67CC7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FA742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生态环境质量改善</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2A7CD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生态环境质量改善</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02EBD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12EB4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生态环境质量改善</w:t>
            </w:r>
          </w:p>
        </w:tc>
      </w:tr>
      <w:tr w14:paraId="3B42C4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916AD8">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5F954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926AE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FF362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52AC4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13843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监管场所经费保障率</w:t>
            </w:r>
          </w:p>
        </w:tc>
      </w:tr>
    </w:tbl>
    <w:p w14:paraId="2258B6B4">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1E4DE720">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7415974C">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23.宁晋县“雪亮工程”天网三期服务项目绩效目标表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38FD2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45F93A54">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232789AF">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4113EF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FC3E3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2B6244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13052822P00109910016M</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1D5A3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7A70F47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宁晋县“雪亮工程”天网三期服务项目</w:t>
            </w:r>
          </w:p>
        </w:tc>
      </w:tr>
      <w:tr w14:paraId="16A3AE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00C9FF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F31EF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8E821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1383.35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D4407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FAFFD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1383.35</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5D530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E9168F">
            <w:pPr>
              <w:pStyle w:val="17"/>
              <w:keepNext w:val="0"/>
              <w:keepLines w:val="0"/>
              <w:widowControl/>
              <w:suppressLineNumbers w:val="0"/>
              <w:rPr>
                <w:rFonts w:hint="default" w:ascii="方正书宋_GBK" w:hAnsi="方正书宋_GBK" w:eastAsia="方正书宋_GBK" w:cs="方正书宋_GBK"/>
                <w:sz w:val="21"/>
                <w:szCs w:val="21"/>
              </w:rPr>
            </w:pPr>
          </w:p>
        </w:tc>
      </w:tr>
      <w:tr w14:paraId="199F00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689A51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256A256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“雪亮工程”天网三期服务项目</w:t>
            </w:r>
          </w:p>
        </w:tc>
      </w:tr>
      <w:tr w14:paraId="2698F6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2E9545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25B755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1AB78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70A49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81120F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769C35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BB70C8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6DBD7B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106700">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9E449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27EEE46">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6DA0B6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0CF1A23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37C9252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1.保障天网正常运转及终端视频图像的传输</w:t>
            </w:r>
          </w:p>
        </w:tc>
      </w:tr>
    </w:tbl>
    <w:p w14:paraId="5B4987D0">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164F9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7C94A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9F250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1E889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06F73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96734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764E8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20333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3F4E363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6816D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89797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设备检修维护次数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BA60E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设备检修维护次数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A129B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991D5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维护摄像头数量</w:t>
            </w:r>
          </w:p>
        </w:tc>
      </w:tr>
      <w:tr w14:paraId="6631D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67BFCA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9AC65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7A5EE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年度维护成本增长率（%）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FE54D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年度维护成本增长率（%）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820E7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F413E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网络维护成本</w:t>
            </w:r>
          </w:p>
        </w:tc>
      </w:tr>
      <w:tr w14:paraId="342A36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5E45B0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57F87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4CA42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信息系统建设维护工作完成率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9E6CC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信息系统建设维护工作完成率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F444E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927C2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网络正常运行保障率</w:t>
            </w:r>
          </w:p>
        </w:tc>
      </w:tr>
      <w:tr w14:paraId="3F321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C335F9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12691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683A6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光纤网络等维护响应时间</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B80F7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光纤网络等维护响应时间</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1F7AF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587C4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及时完成信息系统及网络安全隐患排查</w:t>
            </w:r>
          </w:p>
        </w:tc>
      </w:tr>
      <w:tr w14:paraId="2D8152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6A9DCFA">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3F098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10A13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提高工作效率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4E144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提高工作效率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D6BF9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85E6B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提高办案效率</w:t>
            </w:r>
          </w:p>
        </w:tc>
      </w:tr>
      <w:tr w14:paraId="4207E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9A2833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5B979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DDE0F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治安防控体系覆盖率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BD838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治安防控体系覆盖率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E1302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E071B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提高辖区治安防范能力</w:t>
            </w:r>
          </w:p>
        </w:tc>
      </w:tr>
      <w:tr w14:paraId="2FDBF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F1CFC4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02101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471F3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52B7E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4E907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7067E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w:t>
            </w:r>
          </w:p>
        </w:tc>
      </w:tr>
      <w:tr w14:paraId="1EDCD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52DDE6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45BF5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08D35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B361B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955B8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8432F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r>
      <w:tr w14:paraId="7D6FB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2996D8">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05C1B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81F07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2F965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A8852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56E51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更好维护全县社会治安稳定</w:t>
            </w:r>
          </w:p>
        </w:tc>
      </w:tr>
    </w:tbl>
    <w:p w14:paraId="24F0D45F">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01C2E6D2">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37511635">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24.宁晋县公安局天网维护项目绩效目标表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3C51B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17EBA3A5">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0AAD7597">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31D6BA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1FA39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51BC06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13052822P00109910024A</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C1090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0A8A482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宁晋县公安局天网维护项目</w:t>
            </w:r>
          </w:p>
        </w:tc>
      </w:tr>
      <w:tr w14:paraId="015DAA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33402B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DAFF6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0374E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37.20</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292CC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6F899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37.20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FE9B7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D92A6F">
            <w:pPr>
              <w:pStyle w:val="17"/>
              <w:keepNext w:val="0"/>
              <w:keepLines w:val="0"/>
              <w:widowControl/>
              <w:suppressLineNumbers w:val="0"/>
              <w:rPr>
                <w:rFonts w:hint="default" w:ascii="方正书宋_GBK" w:hAnsi="方正书宋_GBK" w:eastAsia="方正书宋_GBK" w:cs="方正书宋_GBK"/>
                <w:sz w:val="21"/>
                <w:szCs w:val="21"/>
              </w:rPr>
            </w:pPr>
          </w:p>
        </w:tc>
      </w:tr>
      <w:tr w14:paraId="3392C8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6A7599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2704843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天网维护项目</w:t>
            </w:r>
          </w:p>
        </w:tc>
      </w:tr>
      <w:tr w14:paraId="057380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3EAF3B9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D6C7BA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9351F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AF872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F1A73C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1CFFEA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A5262F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C87AF5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8D62E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DF6F52">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0D0415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78658C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07A2D34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1026D9A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1.保障天网正常运转及终端视频图像的传输</w:t>
            </w:r>
          </w:p>
        </w:tc>
      </w:tr>
    </w:tbl>
    <w:p w14:paraId="7A6D5D49">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58E75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47822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39074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F4D2F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F49F3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16946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12EA3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25EF8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226A1BF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DA918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04975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设备检修维护次数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25A93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设备检修维护次数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35C82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48B5E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维护摄像头数量</w:t>
            </w:r>
          </w:p>
        </w:tc>
      </w:tr>
      <w:tr w14:paraId="5EA57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7CA92A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5EE8C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19EE2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年度维护成本增长率（%）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10176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年度维护成本增长率（%）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ACA91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E8543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网络维护成本</w:t>
            </w:r>
          </w:p>
        </w:tc>
      </w:tr>
      <w:tr w14:paraId="7070C9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267326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502DE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BB89BD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信息系统建设维护工作完成率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205D1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信息系统建设维护工作完成率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FCE96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EE0DE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网络正常运行保障率</w:t>
            </w:r>
          </w:p>
        </w:tc>
      </w:tr>
      <w:tr w14:paraId="1499D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7B400E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9F6EA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EB7D7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光纤网络等维护响应时间</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365C9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光纤网络等维护响应时间</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BBEC3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7C27F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及时完成信息系统及网络安全隐患排查</w:t>
            </w:r>
          </w:p>
        </w:tc>
      </w:tr>
      <w:tr w14:paraId="20715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511DA3E">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98C7E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53F89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提高工作效率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7AE6F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提高工作效率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1613C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94D56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提高办案效率</w:t>
            </w:r>
          </w:p>
        </w:tc>
      </w:tr>
      <w:tr w14:paraId="7F3F2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884AEC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94938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C0216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治安防控体系覆盖率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C08DB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治安防控体系覆盖率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188E8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754C4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提高辖区治安防范能力</w:t>
            </w:r>
          </w:p>
        </w:tc>
      </w:tr>
      <w:tr w14:paraId="50BA9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9766E5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69B3F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64A8B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6EE60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0CF1D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67781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w:t>
            </w:r>
          </w:p>
        </w:tc>
      </w:tr>
      <w:tr w14:paraId="2D5E96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4EF2BC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22A3A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F1C93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3E93C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25E62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29BDA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r>
      <w:tr w14:paraId="4C99F4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9472C6">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FC997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104B1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EC30A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8064D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A66C9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更好维护全县社会治安稳定</w:t>
            </w:r>
          </w:p>
        </w:tc>
      </w:tr>
    </w:tbl>
    <w:p w14:paraId="642009AB">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3CAABE56">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3B08188B">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25.派出所执法办案中心维护费（公用运转保障）绩效目标表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F7B79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036AC302">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0E843FEC">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75AA83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393F2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63F360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13052822P000929100018</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66D94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73CEA78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派出所执法办案中心维护费（公用运转保障）</w:t>
            </w:r>
          </w:p>
        </w:tc>
      </w:tr>
      <w:tr w14:paraId="6329BF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95FF58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CB4C7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B25C3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38.80</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CC3A3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127FC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38.80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E5487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A5403C">
            <w:pPr>
              <w:pStyle w:val="17"/>
              <w:keepNext w:val="0"/>
              <w:keepLines w:val="0"/>
              <w:widowControl/>
              <w:suppressLineNumbers w:val="0"/>
              <w:rPr>
                <w:rFonts w:hint="default" w:ascii="方正书宋_GBK" w:hAnsi="方正书宋_GBK" w:eastAsia="方正书宋_GBK" w:cs="方正书宋_GBK"/>
                <w:sz w:val="21"/>
                <w:szCs w:val="21"/>
              </w:rPr>
            </w:pPr>
          </w:p>
        </w:tc>
      </w:tr>
      <w:tr w14:paraId="6EE1FE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535AA7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39CA91D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派出所执法办案中心维护费</w:t>
            </w:r>
          </w:p>
        </w:tc>
      </w:tr>
      <w:tr w14:paraId="61B3D2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ED3D29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6BB624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D027C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A7FB4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E5EF41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0569B2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F7349C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C561B7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4769C8">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FA90B9">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AB8F05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196E08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22E34F3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5B3A24C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1.维护执法办案中心设备正常运转</w:t>
            </w:r>
          </w:p>
        </w:tc>
      </w:tr>
    </w:tbl>
    <w:p w14:paraId="0672CD08">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4DB8EE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B633F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0DD04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3C7D6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60384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B9619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C58F6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2F438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1A5B01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6E255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E2A80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设备合格率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D104F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设备合格率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F97AF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92BF2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维修验收合格情况</w:t>
            </w:r>
          </w:p>
        </w:tc>
      </w:tr>
      <w:tr w14:paraId="7BF74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05BD49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BA65D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1FDDC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设备维护维修数量</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42378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设备维护维修数量</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19316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C0DF9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设备维护维修数量</w:t>
            </w:r>
          </w:p>
        </w:tc>
      </w:tr>
      <w:tr w14:paraId="1D729B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C77DBE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EE527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D1843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维修改造成本</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C2DD2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维修改造成本</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70425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442AD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维修改造成本节约率</w:t>
            </w:r>
          </w:p>
        </w:tc>
      </w:tr>
      <w:tr w14:paraId="6941EF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A45860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DBFC8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44147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日常巡查维修及时率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495DA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日常巡查维修及时率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AA529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94AD9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日常巡查维修及时率</w:t>
            </w:r>
          </w:p>
        </w:tc>
      </w:tr>
      <w:tr w14:paraId="40E03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05EBCC2">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5C235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BD174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加强节约集约利用，促进生态文明建设</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3AAB3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加强节约集约利用，促进生态文明建设</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52611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81649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加强节约集约利用</w:t>
            </w:r>
          </w:p>
        </w:tc>
      </w:tr>
      <w:tr w14:paraId="10D11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E1041F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71A38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5F953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长期使用性</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AD519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长期使用性</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1DCC4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AFF6E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长期使用性</w:t>
            </w:r>
          </w:p>
        </w:tc>
      </w:tr>
      <w:tr w14:paraId="29863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8D7CCF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A8ECE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BC1C8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资金使用效益</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F0384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资金使用效益</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470FE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5DD4D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资金使用效益</w:t>
            </w:r>
          </w:p>
        </w:tc>
      </w:tr>
      <w:tr w14:paraId="6E9E3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10B107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1CC7E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30697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维修效果</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9928C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维修效果</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C4E4C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D00FA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维修效果</w:t>
            </w:r>
          </w:p>
        </w:tc>
      </w:tr>
      <w:tr w14:paraId="4C74C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3FC12A">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9BD93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57181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DFD7D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9830F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11129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群众对工作整体满意度</w:t>
            </w:r>
          </w:p>
        </w:tc>
      </w:tr>
    </w:tbl>
    <w:p w14:paraId="6D778375">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4F87A1B7">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43C3C143">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26.全县人脸识别自动测温平台线路租赁及运维费绩效目标表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A0FE4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3AB04E94">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49539B4D">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6DBE81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3B5F1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5E75FD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13052822P00109910025X</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FD53E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4F6AA78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全县人脸识别自动测温平台线路租赁及运维费</w:t>
            </w:r>
          </w:p>
        </w:tc>
      </w:tr>
      <w:tr w14:paraId="5C8CE2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53B57F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35DE5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1B85D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10.50</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D9738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544E4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10.50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E8F76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556017">
            <w:pPr>
              <w:pStyle w:val="17"/>
              <w:keepNext w:val="0"/>
              <w:keepLines w:val="0"/>
              <w:widowControl/>
              <w:suppressLineNumbers w:val="0"/>
              <w:rPr>
                <w:rFonts w:hint="default" w:ascii="方正书宋_GBK" w:hAnsi="方正书宋_GBK" w:eastAsia="方正书宋_GBK" w:cs="方正书宋_GBK"/>
                <w:sz w:val="21"/>
                <w:szCs w:val="21"/>
              </w:rPr>
            </w:pPr>
          </w:p>
        </w:tc>
      </w:tr>
      <w:tr w14:paraId="18DA8E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F1AE63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62E3BFD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全县人脸识别自动测温平台线路租赁及运维费</w:t>
            </w:r>
          </w:p>
        </w:tc>
      </w:tr>
      <w:tr w14:paraId="4E34E0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3848DC6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7D3681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251E4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51069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1D151A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7A75B9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9B503D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1FFC5F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BEEA5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A736D2">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EDA4D6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158BAD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6018C80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20AF756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1.保障天网正常运转及终端视频图像的传输</w:t>
            </w:r>
          </w:p>
        </w:tc>
      </w:tr>
    </w:tbl>
    <w:p w14:paraId="63E28CC7">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720A6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9EC6F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855EB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384B8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0A391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EE452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D7240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16E542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3F47F8B0">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6E9BE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39364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设备检修维护次数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0ABB9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设备检修维护次数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F1F01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FB33F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完成网络安全检查工作</w:t>
            </w:r>
          </w:p>
        </w:tc>
      </w:tr>
      <w:tr w14:paraId="00A7B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28FBA1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B12F8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A48FE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年度维护成本增长率（%）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03E18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年度维护成本增长率（%）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ACEFE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B8FEE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网络维护成本</w:t>
            </w:r>
          </w:p>
        </w:tc>
      </w:tr>
      <w:tr w14:paraId="4B3BD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F65320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3D9FE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AA33D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信息系统建设维护工作完成率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71E20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信息系统建设维护工作完成率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18261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CC543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网络正常运行保障率</w:t>
            </w:r>
          </w:p>
        </w:tc>
      </w:tr>
      <w:tr w14:paraId="019D0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80F272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E1AE1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53C2C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光纤网络等维护响应时间</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25C83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光纤网络等维护响应时间</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090A1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B39C8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及时完成信息系统及网络安全隐患排查</w:t>
            </w:r>
          </w:p>
        </w:tc>
      </w:tr>
      <w:tr w14:paraId="3DB5F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5648382">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6FAD1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B63EA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提高工作效率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1592A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提高工作效率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CE2EE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81F0C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提高防疫工作效率</w:t>
            </w:r>
          </w:p>
        </w:tc>
      </w:tr>
      <w:tr w14:paraId="469954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86B7AB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471C5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26EB0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治安防控体系覆盖率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CDCE9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治安防控体系覆盖率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56308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414BB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提高辖区治安防范能力</w:t>
            </w:r>
          </w:p>
        </w:tc>
      </w:tr>
      <w:tr w14:paraId="65B21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953FA4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73BDC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EBBE3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FD03C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1E7D8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930D8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w:t>
            </w:r>
          </w:p>
        </w:tc>
      </w:tr>
      <w:tr w14:paraId="59C89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A609EC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902EF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05957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3D3C9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481B2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24A71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r>
      <w:tr w14:paraId="673A5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F4803A">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88B6D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1A68E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D49E9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56DEE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F9011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更好维护全县社会治安稳定</w:t>
            </w:r>
          </w:p>
        </w:tc>
      </w:tr>
    </w:tbl>
    <w:p w14:paraId="56789F01">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77E7B4C4">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40D7D5A3">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27.扫黑除恶专项经费绩效目标表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30502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581AFD15">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311C8446">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2833B5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BEB30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8956C2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13052822P00109910028Q</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2E881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79C9F63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扫黑除恶专项经费</w:t>
            </w:r>
          </w:p>
        </w:tc>
      </w:tr>
      <w:tr w14:paraId="4D5B92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CEE641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566A0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36AA6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15.00</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E38FB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CAD7A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15.00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BB157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7133D5">
            <w:pPr>
              <w:pStyle w:val="17"/>
              <w:keepNext w:val="0"/>
              <w:keepLines w:val="0"/>
              <w:widowControl/>
              <w:suppressLineNumbers w:val="0"/>
              <w:rPr>
                <w:rFonts w:hint="default" w:ascii="方正书宋_GBK" w:hAnsi="方正书宋_GBK" w:eastAsia="方正书宋_GBK" w:cs="方正书宋_GBK"/>
                <w:sz w:val="21"/>
                <w:szCs w:val="21"/>
              </w:rPr>
            </w:pPr>
          </w:p>
        </w:tc>
      </w:tr>
      <w:tr w14:paraId="4E2EFC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6DEC9E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1F7AFBE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扫黑除恶专项经费</w:t>
            </w:r>
          </w:p>
        </w:tc>
      </w:tr>
      <w:tr w14:paraId="3088FC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680ACF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2F4D1F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C0B72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23211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313052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28DB52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AC9FE2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466CB96">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AA9A9E">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AA6FA8">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45D4B26">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306123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5390191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3E6C10D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1.黑恶犯罪及新型犯罪得到有效打击</w:t>
            </w:r>
          </w:p>
        </w:tc>
      </w:tr>
    </w:tbl>
    <w:p w14:paraId="1731A544">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5EEC4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5C6AA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5DF69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B6105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30522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8FB0B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A0CE4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65210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480FA6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5F1FE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090EA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协调督办案件数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DFE92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协调督办案件数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8282F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24847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协调督办案件数</w:t>
            </w:r>
          </w:p>
        </w:tc>
      </w:tr>
      <w:tr w14:paraId="578CB6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34009A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4427D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A76A8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违法案件人均办案率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AE759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违法案件人均办案率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2987A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07DC8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违法案件人均办案率</w:t>
            </w:r>
          </w:p>
        </w:tc>
      </w:tr>
      <w:tr w14:paraId="34969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A50851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94299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6B3E3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保障办案工作的开展进度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1C08F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保障办案工作的开展进度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34425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A31B9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保障办案工作的开展进度</w:t>
            </w:r>
          </w:p>
        </w:tc>
      </w:tr>
      <w:tr w14:paraId="66874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A5170C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44CB9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E6F67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经费保证能力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2C706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经费保证能力</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36623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B3A51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经费保证能力</w:t>
            </w:r>
          </w:p>
        </w:tc>
      </w:tr>
      <w:tr w14:paraId="5F9903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0E094B6">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E6AED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BFF2D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信息化破案率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DC008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信息化破案率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28D25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B064C4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信息化破案率</w:t>
            </w:r>
          </w:p>
        </w:tc>
      </w:tr>
      <w:tr w14:paraId="3D290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2B7757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B8D74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6737E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有组织犯罪案件数降低率(%)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DDD9E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有组织犯罪案件数降低率(%)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8F0CD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92853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有组织犯罪案件数降低率(%)</w:t>
            </w:r>
          </w:p>
        </w:tc>
      </w:tr>
      <w:tr w14:paraId="71BB0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C34F93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C5326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16344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违法犯罪得到有力打击</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B5572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违法犯罪得到有力打击</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6EE25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23DC2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违法犯罪得到有力打击</w:t>
            </w:r>
          </w:p>
        </w:tc>
      </w:tr>
      <w:tr w14:paraId="38A86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55B78A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FE420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4C6BF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维护社会稳定</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5BB2C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维护社会稳定</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0737B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73FB3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维护社会稳定</w:t>
            </w:r>
          </w:p>
        </w:tc>
      </w:tr>
      <w:tr w14:paraId="6B0D5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787F5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A46D2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BB029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F70C2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B01D1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9F3C6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r>
    </w:tbl>
    <w:p w14:paraId="378D0812">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7AA6C541">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36433873">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28.提前下达2022年省级基层公检法司转移支付资金业务费（冀财政法[2021]63号）绩效目标表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3969D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787084C8">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7C324E01">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0F19FE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8C8F7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FABC09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13052822P00063410001U</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A2A38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76FA56D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提前下达2022年省级基层公检法司转移支付资金业务费（冀财政法[2021]63号）</w:t>
            </w:r>
          </w:p>
        </w:tc>
      </w:tr>
      <w:tr w14:paraId="088704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E2AAE1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BF502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6F3AA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179.79</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64338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9A153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179.79</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A2CC1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E24CD4">
            <w:pPr>
              <w:pStyle w:val="17"/>
              <w:keepNext w:val="0"/>
              <w:keepLines w:val="0"/>
              <w:widowControl/>
              <w:suppressLineNumbers w:val="0"/>
              <w:rPr>
                <w:rFonts w:hint="default" w:ascii="方正书宋_GBK" w:hAnsi="方正书宋_GBK" w:eastAsia="方正书宋_GBK" w:cs="方正书宋_GBK"/>
                <w:sz w:val="21"/>
                <w:szCs w:val="21"/>
              </w:rPr>
            </w:pPr>
          </w:p>
        </w:tc>
      </w:tr>
      <w:tr w14:paraId="109474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08FC3E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7696654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用于支付办案业务差旅费</w:t>
            </w:r>
          </w:p>
        </w:tc>
      </w:tr>
      <w:tr w14:paraId="19ED81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38E8FE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7A1C0B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3127B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32BAA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FE34DD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481810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D75369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350F5F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3D3FBE">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C2B26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B189C44">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605357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2D608FD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53F01E9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1.目标内容1</w:t>
            </w:r>
          </w:p>
        </w:tc>
      </w:tr>
    </w:tbl>
    <w:p w14:paraId="55383A68">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16AA61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CC759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66B42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DAD08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28D97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2DF2F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60CE9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326CB1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39F7AA8">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61833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20B57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大案要案查处率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9A79B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大案要案查处率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7E0A5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33FBC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成功查处大要案情况</w:t>
            </w:r>
          </w:p>
        </w:tc>
      </w:tr>
      <w:tr w14:paraId="721D0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54DB0F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8F689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0C2D6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治安案件发案数（个）</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A4555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平均每日治安案件发案数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AA3AB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79486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成功处置群体性事件数</w:t>
            </w:r>
          </w:p>
        </w:tc>
      </w:tr>
      <w:tr w14:paraId="382C6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45DEED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07389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E1B48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群体性事件成功处置率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E9A91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成功处置群体性事件数占全部案件数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590E9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95FB3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成功处置群体性事件数</w:t>
            </w:r>
          </w:p>
        </w:tc>
      </w:tr>
      <w:tr w14:paraId="11505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DDD71D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10AF8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648C9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治安、刑事案件处理及时性（小时）</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303A1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治安、刑事案件处理及时性（小时）</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35374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507F6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治安、刑事案件处理及时性</w:t>
            </w:r>
          </w:p>
        </w:tc>
      </w:tr>
      <w:tr w14:paraId="359E49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2DFDC4A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6470E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8F9A6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48C49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9C818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9F84F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r>
      <w:tr w14:paraId="32E96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27EF8C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F55CC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2D405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9D4DE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CDE42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99EF8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r>
      <w:tr w14:paraId="0066E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D94EE5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A90F9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F6116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经济损失减少/避免数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C77F8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经济损失减少/避免数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1193B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EE22A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减少群众经济损失</w:t>
            </w:r>
          </w:p>
        </w:tc>
      </w:tr>
      <w:tr w14:paraId="0B536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DA75B0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AA4D6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D6A20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23632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DFAD0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D46F3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r>
      <w:tr w14:paraId="50D33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6CA07A">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06375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ED3BB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普法宣传对象满意度(%)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8B740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普法宣传对象满意度(%)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7AB6C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7FCF4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群众对工作整体满意度</w:t>
            </w:r>
          </w:p>
        </w:tc>
      </w:tr>
    </w:tbl>
    <w:p w14:paraId="63416B97">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7A4B7A5B">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78EE4D19">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29.提前下达2022年省级基层公检法司转移支付资金装备费（冀财政法[2021]63号）绩效目标表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322B1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1695F893">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710E07C9">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2A0D74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D6C38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9F0B6B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13052822P000633100016</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A0A3E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17ABE20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提前下达2022年省级基层公检法司转移支付资金装备费（冀财政法[2021]63号）</w:t>
            </w:r>
          </w:p>
        </w:tc>
      </w:tr>
      <w:tr w14:paraId="003E63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17EDB0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77581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230C2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148.21</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F3113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F42B4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148.21</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81231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42BB3D">
            <w:pPr>
              <w:pStyle w:val="17"/>
              <w:keepNext w:val="0"/>
              <w:keepLines w:val="0"/>
              <w:widowControl/>
              <w:suppressLineNumbers w:val="0"/>
              <w:rPr>
                <w:rFonts w:hint="default" w:ascii="方正书宋_GBK" w:hAnsi="方正书宋_GBK" w:eastAsia="方正书宋_GBK" w:cs="方正书宋_GBK"/>
                <w:sz w:val="21"/>
                <w:szCs w:val="21"/>
              </w:rPr>
            </w:pPr>
          </w:p>
        </w:tc>
      </w:tr>
      <w:tr w14:paraId="4509FA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F4D493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01B8FDF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公安执法办案装备购置</w:t>
            </w:r>
          </w:p>
        </w:tc>
      </w:tr>
      <w:tr w14:paraId="7589E5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9E8401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C63EBA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84CBB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D3811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1A7558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633316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8C4707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D32470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A4066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9FF02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8DEAC42">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7BEBF3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0AEC336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7993F69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1.为更好应对各种突发性事件，打击各种违法犯罪行为</w:t>
            </w:r>
          </w:p>
        </w:tc>
      </w:tr>
    </w:tbl>
    <w:p w14:paraId="39E5AA38">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7BDF0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58584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7BF80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68DB4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97016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3C16F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8CB75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63416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22F60EE">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01035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FC2C7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公安技术装备配备完成率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5BDD5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公安技术装备配备完成率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2D99B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2556D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公安技术装备配备完成率</w:t>
            </w:r>
          </w:p>
        </w:tc>
      </w:tr>
      <w:tr w14:paraId="40671C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9BD1EC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9B67D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2278A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装备配发数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AC55D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装备配发数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44590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7197C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装备配发数</w:t>
            </w:r>
          </w:p>
        </w:tc>
      </w:tr>
      <w:tr w14:paraId="3DBB3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A377C0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F9138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E9516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民警勤务装备配备完成率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1E06B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民警勤务装备配备完成率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3C02C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C705B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民警勤务装备配备完成率</w:t>
            </w:r>
          </w:p>
        </w:tc>
      </w:tr>
      <w:tr w14:paraId="60BBE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0579DD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3CA82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80DED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装备配备及时率（%）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F65D2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装备配备及时情况</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6AE61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AB607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装备配备及时情况</w:t>
            </w:r>
          </w:p>
        </w:tc>
      </w:tr>
      <w:tr w14:paraId="6C61B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6DCEBB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295D8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77CC8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EB46F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38F04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E1580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r>
      <w:tr w14:paraId="460B9C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159AE4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23782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0AE5E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4B70E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D52C9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B8F24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r>
      <w:tr w14:paraId="45CF3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4ACB4E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8019B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9DEB7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提高民警战斗力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BF53D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提高民警战斗力</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B159C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46BD8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民警战斗力提升率</w:t>
            </w:r>
          </w:p>
        </w:tc>
      </w:tr>
      <w:tr w14:paraId="553E8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443BBB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56F85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5DDBB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4001B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EA65B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539D8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r>
      <w:tr w14:paraId="7A054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16EEB6">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0142A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7681D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普法宣传对象满意度(%)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90A1C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普法宣传对象满意度(%)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2F19E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B00A1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群众对工作整体满意度</w:t>
            </w:r>
          </w:p>
        </w:tc>
      </w:tr>
    </w:tbl>
    <w:p w14:paraId="53AE6428">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3E43875F">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26A25097">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30.提前下达2022年中央政法纪检监察转移支付资金业务费（冀财政法[2021]62号）绩效目标表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F4191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3CD47BAB">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35B6D2E5">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16152C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2ACE2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6AB356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13052822P00063210001G</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5953E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0CF0967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提前下达2022年中央政法纪检监察转移支付资金业务费（冀财政法[2021]62号）</w:t>
            </w:r>
          </w:p>
        </w:tc>
      </w:tr>
      <w:tr w14:paraId="4427D6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557851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7E00A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FED41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263.82</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6470C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C791C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263.82</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795AE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E38F4D">
            <w:pPr>
              <w:pStyle w:val="17"/>
              <w:keepNext w:val="0"/>
              <w:keepLines w:val="0"/>
              <w:widowControl/>
              <w:suppressLineNumbers w:val="0"/>
              <w:rPr>
                <w:rFonts w:hint="default" w:ascii="方正书宋_GBK" w:hAnsi="方正书宋_GBK" w:eastAsia="方正书宋_GBK" w:cs="方正书宋_GBK"/>
                <w:sz w:val="21"/>
                <w:szCs w:val="21"/>
              </w:rPr>
            </w:pPr>
          </w:p>
        </w:tc>
      </w:tr>
      <w:tr w14:paraId="7F0956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52E41B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530AC43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用于办理各项业务经费</w:t>
            </w:r>
          </w:p>
        </w:tc>
      </w:tr>
      <w:tr w14:paraId="4AD5C8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0FEC17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C3FC6D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37F2C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9A18C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A872CD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6F4BCA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8D5EBB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8D59CB4">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3E0FC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1F55E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2D7580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7E74BF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5D57C14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23478F2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1.为更好应对各种突发性事件，打击各种违法犯罪行为，保障</w:t>
            </w:r>
            <w:r>
              <w:rPr>
                <w:rFonts w:hint="eastAsia" w:cs="方正书宋_GBK"/>
                <w:sz w:val="21"/>
                <w:szCs w:val="21"/>
                <w:lang w:eastAsia="zh-CN"/>
              </w:rPr>
              <w:t>人民群众</w:t>
            </w:r>
            <w:r>
              <w:rPr>
                <w:rFonts w:hint="default" w:ascii="方正书宋_GBK" w:hAnsi="方正书宋_GBK" w:eastAsia="方正书宋_GBK" w:cs="方正书宋_GBK"/>
                <w:sz w:val="21"/>
                <w:szCs w:val="21"/>
              </w:rPr>
              <w:t>生命财产安全，保护社会和谐稳定。</w:t>
            </w:r>
          </w:p>
        </w:tc>
      </w:tr>
    </w:tbl>
    <w:p w14:paraId="1FBFDD38">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319EA6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487B5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0F8CF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1CAA1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B03C4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1ED62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86DED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46645B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18C7E7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7E4C8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8C184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大案要案查处率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D15BB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大案要案查处率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C2537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3E938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成功查处大要案情况</w:t>
            </w:r>
          </w:p>
        </w:tc>
      </w:tr>
      <w:tr w14:paraId="5581A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057B07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472B8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76FEB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治安案件发案数（个）</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0E529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平均每日治安案件发案数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9BA53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96364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成功处置群体性事件数</w:t>
            </w:r>
          </w:p>
        </w:tc>
      </w:tr>
      <w:tr w14:paraId="40CED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60D14E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DBF22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3BCB5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群体性事件成功处置率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5988B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成功处置群体性事件数占全部案件数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FFA9B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619F6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成功处置群体性事件数</w:t>
            </w:r>
          </w:p>
        </w:tc>
      </w:tr>
      <w:tr w14:paraId="17902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4DB08D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1F5ED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604BF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治安、刑事案件处理及时性（小时）</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8A10B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治安、刑事案件处理及时性（小时）</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C35F7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E576F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治安、刑事案件处理及时性</w:t>
            </w:r>
          </w:p>
        </w:tc>
      </w:tr>
      <w:tr w14:paraId="2BD52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5A82FA2">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18515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5E1D1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48383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55542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668D6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r>
      <w:tr w14:paraId="4F10F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7E4B12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8FC69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4C886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16BA6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E83D0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0220C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r>
      <w:tr w14:paraId="320E54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860D4C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947A3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9C765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经济损失减少/避免数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743F7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经济损失减少/避免数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6CCE3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E78E5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减少群众经济损失</w:t>
            </w:r>
          </w:p>
        </w:tc>
      </w:tr>
      <w:tr w14:paraId="61027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48EAA0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90974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9D11C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35AA9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1CCFF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94618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r>
      <w:tr w14:paraId="1F32A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DA6AEA">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22122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C95DC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普法宣传对象满意度(%)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48C3E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普法宣传对象满意度(%)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A23B2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67D48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群众对工作整体满意度</w:t>
            </w:r>
          </w:p>
        </w:tc>
      </w:tr>
    </w:tbl>
    <w:p w14:paraId="6909EC10">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0200352D">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04BE54CE">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31.提前下达2022年中央政法纪检监察转移支付资金装备费（冀财政法[2021]62号）绩效目标表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72EEB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0501A17B">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11E28816">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2779C9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4420C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D9CB39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13052822P00063110001T</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23A1F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2EE73B1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提前下达2022年中央政法纪检监察转移支付资金装备费（冀财政法[2021]62号）</w:t>
            </w:r>
          </w:p>
        </w:tc>
      </w:tr>
      <w:tr w14:paraId="4BFF72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7AB6B0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16C54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4A408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237.18</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9F2A4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BBACF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237.18</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FA4EB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8C3E54">
            <w:pPr>
              <w:pStyle w:val="17"/>
              <w:keepNext w:val="0"/>
              <w:keepLines w:val="0"/>
              <w:widowControl/>
              <w:suppressLineNumbers w:val="0"/>
              <w:rPr>
                <w:rFonts w:hint="default" w:ascii="方正书宋_GBK" w:hAnsi="方正书宋_GBK" w:eastAsia="方正书宋_GBK" w:cs="方正书宋_GBK"/>
                <w:sz w:val="21"/>
                <w:szCs w:val="21"/>
              </w:rPr>
            </w:pPr>
          </w:p>
        </w:tc>
      </w:tr>
      <w:tr w14:paraId="1ADFFE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F22470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621A109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公安机关装备购置</w:t>
            </w:r>
          </w:p>
        </w:tc>
      </w:tr>
      <w:tr w14:paraId="382A12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1FF384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318549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43AA0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22A72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3B95D4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7A90C3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3472BE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D50E298">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05A069">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E22ED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1295728">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1D1338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61CE568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53ECFCC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1.为更好应对各种突发性事件，打击各种违法犯罪行为</w:t>
            </w:r>
          </w:p>
        </w:tc>
      </w:tr>
    </w:tbl>
    <w:p w14:paraId="386D4854">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7DA11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01655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35913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28693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24633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3C2EE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77AC7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0BF50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21C42A8F">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F8564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8F835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公安技术装备配备完成率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EEED1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公安技术装备配备完成率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9B479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E7860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公安技术装备配备完成率</w:t>
            </w:r>
          </w:p>
        </w:tc>
      </w:tr>
      <w:tr w14:paraId="2B9E05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33844E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D58B4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2ECFB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装备配发数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BC9252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装备配发数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52391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02C98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装备配发数</w:t>
            </w:r>
          </w:p>
        </w:tc>
      </w:tr>
      <w:tr w14:paraId="50198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DEF17E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B74B2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4BDC4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民警勤务装备配备完成率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B1AE3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民警勤务装备配备完成率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BBE77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6C663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民警勤务装备配备完成率</w:t>
            </w:r>
          </w:p>
        </w:tc>
      </w:tr>
      <w:tr w14:paraId="115B9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226880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287B4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1EA3A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装备配备及时率（%）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5FF60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装备配备及时情况</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972D1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09B0C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装备配备及时情况</w:t>
            </w:r>
          </w:p>
        </w:tc>
      </w:tr>
      <w:tr w14:paraId="7D47F7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9D1FC5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C68D2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BB626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5205D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D449A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67847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环保违法犯罪得到有力打击</w:t>
            </w:r>
          </w:p>
        </w:tc>
      </w:tr>
      <w:tr w14:paraId="08926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332AD1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88E09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A0C92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796F9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83412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5C72E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保障业务工作情况</w:t>
            </w:r>
          </w:p>
        </w:tc>
      </w:tr>
      <w:tr w14:paraId="34ABF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9CC5FC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132AD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29986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提高民警战斗力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18E92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提高民警战斗力</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DD70A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F565B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民警战斗力提升率</w:t>
            </w:r>
          </w:p>
        </w:tc>
      </w:tr>
      <w:tr w14:paraId="6834FE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500722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A80F5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E75FA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39B2B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0B513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D7B04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侦破各类案件发挥积极作用</w:t>
            </w:r>
          </w:p>
        </w:tc>
      </w:tr>
      <w:tr w14:paraId="7E28E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790DB4">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8C243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02E25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普法宣传对象满意度(%)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21177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普法宣传对象满意度(%)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D6BA1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57CB8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群众对工作整体满意度</w:t>
            </w:r>
          </w:p>
        </w:tc>
      </w:tr>
    </w:tbl>
    <w:p w14:paraId="1B6AB648">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5839BFA3">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73E4BDAA">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32.天网二期网源租赁费绩效目标表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FE648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4D25DA1F">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0318583C">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1E0E4B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E30AC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FA92EA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13052822P00109910019G</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4296F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3C164D7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天网二期网源租赁费</w:t>
            </w:r>
          </w:p>
        </w:tc>
      </w:tr>
      <w:tr w14:paraId="4A902A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0A3CB7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722B0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3C193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96.25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E1D2D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EE0E8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96.25</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1084E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CE85B6">
            <w:pPr>
              <w:pStyle w:val="17"/>
              <w:keepNext w:val="0"/>
              <w:keepLines w:val="0"/>
              <w:widowControl/>
              <w:suppressLineNumbers w:val="0"/>
              <w:rPr>
                <w:rFonts w:hint="default" w:ascii="方正书宋_GBK" w:hAnsi="方正书宋_GBK" w:eastAsia="方正书宋_GBK" w:cs="方正书宋_GBK"/>
                <w:sz w:val="21"/>
                <w:szCs w:val="21"/>
              </w:rPr>
            </w:pPr>
          </w:p>
        </w:tc>
      </w:tr>
      <w:tr w14:paraId="48EE06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9F619D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55ECF21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用于天网二期网源租赁费</w:t>
            </w:r>
          </w:p>
        </w:tc>
      </w:tr>
      <w:tr w14:paraId="10DEC1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75EC44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515803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99F42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9904B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67D309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47F824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06BB0F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0E303BE">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3E277E">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87F9E6">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C8320CF">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28E37B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285657A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79BBAB7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1.保障天网正常运转及终端视频图像的传输</w:t>
            </w:r>
          </w:p>
        </w:tc>
      </w:tr>
    </w:tbl>
    <w:p w14:paraId="435D9E1E">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38B63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F6ACC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4146D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02284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B5D32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B5A9C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E034C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440503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FD0935A">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E5E15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E9F69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设备检修维护次数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0487F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设备检修维护次数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4387A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F41D1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维护摄像头数量</w:t>
            </w:r>
          </w:p>
        </w:tc>
      </w:tr>
      <w:tr w14:paraId="0B38C0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522B5C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561E9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055C2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年度维护成本增长率（%）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30824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年度维护成本增长率（%）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90062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C51E8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网络维护成本</w:t>
            </w:r>
          </w:p>
        </w:tc>
      </w:tr>
      <w:tr w14:paraId="33E6D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99D415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22793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BE981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信息系统建设维护工作完成率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FF590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信息系统建设维护工作完成率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ADACA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0C5F2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网络正常运行保障率</w:t>
            </w:r>
          </w:p>
        </w:tc>
      </w:tr>
      <w:tr w14:paraId="7B357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96A355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2E210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29DCE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光纤网络等维护响应时间</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A46C1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光纤网络等维护响应时间</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790BF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3F11A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及时完成信息系统及网络安全隐患排查</w:t>
            </w:r>
          </w:p>
        </w:tc>
      </w:tr>
      <w:tr w14:paraId="1D28FF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5D1D87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BD470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32B4F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提高工作效率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2D728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提高工作效率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463D3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E71E5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提高办案效率</w:t>
            </w:r>
          </w:p>
        </w:tc>
      </w:tr>
      <w:tr w14:paraId="674ED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5F5A5F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FF358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4763E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治安防控体系覆盖率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78DF1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治安防控体系覆盖率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0EB5E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A0B99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提高辖区治安防范能力</w:t>
            </w:r>
          </w:p>
        </w:tc>
      </w:tr>
      <w:tr w14:paraId="32C14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E7AB56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8DFE7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7C735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9B399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A8ED1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DBA6A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w:t>
            </w:r>
          </w:p>
        </w:tc>
      </w:tr>
      <w:tr w14:paraId="290E48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C40DBA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F95B3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E9D26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45A34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B9FB1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682BB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r>
      <w:tr w14:paraId="1A94C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90CB9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2684C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FEC22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6A1CF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EC19C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6455E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更好维护全县社会治安稳定</w:t>
            </w:r>
          </w:p>
        </w:tc>
      </w:tr>
    </w:tbl>
    <w:p w14:paraId="3C746C9F">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4517AFC5">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3B8EBBF6">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33.天网二期网源租赁费增补费绩效目标表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3A1E7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2E572D98">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027861DE">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77FC07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F42C8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BC9D9D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13052822P00109910020U</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A9F7F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12DD430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天网二期网源租赁费增补费</w:t>
            </w:r>
          </w:p>
        </w:tc>
      </w:tr>
      <w:tr w14:paraId="161010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A1986E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18B4A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91BBC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28.74</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57234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7AF6C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28.74</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DF8F4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F152BF">
            <w:pPr>
              <w:pStyle w:val="17"/>
              <w:keepNext w:val="0"/>
              <w:keepLines w:val="0"/>
              <w:widowControl/>
              <w:suppressLineNumbers w:val="0"/>
              <w:rPr>
                <w:rFonts w:hint="default" w:ascii="方正书宋_GBK" w:hAnsi="方正书宋_GBK" w:eastAsia="方正书宋_GBK" w:cs="方正书宋_GBK"/>
                <w:sz w:val="21"/>
                <w:szCs w:val="21"/>
              </w:rPr>
            </w:pPr>
          </w:p>
        </w:tc>
      </w:tr>
      <w:tr w14:paraId="26A141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60C821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688BCE0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天网二期网源租赁费增补费</w:t>
            </w:r>
          </w:p>
        </w:tc>
      </w:tr>
      <w:tr w14:paraId="5EB91F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05665C3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5EA4F4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DDB59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2AFE0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90CF3E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435AC3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8CC756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B64DEB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C4DDBA">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28BC5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2BBCF3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3B00CE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26FE260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2639E25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1.保障天网正常运转及终端视频图像的传输</w:t>
            </w:r>
          </w:p>
        </w:tc>
      </w:tr>
    </w:tbl>
    <w:p w14:paraId="2FC21665">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0DDD3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1643C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DCC32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C8D9D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92B28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870DE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DF4F4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17224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67634B4">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13A9F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BB0A7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设备检修维护次数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E5C1B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设备检修维护次数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D5431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ECC95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维护摄像头数量</w:t>
            </w:r>
          </w:p>
        </w:tc>
      </w:tr>
      <w:tr w14:paraId="70425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DDC58E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8187C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B49D8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年度维护成本增长率（%）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0A197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年度维护成本增长率（%）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E7B4B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B01F9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网络维护成本</w:t>
            </w:r>
          </w:p>
        </w:tc>
      </w:tr>
      <w:tr w14:paraId="71EB3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B7F99D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E7A8F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64398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信息系统建设维护工作完成率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6D578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信息系统建设维护工作完成率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85A58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AFA00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网络正常运行保障率</w:t>
            </w:r>
          </w:p>
        </w:tc>
      </w:tr>
      <w:tr w14:paraId="1FCE9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018E0E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4C0DF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48A39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光纤网络等维护响应时间</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63490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光纤网络等维护响应时间</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B6ACA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FC87B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及时完成信息系统及网络安全隐患排查</w:t>
            </w:r>
          </w:p>
        </w:tc>
      </w:tr>
      <w:tr w14:paraId="43281C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54727AE">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EE17F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29B3B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提高工作效率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F6F86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提高工作效率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173F6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16C8A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提高办案效率</w:t>
            </w:r>
          </w:p>
        </w:tc>
      </w:tr>
      <w:tr w14:paraId="718ED1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248316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96B45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F4CAD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治安防控体系覆盖率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0D397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治安防控体系覆盖率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275BF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8AE82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提高辖区治安防范能力</w:t>
            </w:r>
          </w:p>
        </w:tc>
      </w:tr>
      <w:tr w14:paraId="3BCD6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6E307B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C03F2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1F6B8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83990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3B7A4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BCA45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w:t>
            </w:r>
          </w:p>
        </w:tc>
      </w:tr>
      <w:tr w14:paraId="3436D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D21246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62A56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894C8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AD01A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C9632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629DE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r>
      <w:tr w14:paraId="47DDA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7FEFF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D4B77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CA4C6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DA744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344C6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23810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更好维护全县社会治安稳定</w:t>
            </w:r>
          </w:p>
        </w:tc>
      </w:tr>
    </w:tbl>
    <w:p w14:paraId="40D53569">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68561391">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2EBD12C0">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34.天网一期网源租赁费绩效目标表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02795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2B19F72A">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6B2CC254">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199FE8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367A6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08A25B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13052822P001099100179</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D298D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463BC23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天网一期网源租赁费</w:t>
            </w:r>
          </w:p>
        </w:tc>
      </w:tr>
      <w:tr w14:paraId="1092C4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2AED18E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EC921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E552A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48.88</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5DA20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97257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48.88</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7F1F8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4B60E6">
            <w:pPr>
              <w:pStyle w:val="17"/>
              <w:keepNext w:val="0"/>
              <w:keepLines w:val="0"/>
              <w:widowControl/>
              <w:suppressLineNumbers w:val="0"/>
              <w:rPr>
                <w:rFonts w:hint="default" w:ascii="方正书宋_GBK" w:hAnsi="方正书宋_GBK" w:eastAsia="方正书宋_GBK" w:cs="方正书宋_GBK"/>
                <w:sz w:val="21"/>
                <w:szCs w:val="21"/>
              </w:rPr>
            </w:pPr>
          </w:p>
        </w:tc>
      </w:tr>
      <w:tr w14:paraId="0D79EB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73F160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0C4D710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天网一期网源租赁费</w:t>
            </w:r>
          </w:p>
        </w:tc>
      </w:tr>
      <w:tr w14:paraId="79F986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A39172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23D7EF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38B20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125C0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FDACAE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0064FE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125D17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2203D3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352322">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B764B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43197DE">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3A6584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347ED4A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071D4DD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1.保障天网正常运转及终端视频图像的传输</w:t>
            </w:r>
          </w:p>
        </w:tc>
      </w:tr>
    </w:tbl>
    <w:p w14:paraId="27AC3977">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49251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88201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12ABE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FD292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6377E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3EB3D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BD69E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060E7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D3C2C3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1DC9A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0E26E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设备检修维护次数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D9307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设备检修维护次数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4EFE1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D5294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维护摄像头数量</w:t>
            </w:r>
          </w:p>
        </w:tc>
      </w:tr>
      <w:tr w14:paraId="75CF4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B9F88A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55A3C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D2354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年度维护成本增长率（%）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12628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年度维护成本增长率（%）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5ECCB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6CA09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网络维护成本</w:t>
            </w:r>
          </w:p>
        </w:tc>
      </w:tr>
      <w:tr w14:paraId="3CE5FD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2A7005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F548D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6500D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信息系统建设维护工作完成率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AC099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信息系统建设维护工作完成率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62F20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490F3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网络正常运行保障率</w:t>
            </w:r>
          </w:p>
        </w:tc>
      </w:tr>
      <w:tr w14:paraId="7B3EC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E4FF18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F39A7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DCD65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光纤网络等维护响应时间</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AAE5E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光纤网络等维护响应时间</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245A1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5F567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及时完成信息系统及网络安全隐患排查</w:t>
            </w:r>
          </w:p>
        </w:tc>
      </w:tr>
      <w:tr w14:paraId="01A78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446FE1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C2F46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BA65B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提高工作效率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3E2A7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提高工作效率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02ED3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74D9C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提高办案效率</w:t>
            </w:r>
          </w:p>
        </w:tc>
      </w:tr>
      <w:tr w14:paraId="642E1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579E40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9ADCD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C8C09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治安防控体系覆盖率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FF37A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治安防控体系覆盖率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E3732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B639C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提高辖区治安防范能力</w:t>
            </w:r>
          </w:p>
        </w:tc>
      </w:tr>
      <w:tr w14:paraId="59363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6EC498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512B0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B66D9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5C1CD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E2871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7D6BD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w:t>
            </w:r>
          </w:p>
        </w:tc>
      </w:tr>
      <w:tr w14:paraId="4920AD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F2C3FF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07D58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74EA8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223C7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FD113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666DA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网络安全稳定运行</w:t>
            </w:r>
          </w:p>
        </w:tc>
      </w:tr>
      <w:tr w14:paraId="5B6A04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EA485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73E97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9356F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6F199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A5354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C4490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更好维护全县社会治安稳定</w:t>
            </w:r>
          </w:p>
        </w:tc>
      </w:tr>
    </w:tbl>
    <w:p w14:paraId="54E57541">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6C136B14">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18BC4269">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35.天网运行维修维护费(公用运转保障)绩效目标表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8979B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579E678F">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2353B386">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417F16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228B6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067839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13052822P00092810001J</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FFC14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204589C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天网运行维修维护费(公用运转保障)</w:t>
            </w:r>
          </w:p>
        </w:tc>
      </w:tr>
      <w:tr w14:paraId="0F2722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B3A803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2FBB6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E8296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125.40</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E86E4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DFDD6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125.40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169B2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F28AA0">
            <w:pPr>
              <w:pStyle w:val="17"/>
              <w:keepNext w:val="0"/>
              <w:keepLines w:val="0"/>
              <w:widowControl/>
              <w:suppressLineNumbers w:val="0"/>
              <w:rPr>
                <w:rFonts w:hint="default" w:ascii="方正书宋_GBK" w:hAnsi="方正书宋_GBK" w:eastAsia="方正书宋_GBK" w:cs="方正书宋_GBK"/>
                <w:sz w:val="21"/>
                <w:szCs w:val="21"/>
              </w:rPr>
            </w:pPr>
          </w:p>
        </w:tc>
      </w:tr>
      <w:tr w14:paraId="0EBA5E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4A19DB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61A988F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天网运行维修维护费</w:t>
            </w:r>
          </w:p>
        </w:tc>
      </w:tr>
      <w:tr w14:paraId="58C24A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38D34C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0631E6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E2829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12A26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09ABE9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289C33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EA63EF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A5E6D2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457BB4">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4E54D4">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FEEDA86">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402152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636AFFA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2FE020A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1.提高辖区治安防范能力，维护辖区社会治安稳定</w:t>
            </w:r>
          </w:p>
        </w:tc>
      </w:tr>
    </w:tbl>
    <w:p w14:paraId="11CE16AC">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7F510A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64FFA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39698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68DB0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B2783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4E2A9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C1DEE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0C9FF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BD691E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DC25F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E89A8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维护摄像头数量</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70618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维护摄像头数量</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3EE1A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3A7D4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维护摄像头数量</w:t>
            </w:r>
          </w:p>
        </w:tc>
      </w:tr>
      <w:tr w14:paraId="009FB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6E5BDD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BF030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F3199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网络等保及运维</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7471D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网络等保及运维</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720AE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DBE1A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网络等保及运维</w:t>
            </w:r>
          </w:p>
        </w:tc>
      </w:tr>
      <w:tr w14:paraId="4A27D2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11F6D0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D80A9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CBBB6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网络正常运行保障率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34453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网络正常运行保障率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5A09E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B0F9C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网络正常运行保障率</w:t>
            </w:r>
          </w:p>
        </w:tc>
      </w:tr>
      <w:tr w14:paraId="1DA0B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559417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3ABD6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2D742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信息系统及网络安全隐患排查完成时间</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C1471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信息系统及网络安全隐患排查完成时间</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E945F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B5F46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及时完成信息系统及网络安全隐患排查</w:t>
            </w:r>
          </w:p>
        </w:tc>
      </w:tr>
      <w:tr w14:paraId="0ACE8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1BF35F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2B1AB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86E9B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提高办案效率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30E14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提高办案效率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F759C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46FE6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提高办案效率</w:t>
            </w:r>
          </w:p>
        </w:tc>
      </w:tr>
      <w:tr w14:paraId="58E9D4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ECC66F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FED62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C1A4E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提高辖区治安防范能力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56C1C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提高辖区治安防范能力</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D7D50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626FB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提高辖区治安防范能力</w:t>
            </w:r>
          </w:p>
        </w:tc>
      </w:tr>
      <w:tr w14:paraId="356A8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8273F1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9DAC0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46C65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保证天网工程正常运行</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19D8C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保证天网工程正常运行</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5376C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72FF1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保证天网工程正常运行</w:t>
            </w:r>
          </w:p>
        </w:tc>
      </w:tr>
      <w:tr w14:paraId="15C3F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8A9875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D8A2D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534C9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4F05A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AFBEA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78C03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重大环保事件及时发现率（%）</w:t>
            </w:r>
          </w:p>
        </w:tc>
      </w:tr>
      <w:tr w14:paraId="499AB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7905A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16470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88FC7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更好地为维护全县社会治安秩序安全稳定</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FE2D2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更好地为维护全县社会治安秩序安全稳定</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276ED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62878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更好地为维护全县社会治安秩序安全稳定</w:t>
            </w:r>
          </w:p>
        </w:tc>
      </w:tr>
    </w:tbl>
    <w:p w14:paraId="54CCAEC3">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20486C7A">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7B97E75A">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36.统筹外人员绩效奖金绩效目标表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DE0BE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45689378">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3BC84539">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02780D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3B0D4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5874E9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13052822P00109910104U</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F59E5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7CF312C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统筹外人员绩效奖金</w:t>
            </w:r>
          </w:p>
        </w:tc>
      </w:tr>
      <w:tr w14:paraId="19DB8D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547103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0DD83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0B4EB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1.16</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6F0D2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C3CC8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1.16</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6D16C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DB342B">
            <w:pPr>
              <w:pStyle w:val="17"/>
              <w:keepNext w:val="0"/>
              <w:keepLines w:val="0"/>
              <w:widowControl/>
              <w:suppressLineNumbers w:val="0"/>
              <w:rPr>
                <w:rFonts w:hint="default" w:ascii="方正书宋_GBK" w:hAnsi="方正书宋_GBK" w:eastAsia="方正书宋_GBK" w:cs="方正书宋_GBK"/>
                <w:sz w:val="21"/>
                <w:szCs w:val="21"/>
              </w:rPr>
            </w:pPr>
          </w:p>
        </w:tc>
      </w:tr>
      <w:tr w14:paraId="5CEC15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9F12C0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0E60EC4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保障统筹外退休人员绩效工资</w:t>
            </w:r>
          </w:p>
        </w:tc>
      </w:tr>
      <w:tr w14:paraId="63F332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712363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852310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273DA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74983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C463D8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65D1AE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5E8306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D07C630">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2B6B88">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D75D8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E869992">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787967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7872D8D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72D37C2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1.保障统筹外退休人员绩效工资</w:t>
            </w:r>
          </w:p>
        </w:tc>
      </w:tr>
    </w:tbl>
    <w:p w14:paraId="56D2970C">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3AACF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CC738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89F5A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EDB788">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D197F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1A81C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D4C91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09737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F639B84">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2C2FE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07363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保障单位人员工资发放人数</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69918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保证单位人员工资发放的人数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C4B1C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＝1人数</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C1DAD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6E6D2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CEE940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264E1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DB6A7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工资发放计算准确率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723CB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实际发放工资额/应发放工资额*100%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DE720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B308E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5D8AFA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064339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AC8FF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D5E1C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按政策按时发放到位率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AC5FF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实际按规定发放时间次数/全部发放次数*100%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DB2C0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1B96F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5DA8E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C21932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332FB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FC1DF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工资成本</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BE7D6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人均经费达到政策要求</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DCB64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≥747元/月</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50BE4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国办发[2018]112号</w:t>
            </w:r>
          </w:p>
        </w:tc>
      </w:tr>
      <w:tr w14:paraId="0ACEB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9BA9308">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88307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9BB93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79F32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职工对工资发放工作的评价</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4A0FE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ED3F9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r w14:paraId="0D40C5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24449A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21909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FFADB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A4C4C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重点工作完成的占全部重点工作的比重</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60BB4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D1887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年初工作计划</w:t>
            </w:r>
          </w:p>
        </w:tc>
      </w:tr>
      <w:tr w14:paraId="14F04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30E1F6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5C314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50F6B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年终考核成绩</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9F4D4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单位人员年终考核成绩</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8580E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E3E0C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12590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2CE1A1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A0FA0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2D23A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生态保护影响力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2BA4E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促进本单位持续、稳定发展</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AEAF0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全部良以上</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0435E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考核情况</w:t>
            </w:r>
          </w:p>
        </w:tc>
      </w:tr>
      <w:tr w14:paraId="23EF3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36076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4147A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6547B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社会评价</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82FE7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605B1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FF591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调查问卷</w:t>
            </w:r>
          </w:p>
        </w:tc>
      </w:tr>
    </w:tbl>
    <w:p w14:paraId="36C9E39C">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4E56EEBB">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282B340D">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37.武警中队营区硬化和围墙粉刷资金绩效目标表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DF7E7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6717C7F9">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5B7C6FB7">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60AC35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86E7E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F3E19E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13052822P00109910031B</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E2005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3D7C875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武警中队营区硬化和围墙粉刷资金</w:t>
            </w:r>
          </w:p>
        </w:tc>
      </w:tr>
      <w:tr w14:paraId="6DF5AF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0A1837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62F76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0E5CD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13.91</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2E2E5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34A00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13.91</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F94A2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CF6DB5">
            <w:pPr>
              <w:pStyle w:val="17"/>
              <w:keepNext w:val="0"/>
              <w:keepLines w:val="0"/>
              <w:widowControl/>
              <w:suppressLineNumbers w:val="0"/>
              <w:rPr>
                <w:rFonts w:hint="default" w:ascii="方正书宋_GBK" w:hAnsi="方正书宋_GBK" w:eastAsia="方正书宋_GBK" w:cs="方正书宋_GBK"/>
                <w:sz w:val="21"/>
                <w:szCs w:val="21"/>
              </w:rPr>
            </w:pPr>
          </w:p>
        </w:tc>
      </w:tr>
      <w:tr w14:paraId="084E59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646912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44E331D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武警中队营区硬化和围墙粉刷资金</w:t>
            </w:r>
          </w:p>
        </w:tc>
      </w:tr>
      <w:tr w14:paraId="4B9749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A827B1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EB8482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984F7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DC2A7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BABCDA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6A70C1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B744BE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6B732E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A4738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61F76E">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C5D38F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3D37EA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4736A7B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66E0731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1.提升武警中队整体建设水平，便于官兵提升军事能力素质</w:t>
            </w:r>
          </w:p>
        </w:tc>
      </w:tr>
    </w:tbl>
    <w:p w14:paraId="5B8C5CDB">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38443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514EE2">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26C47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887F0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52172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408CC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4F342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2FE6F0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00C8E1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62228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EA8B7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维修（护）验收</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46033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维修（护）验收</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F69EC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CCCBC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维修验收合格情况</w:t>
            </w:r>
          </w:p>
        </w:tc>
      </w:tr>
      <w:tr w14:paraId="1AE8A0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478757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15780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60D9A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设备维护维修数量</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53B5A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设备维护维修数量</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CE6E6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F4EE4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设备维护维修数量</w:t>
            </w:r>
          </w:p>
        </w:tc>
      </w:tr>
      <w:tr w14:paraId="74C2E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A44C2F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2E44B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97C0E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维修改造成本</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47DA6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维修改造成本</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A8C53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A6FCD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维修改造成本节约率</w:t>
            </w:r>
          </w:p>
        </w:tc>
      </w:tr>
      <w:tr w14:paraId="2A5F2B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426CA7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7C762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1F05D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日常巡查维修及时率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B30F1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日常巡查维修及时率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2CAEB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A0EC6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日常巡查维修及时率</w:t>
            </w:r>
          </w:p>
        </w:tc>
      </w:tr>
      <w:tr w14:paraId="698B9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63FE7B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85913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6A295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加强节约集约利用，促进生态文明建设</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3104D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加强节约集约利用，促进生态文明建设</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65AF5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8F673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加强节约集约利用</w:t>
            </w:r>
          </w:p>
        </w:tc>
      </w:tr>
      <w:tr w14:paraId="2F5367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28E281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0AFF9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67F7A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长期使用性</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4B127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长期使用性</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342BA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52909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长期使用性</w:t>
            </w:r>
          </w:p>
        </w:tc>
      </w:tr>
      <w:tr w14:paraId="6BECF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83B930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1B71C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EFBAF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资金使用效益</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D465A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资金使用效益</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57101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510A4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资金使用效益</w:t>
            </w:r>
          </w:p>
        </w:tc>
      </w:tr>
      <w:tr w14:paraId="539AF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21C6CE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ED10A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C902C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维修效果</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D5A02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维修效果</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89972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D7027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维修效果</w:t>
            </w:r>
          </w:p>
        </w:tc>
      </w:tr>
      <w:tr w14:paraId="260DE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B4F88F">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E5908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AAA9A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31D1A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2AC7A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2CDB7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群众对工作整体满意度</w:t>
            </w:r>
          </w:p>
        </w:tc>
      </w:tr>
    </w:tbl>
    <w:p w14:paraId="09B084BE">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311C0F12">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494AE47B">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38.武警中队专项经费绩效目标表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0FEAE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676535B2">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23A1D1F0">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516829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78EC8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7DA12E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13052822P00109910029C</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38C09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36D673E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武警中队专项经费</w:t>
            </w:r>
          </w:p>
        </w:tc>
      </w:tr>
      <w:tr w14:paraId="4ACCDE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312996F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1A0BC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BAE1A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15.00</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F0527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C447E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15.00</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C6F90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134A22">
            <w:pPr>
              <w:pStyle w:val="17"/>
              <w:keepNext w:val="0"/>
              <w:keepLines w:val="0"/>
              <w:widowControl/>
              <w:suppressLineNumbers w:val="0"/>
              <w:rPr>
                <w:rFonts w:hint="default" w:ascii="方正书宋_GBK" w:hAnsi="方正书宋_GBK" w:eastAsia="方正书宋_GBK" w:cs="方正书宋_GBK"/>
                <w:sz w:val="21"/>
                <w:szCs w:val="21"/>
              </w:rPr>
            </w:pPr>
          </w:p>
        </w:tc>
      </w:tr>
      <w:tr w14:paraId="67A753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5181B43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4143F38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武警中队日常经费</w:t>
            </w:r>
          </w:p>
        </w:tc>
      </w:tr>
      <w:tr w14:paraId="11FCF6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63F1E8B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DBBFDE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9F8DF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B133A1">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0CABDF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1E7391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4B00C5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A81CC3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A808A6">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A6A58E">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20EEDFB">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79B844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174AF8A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32AE903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1.保障武警中队正常运转</w:t>
            </w:r>
          </w:p>
        </w:tc>
      </w:tr>
    </w:tbl>
    <w:p w14:paraId="0E28AEEE">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1CB8A1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5DC67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24AF9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FFEE9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D35ED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03851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28B76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52B12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499619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698D0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CE331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被羁押人员各类安全事故发生数量</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EAE81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被羁押人员各类安全事故发生数量控制数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20C87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E7C64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武警中队经费保障率</w:t>
            </w:r>
          </w:p>
        </w:tc>
      </w:tr>
      <w:tr w14:paraId="41ED60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AF902C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693F6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5024B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军地需求事项责任落实率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BA088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军地需求事项责任落实率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F66B4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5D066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武警中队经费保障率</w:t>
            </w:r>
          </w:p>
        </w:tc>
      </w:tr>
      <w:tr w14:paraId="6C997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27BF82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C8735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F066E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保障综合事务工作完成及时率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EB356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保障综合事务工作完成及时率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A62E7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E2C36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武警中队经费保障率</w:t>
            </w:r>
          </w:p>
        </w:tc>
      </w:tr>
      <w:tr w14:paraId="279F6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454F59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E8441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FF493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经费使用率(%)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29A97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经费使用率(%)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1F3BF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DB97A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武警中队经费保障率</w:t>
            </w:r>
          </w:p>
        </w:tc>
      </w:tr>
      <w:tr w14:paraId="10E7A7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3E3FF67A">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D8513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7688A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对社会经济发展的影响</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941F8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对社会经济发展的影响</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9BE14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42867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武警中队经费保障率</w:t>
            </w:r>
          </w:p>
        </w:tc>
      </w:tr>
      <w:tr w14:paraId="7709E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F48287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EE32F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E650F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社会帮教率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421A1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社会帮教率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3F66F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E149C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武警中队经费保障率</w:t>
            </w:r>
          </w:p>
        </w:tc>
      </w:tr>
      <w:tr w14:paraId="74BE2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67A9F7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11FED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F8A31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维护社会稳定</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7572B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维护社会稳定</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6F17A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3F2C0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武警中队经费保障率</w:t>
            </w:r>
          </w:p>
        </w:tc>
      </w:tr>
      <w:tr w14:paraId="57AF3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18CD00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F5E36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AED9F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加强节约集约利用，促进生态文明</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06B5E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加强节约集约利用，促进生态文明建设</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8396B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2FA86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武警中队经费保障率</w:t>
            </w:r>
          </w:p>
        </w:tc>
      </w:tr>
      <w:tr w14:paraId="59B0A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40D0A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BACF2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B1F1F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6AA9D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34822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C4D2C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武警中队经费保障率</w:t>
            </w:r>
          </w:p>
        </w:tc>
      </w:tr>
    </w:tbl>
    <w:p w14:paraId="562FFEDB">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2261DD1A">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53DC25E6">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39.烟花爆竹销毁及储存经费绩效目标表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27B40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398C6534">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32D49FCC">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28347C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C692A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B421A1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13052822P00109910035R</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18AAC9">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232E7DB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烟花爆竹销毁及储存经费</w:t>
            </w:r>
          </w:p>
        </w:tc>
      </w:tr>
      <w:tr w14:paraId="7CBAAE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4E85FD7">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68AAF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F9569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29.24</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03F59D">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FE832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29.24</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DF2B7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FBA446">
            <w:pPr>
              <w:pStyle w:val="17"/>
              <w:keepNext w:val="0"/>
              <w:keepLines w:val="0"/>
              <w:widowControl/>
              <w:suppressLineNumbers w:val="0"/>
              <w:rPr>
                <w:rFonts w:hint="default" w:ascii="方正书宋_GBK" w:hAnsi="方正书宋_GBK" w:eastAsia="方正书宋_GBK" w:cs="方正书宋_GBK"/>
                <w:sz w:val="21"/>
                <w:szCs w:val="21"/>
              </w:rPr>
            </w:pPr>
          </w:p>
        </w:tc>
      </w:tr>
      <w:tr w14:paraId="260BFA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0D92A1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6101FC2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烟花爆竹销毁费</w:t>
            </w:r>
          </w:p>
        </w:tc>
      </w:tr>
      <w:tr w14:paraId="5DFFD6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7FB3030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7C73A0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403B9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C3444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A93AFE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01759D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E5F33C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0C76D03">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C20F1E">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31D80C">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12C0528">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703A19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07416F2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5143666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1.及时、彻底消除隐患</w:t>
            </w:r>
          </w:p>
        </w:tc>
      </w:tr>
    </w:tbl>
    <w:p w14:paraId="7B45FB2A">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35E8E2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51776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B63FC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45BC2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A75CC6">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18046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C1A7EA">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256D4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3CBB3D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2259B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E62DB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烟花爆竹查处数量</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AEA60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烟花爆竹查处数量</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2C2C4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D35D9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烟花爆竹查处数量</w:t>
            </w:r>
          </w:p>
        </w:tc>
      </w:tr>
      <w:tr w14:paraId="52A2C2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F852C9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7CE13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7996C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烟花爆竹销毁率（%）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1EF9C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烟花爆竹销毁率（%）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1A318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941A2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烟花爆竹销毁率（%）</w:t>
            </w:r>
          </w:p>
        </w:tc>
      </w:tr>
      <w:tr w14:paraId="1D137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356507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524BD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F87EF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完成及时率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72868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完成及时率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2897D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50648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完成及时率</w:t>
            </w:r>
          </w:p>
        </w:tc>
      </w:tr>
      <w:tr w14:paraId="33EF2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14B503E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2FA53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6C505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完成率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C1D81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完成率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625AF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99FC6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完成率</w:t>
            </w:r>
          </w:p>
        </w:tc>
      </w:tr>
      <w:tr w14:paraId="09428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2A1F813F">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0D97C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4D363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成本利用率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EBE45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成本利用率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40E5E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34891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成本利用率</w:t>
            </w:r>
          </w:p>
        </w:tc>
      </w:tr>
      <w:tr w14:paraId="57EC2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4E09AD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C5219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ABA5D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民用爆炸物品管控率(%)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04DE7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民用爆炸物品管控率(%)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BC882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919AD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民用爆炸物品管控率(%)</w:t>
            </w:r>
          </w:p>
        </w:tc>
      </w:tr>
      <w:tr w14:paraId="6C14D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891B2E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103D0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D7F1A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改善生态环境质量</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8B32D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改善生态环境质量</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1170B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3DE4F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改善生态环境质量</w:t>
            </w:r>
          </w:p>
        </w:tc>
      </w:tr>
      <w:tr w14:paraId="15A82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38655CF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8C513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3172D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保障防火安全</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F0D58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保障防火安全</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C7498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89C37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保障防火安全</w:t>
            </w:r>
          </w:p>
        </w:tc>
      </w:tr>
      <w:tr w14:paraId="6DC90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B30695">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0ADBA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86931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群众安全感满意度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BB2A66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群众安全感满意度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43D62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≥90百分比</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5D942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群众安全感满意度</w:t>
            </w:r>
          </w:p>
        </w:tc>
      </w:tr>
    </w:tbl>
    <w:p w14:paraId="0491F480">
      <w:pPr>
        <w:rPr>
          <w:rFonts w:hint="default" w:ascii="Times New Roman" w:hAnsi="Times New Roman" w:cs="Times New Roman"/>
          <w:sz w:val="24"/>
          <w:szCs w:val="24"/>
        </w:rPr>
        <w:sectPr>
          <w:pgSz w:w="11900" w:h="16840" w:orient="landscape"/>
          <w:pgMar w:top="1984" w:right="1304" w:bottom="1134" w:left="1304" w:header="720" w:footer="720" w:gutter="0"/>
          <w:cols w:space="720" w:num="1"/>
        </w:sectPr>
      </w:pPr>
    </w:p>
    <w:p w14:paraId="39E7B1D1">
      <w:pPr>
        <w:keepNext w:val="0"/>
        <w:keepLines w:val="0"/>
        <w:widowControl/>
        <w:suppressLineNumbers w:val="0"/>
        <w:spacing w:before="0" w:beforeAutospacing="0" w:after="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p w14:paraId="2A628BC2">
      <w:pPr>
        <w:keepNext w:val="0"/>
        <w:keepLines w:val="0"/>
        <w:widowControl/>
        <w:suppressLineNumbers w:val="0"/>
        <w:spacing w:before="0" w:beforeAutospacing="0" w:after="0" w:afterAutospacing="0"/>
        <w:ind w:left="0" w:right="0" w:firstLine="560"/>
        <w:jc w:val="left"/>
        <w:outlineLvl w:val="3"/>
        <w:rPr>
          <w:rFonts w:hint="default" w:ascii="Times New Roman" w:hAnsi="Times New Roman" w:cs="Times New Roman"/>
          <w:sz w:val="24"/>
          <w:szCs w:val="24"/>
        </w:rPr>
      </w:pPr>
      <w:r>
        <w:rPr>
          <w:rFonts w:hint="default" w:ascii="方正仿宋_GBK" w:hAnsi="方正仿宋_GBK" w:eastAsia="方正仿宋_GBK" w:cs="方正仿宋_GBK"/>
          <w:color w:val="000000"/>
          <w:kern w:val="0"/>
          <w:sz w:val="28"/>
          <w:szCs w:val="28"/>
          <w:lang w:val="en-US" w:eastAsia="zh-CN" w:bidi="ar"/>
        </w:rPr>
        <w:t>40.驻京工作队经费绩效目标表</w:t>
      </w:r>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D804F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bottom w:val="single" w:color="000000" w:sz="6" w:space="0"/>
              <w:right w:val="single" w:color="FFFFFF" w:sz="6" w:space="0"/>
            </w:tcBorders>
            <w:shd w:val="clear" w:color="auto" w:fill="auto"/>
            <w:vAlign w:val="center"/>
          </w:tcPr>
          <w:p w14:paraId="59E0F135">
            <w:pPr>
              <w:pStyle w:val="16"/>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312001宁晋县公安局本级</w:t>
            </w:r>
          </w:p>
        </w:tc>
        <w:tc>
          <w:tcPr>
            <w:tcW w:w="1843" w:type="dxa"/>
            <w:tcBorders>
              <w:top w:val="single" w:color="FFFFFF" w:sz="6" w:space="0"/>
              <w:left w:val="nil"/>
              <w:bottom w:val="single" w:color="000000" w:sz="6" w:space="0"/>
              <w:right w:val="single" w:color="FFFFFF" w:sz="6" w:space="0"/>
            </w:tcBorders>
            <w:shd w:val="clear" w:color="auto" w:fill="auto"/>
            <w:vAlign w:val="center"/>
          </w:tcPr>
          <w:p w14:paraId="6595636B">
            <w:pPr>
              <w:pStyle w:val="19"/>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单位：万元</w:t>
            </w:r>
          </w:p>
        </w:tc>
      </w:tr>
      <w:tr w14:paraId="3A2371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687F6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项目编码</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2CC6A6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13052822P00109910038L</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74CD5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项目名称</w:t>
            </w:r>
          </w:p>
        </w:tc>
        <w:tc>
          <w:tcPr>
            <w:tcW w:w="442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14:paraId="7051DCB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驻京工作队经费</w:t>
            </w:r>
          </w:p>
        </w:tc>
      </w:tr>
      <w:tr w14:paraId="6F83A3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14DC056F">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预算规模及资金用途</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A39E9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预算数</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67BEE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53.07</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35B38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其中：财政    资金</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7801B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53.07</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0ABBF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其他资金</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B95080">
            <w:pPr>
              <w:pStyle w:val="17"/>
              <w:keepNext w:val="0"/>
              <w:keepLines w:val="0"/>
              <w:widowControl/>
              <w:suppressLineNumbers w:val="0"/>
              <w:rPr>
                <w:rFonts w:hint="default" w:ascii="方正书宋_GBK" w:hAnsi="方正书宋_GBK" w:eastAsia="方正书宋_GBK" w:cs="方正书宋_GBK"/>
                <w:sz w:val="21"/>
                <w:szCs w:val="21"/>
              </w:rPr>
            </w:pPr>
          </w:p>
        </w:tc>
      </w:tr>
      <w:tr w14:paraId="35B176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11C1E2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618" w:type="dxa"/>
            <w:gridSpan w:val="6"/>
            <w:tcBorders>
              <w:top w:val="single" w:color="000000" w:sz="6" w:space="0"/>
              <w:left w:val="single" w:color="000000" w:sz="6" w:space="0"/>
              <w:bottom w:val="single" w:color="000000" w:sz="6" w:space="0"/>
              <w:right w:val="single" w:color="000000" w:sz="6" w:space="0"/>
            </w:tcBorders>
            <w:shd w:val="clear" w:color="auto" w:fill="auto"/>
            <w:vAlign w:val="center"/>
          </w:tcPr>
          <w:p w14:paraId="324F973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驻京工作队经费</w:t>
            </w:r>
          </w:p>
        </w:tc>
      </w:tr>
      <w:tr w14:paraId="7059D5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D14C21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资金支出计划（%）</w:t>
            </w: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FC80E9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3月底</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8237E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6月底</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F082D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10月底</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F4D26C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12月底</w:t>
            </w:r>
          </w:p>
        </w:tc>
      </w:tr>
      <w:tr w14:paraId="7063FE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7FC309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60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7308ED7">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25%</w:t>
            </w:r>
          </w:p>
        </w:tc>
        <w:tc>
          <w:tcPr>
            <w:tcW w:w="158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37914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50%</w:t>
            </w:r>
          </w:p>
        </w:tc>
        <w:tc>
          <w:tcPr>
            <w:tcW w:w="130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7394BE">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75%</w:t>
            </w:r>
          </w:p>
        </w:tc>
        <w:tc>
          <w:tcPr>
            <w:tcW w:w="311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31A233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100%</w:t>
            </w:r>
          </w:p>
        </w:tc>
      </w:tr>
      <w:tr w14:paraId="6B0ADF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25E6A974">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绩效目标</w:t>
            </w:r>
          </w:p>
        </w:tc>
        <w:tc>
          <w:tcPr>
            <w:tcW w:w="8618" w:type="dxa"/>
            <w:gridSpan w:val="6"/>
            <w:tcBorders>
              <w:top w:val="single" w:color="000000" w:sz="6" w:space="0"/>
              <w:left w:val="single" w:color="000000" w:sz="6" w:space="0"/>
              <w:bottom w:val="single" w:color="FFFFFF" w:sz="6" w:space="0"/>
              <w:right w:val="single" w:color="000000" w:sz="6" w:space="0"/>
            </w:tcBorders>
            <w:shd w:val="clear" w:color="auto" w:fill="auto"/>
            <w:vAlign w:val="center"/>
          </w:tcPr>
          <w:p w14:paraId="00A6889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1.为有力做好进京控访工作</w:t>
            </w:r>
          </w:p>
        </w:tc>
      </w:tr>
    </w:tbl>
    <w:p w14:paraId="15898971">
      <w:pPr>
        <w:keepNext w:val="0"/>
        <w:keepLines w:val="0"/>
        <w:widowControl/>
        <w:suppressLineNumbers w:val="0"/>
        <w:spacing w:before="0" w:beforeAutospacing="0" w:after="0" w:afterAutospacing="0" w:line="2" w:lineRule="exact"/>
        <w:ind w:left="0" w:right="0"/>
        <w:jc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276"/>
        <w:gridCol w:w="1276"/>
        <w:gridCol w:w="1332"/>
        <w:gridCol w:w="2891"/>
        <w:gridCol w:w="1276"/>
        <w:gridCol w:w="1843"/>
      </w:tblGrid>
      <w:tr w14:paraId="601099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C1ED55">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一级指标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FC6A83">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二级指标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C4B52C">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三级指标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E5FF30">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绩效指标描述</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55921E">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8D622B">
            <w:pPr>
              <w:pStyle w:val="18"/>
              <w:keepNext w:val="0"/>
              <w:keepLines w:val="0"/>
              <w:widowControl/>
              <w:suppressLineNumbers w:val="0"/>
              <w:rPr>
                <w:rFonts w:hint="default" w:ascii="方正书宋_GBK" w:hAnsi="方正书宋_GBK" w:eastAsia="方正书宋_GBK" w:cs="方正书宋_GBK"/>
                <w:b/>
                <w:bCs w:val="0"/>
                <w:sz w:val="21"/>
                <w:szCs w:val="21"/>
              </w:rPr>
            </w:pPr>
            <w:r>
              <w:rPr>
                <w:rFonts w:hint="default" w:ascii="方正书宋_GBK" w:hAnsi="方正书宋_GBK" w:eastAsia="方正书宋_GBK" w:cs="方正书宋_GBK"/>
                <w:b/>
                <w:bCs w:val="0"/>
                <w:sz w:val="21"/>
                <w:szCs w:val="21"/>
              </w:rPr>
              <w:t>指标值确定依据</w:t>
            </w:r>
          </w:p>
        </w:tc>
      </w:tr>
      <w:tr w14:paraId="282DA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4E71E811">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产出指标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0CC9A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数量指标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6D8B4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有效化解涉检信访矛盾率（%）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5077E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有效化解涉检信访矛盾率（%）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7FC7C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≥95有效化解涉检信访矛盾率（%）</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765AA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保持信访形势总体平稳可控</w:t>
            </w:r>
          </w:p>
        </w:tc>
      </w:tr>
      <w:tr w14:paraId="597405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676E195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C3CD3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质量指标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D3729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信访事项按期结案率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8FFC0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信访事项按期结案率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18F2D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≥95信访事项按期结案率</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53302A">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保持信访形势总体平稳可控</w:t>
            </w:r>
          </w:p>
        </w:tc>
      </w:tr>
      <w:tr w14:paraId="5BAE6D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7DE8BAE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0E408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时效指标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C961D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保障办案工作的开展进度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A0842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保障办案工作的开展进度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E81D9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≥95保障办案工作的开展进度</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5935E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保持信访形势总体平稳可控</w:t>
            </w:r>
          </w:p>
        </w:tc>
      </w:tr>
      <w:tr w14:paraId="1F70DD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09AC244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F86BAC">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成本指标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9AD183">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经费保证能力</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E9705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经费保证能力</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444CD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≥95经费保证能力</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9460E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保持信访形势总体平稳可控</w:t>
            </w:r>
          </w:p>
        </w:tc>
      </w:tr>
      <w:tr w14:paraId="67B7E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000000" w:sz="6" w:space="0"/>
              <w:bottom w:val="single" w:color="000000" w:sz="6" w:space="0"/>
              <w:right w:val="single" w:color="000000" w:sz="6" w:space="0"/>
            </w:tcBorders>
            <w:shd w:val="clear" w:color="auto" w:fill="auto"/>
            <w:vAlign w:val="center"/>
          </w:tcPr>
          <w:p w14:paraId="543420BD">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效益指标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8354FF">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经济效益指标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0D9EE6">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信访投诉办结率</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875D9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信访投诉办结率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EA217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≥95信访投诉办结率</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B7276E">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保持信访形势总体平稳可控</w:t>
            </w:r>
          </w:p>
        </w:tc>
      </w:tr>
      <w:tr w14:paraId="47CCA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1CAFA3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D2371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C3009B">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保持信访形势总体平稳可控</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A7390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保持信访形势总体平稳可控</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BE6AD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≥95保持信访形势总体平稳可控</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D8347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保持信访形势总体平稳可控</w:t>
            </w:r>
          </w:p>
        </w:tc>
      </w:tr>
      <w:tr w14:paraId="49F5F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40DD729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13B8C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生态效益指标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EED15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违法犯罪得到有力打击</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C6C32D">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违法犯罪得到有力打击</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A3D63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≥95违法犯罪得到有力打击</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9966C2">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保持信访形势总体平稳可控</w:t>
            </w:r>
          </w:p>
        </w:tc>
      </w:tr>
      <w:tr w14:paraId="48D46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vMerge w:val="continue"/>
            <w:tcBorders>
              <w:top w:val="nil"/>
              <w:left w:val="single" w:color="000000" w:sz="6" w:space="0"/>
              <w:bottom w:val="single" w:color="000000" w:sz="6" w:space="0"/>
              <w:right w:val="single" w:color="000000" w:sz="6" w:space="0"/>
            </w:tcBorders>
            <w:shd w:val="clear" w:color="auto" w:fill="auto"/>
            <w:vAlign w:val="center"/>
          </w:tcPr>
          <w:p w14:paraId="25F1FB0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85CC2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可持续影响指标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1BC1D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维护社会稳定</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2C0431">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维护社会稳定</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3D2774">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≥95维护社会稳定</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CA8BF8">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保持信访形势总体平稳可控</w:t>
            </w:r>
          </w:p>
        </w:tc>
      </w:tr>
      <w:tr w14:paraId="25D410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C9882F">
            <w:pPr>
              <w:pStyle w:val="20"/>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满意度指标</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8067D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服务对象满意度指标</w:t>
            </w:r>
          </w:p>
        </w:tc>
        <w:tc>
          <w:tcPr>
            <w:tcW w:w="13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338D80">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28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C6A4C5">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社会公众满意度（%）</w:t>
            </w:r>
          </w:p>
        </w:tc>
        <w:tc>
          <w:tcPr>
            <w:tcW w:w="1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B3FE4C9">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≥95社会公众满意度（%）</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628BD7">
            <w:pPr>
              <w:pStyle w:val="17"/>
              <w:keepNext w:val="0"/>
              <w:keepLines w:val="0"/>
              <w:widowControl/>
              <w:suppressLineNumbers w:val="0"/>
              <w:rPr>
                <w:rFonts w:hint="default" w:ascii="方正书宋_GBK" w:hAnsi="方正书宋_GBK" w:eastAsia="方正书宋_GBK" w:cs="方正书宋_GBK"/>
                <w:sz w:val="21"/>
                <w:szCs w:val="21"/>
              </w:rPr>
            </w:pPr>
            <w:r>
              <w:rPr>
                <w:rFonts w:hint="default" w:ascii="方正书宋_GBK" w:hAnsi="方正书宋_GBK" w:eastAsia="方正书宋_GBK" w:cs="方正书宋_GBK"/>
                <w:sz w:val="21"/>
                <w:szCs w:val="21"/>
              </w:rPr>
              <w:t>保持信访形势总体平稳可控</w:t>
            </w:r>
          </w:p>
        </w:tc>
      </w:tr>
    </w:tbl>
    <w:p w14:paraId="723AB062">
      <w:pPr>
        <w:keepNext w:val="0"/>
        <w:keepLines w:val="0"/>
        <w:widowControl/>
        <w:suppressLineNumbers w:val="0"/>
        <w:spacing w:before="0" w:beforeAutospacing="0" w:after="0" w:afterAutospacing="0"/>
        <w:ind w:left="0" w:right="0"/>
        <w:jc w:val="left"/>
        <w:rPr>
          <w:rFonts w:hint="eastAsia" w:ascii="仿宋" w:hAnsi="仿宋" w:eastAsia="仿宋" w:cs="仿宋"/>
          <w:b/>
          <w:color w:val="000000"/>
          <w:sz w:val="32"/>
        </w:rPr>
        <w:sectPr>
          <w:pgSz w:w="11900" w:h="16840"/>
          <w:pgMar w:top="1020" w:right="1134" w:bottom="1020" w:left="1361" w:header="720" w:footer="720" w:gutter="0"/>
          <w:cols w:space="720" w:num="1"/>
        </w:sectPr>
      </w:pPr>
      <w:r>
        <w:rPr>
          <w:rFonts w:hint="default" w:ascii="Times New Roman" w:hAnsi="Times New Roman" w:eastAsia="宋体" w:cs="Times New Roman"/>
          <w:kern w:val="0"/>
          <w:sz w:val="24"/>
          <w:szCs w:val="24"/>
          <w:lang w:val="en-US" w:eastAsia="zh-CN" w:bidi="ar"/>
        </w:rPr>
        <w:t xml:space="preserve"> </w:t>
      </w:r>
    </w:p>
    <w:p w14:paraId="696D67AD">
      <w:pPr>
        <w:keepNext w:val="0"/>
        <w:keepLines w:val="0"/>
        <w:pageBreakBefore w:val="0"/>
        <w:widowControl/>
        <w:kinsoku/>
        <w:wordWrap/>
        <w:overflowPunct/>
        <w:topLinePunct w:val="0"/>
        <w:autoSpaceDE/>
        <w:autoSpaceDN/>
        <w:bidi w:val="0"/>
        <w:adjustRightInd/>
        <w:snapToGrid/>
        <w:spacing w:line="580" w:lineRule="exact"/>
        <w:ind w:right="0" w:rightChars="0" w:firstLine="650" w:firstLineChars="200"/>
        <w:jc w:val="left"/>
        <w:textAlignment w:val="auto"/>
        <w:outlineLvl w:val="2"/>
      </w:pPr>
      <w:r>
        <w:rPr>
          <w:rFonts w:ascii="黑体" w:hAnsi="黑体" w:eastAsia="黑体" w:cs="黑体"/>
          <w:color w:val="000000"/>
          <w:sz w:val="32"/>
        </w:rPr>
        <w:t>六、政府采购预算情况</w:t>
      </w:r>
    </w:p>
    <w:p w14:paraId="161050FE">
      <w:pPr>
        <w:keepNext w:val="0"/>
        <w:keepLines w:val="0"/>
        <w:pageBreakBefore w:val="0"/>
        <w:widowControl/>
        <w:kinsoku/>
        <w:wordWrap/>
        <w:overflowPunct/>
        <w:topLinePunct w:val="0"/>
        <w:autoSpaceDE/>
        <w:autoSpaceDN/>
        <w:bidi w:val="0"/>
        <w:adjustRightInd/>
        <w:snapToGrid/>
        <w:spacing w:line="580" w:lineRule="exact"/>
        <w:ind w:left="0" w:leftChars="0" w:right="0" w:rightChars="0" w:firstLine="560"/>
        <w:jc w:val="left"/>
        <w:textAlignment w:val="auto"/>
        <w:outlineLvl w:val="9"/>
        <w:rPr>
          <w:rFonts w:ascii="Times New Roman" w:hAnsi="Times New Roman" w:eastAsia="方正仿宋_GBK" w:cs="Times New Roman"/>
          <w:b w:val="0"/>
          <w:color w:val="000000"/>
          <w:sz w:val="28"/>
        </w:rPr>
      </w:pPr>
      <w:r>
        <w:rPr>
          <w:rFonts w:ascii="Times New Roman" w:hAnsi="Times New Roman" w:eastAsia="方正仿宋_GBK" w:cs="Times New Roman"/>
          <w:b w:val="0"/>
          <w:color w:val="000000"/>
          <w:sz w:val="28"/>
        </w:rPr>
        <w:t>202</w:t>
      </w:r>
      <w:r>
        <w:rPr>
          <w:rFonts w:hint="eastAsia" w:ascii="Times New Roman" w:hAnsi="Times New Roman" w:eastAsia="方正仿宋_GBK" w:cs="Times New Roman"/>
          <w:b w:val="0"/>
          <w:color w:val="000000"/>
          <w:sz w:val="28"/>
          <w:lang w:val="en-US" w:eastAsia="zh-CN"/>
        </w:rPr>
        <w:t>2</w:t>
      </w:r>
      <w:r>
        <w:rPr>
          <w:rFonts w:ascii="Times New Roman" w:hAnsi="Times New Roman" w:eastAsia="方正仿宋_GBK" w:cs="Times New Roman"/>
          <w:b w:val="0"/>
          <w:color w:val="000000"/>
          <w:sz w:val="28"/>
        </w:rPr>
        <w:t>年，宁晋县</w:t>
      </w:r>
      <w:r>
        <w:rPr>
          <w:rFonts w:hint="eastAsia" w:ascii="Times New Roman" w:hAnsi="Times New Roman" w:eastAsia="方正仿宋_GBK" w:cs="Times New Roman"/>
          <w:b w:val="0"/>
          <w:color w:val="000000"/>
          <w:sz w:val="28"/>
          <w:lang w:eastAsia="zh-CN"/>
        </w:rPr>
        <w:t>公安局</w:t>
      </w:r>
      <w:r>
        <w:rPr>
          <w:rFonts w:ascii="Times New Roman" w:hAnsi="Times New Roman" w:eastAsia="方正仿宋_GBK" w:cs="Times New Roman"/>
          <w:b w:val="0"/>
          <w:color w:val="000000"/>
          <w:sz w:val="28"/>
        </w:rPr>
        <w:t>安排政府采购预算0.00万元。具体内容见下表。</w:t>
      </w:r>
    </w:p>
    <w:p w14:paraId="5BEBFE42">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5"/>
        <w:tblW w:w="147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3691A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468" w:type="dxa"/>
            <w:gridSpan w:val="7"/>
            <w:tcBorders>
              <w:top w:val="single" w:color="FFFFFF" w:sz="6" w:space="0"/>
              <w:left w:val="single" w:color="FFFFFF" w:sz="6" w:space="0"/>
              <w:right w:val="single" w:color="FFFFFF" w:sz="6" w:space="0"/>
            </w:tcBorders>
            <w:vAlign w:val="center"/>
          </w:tcPr>
          <w:p w14:paraId="160B1B88">
            <w:pPr>
              <w:pStyle w:val="21"/>
              <w:keepNext w:val="0"/>
              <w:keepLines w:val="0"/>
              <w:suppressLineNumbers w:val="0"/>
              <w:spacing w:beforeAutospacing="0" w:afterAutospacing="0"/>
              <w:ind w:left="0" w:right="0"/>
              <w:rPr>
                <w:rFonts w:hint="default"/>
              </w:rPr>
            </w:pPr>
            <w:r>
              <w:rPr>
                <w:rFonts w:hint="default"/>
              </w:rPr>
              <w:t>31</w:t>
            </w:r>
            <w:r>
              <w:rPr>
                <w:rFonts w:hint="eastAsia"/>
                <w:lang w:val="en-US" w:eastAsia="zh-CN"/>
              </w:rPr>
              <w:t>2</w:t>
            </w:r>
            <w:r>
              <w:rPr>
                <w:rFonts w:hint="default"/>
              </w:rPr>
              <w:t>宁晋县</w:t>
            </w:r>
            <w:r>
              <w:rPr>
                <w:rFonts w:hint="eastAsia"/>
                <w:lang w:eastAsia="zh-CN"/>
              </w:rPr>
              <w:t>公安</w:t>
            </w:r>
            <w:r>
              <w:rPr>
                <w:rFonts w:hint="default"/>
              </w:rPr>
              <w:t>局</w:t>
            </w:r>
          </w:p>
        </w:tc>
        <w:tc>
          <w:tcPr>
            <w:tcW w:w="8316" w:type="dxa"/>
            <w:gridSpan w:val="9"/>
            <w:tcBorders>
              <w:top w:val="single" w:color="FFFFFF" w:sz="6" w:space="0"/>
              <w:left w:val="single" w:color="FFFFFF" w:sz="6" w:space="0"/>
              <w:right w:val="single" w:color="FFFFFF" w:sz="6" w:space="0"/>
            </w:tcBorders>
            <w:vAlign w:val="center"/>
          </w:tcPr>
          <w:p w14:paraId="3124B0FA">
            <w:pPr>
              <w:pStyle w:val="22"/>
              <w:keepNext w:val="0"/>
              <w:keepLines w:val="0"/>
              <w:suppressLineNumbers w:val="0"/>
              <w:spacing w:beforeAutospacing="0" w:afterAutospacing="0"/>
              <w:ind w:left="0" w:right="0"/>
              <w:rPr>
                <w:rFonts w:hint="default"/>
              </w:rPr>
            </w:pPr>
            <w:r>
              <w:rPr>
                <w:rFonts w:hint="default"/>
              </w:rPr>
              <w:t>单位：万元</w:t>
            </w:r>
          </w:p>
        </w:tc>
      </w:tr>
      <w:tr w14:paraId="01F02F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848" w:type="dxa"/>
            <w:gridSpan w:val="2"/>
            <w:vAlign w:val="center"/>
          </w:tcPr>
          <w:p w14:paraId="40063605">
            <w:pPr>
              <w:pStyle w:val="18"/>
              <w:keepNext w:val="0"/>
              <w:keepLines w:val="0"/>
              <w:suppressLineNumbers w:val="0"/>
            </w:pPr>
            <w:r>
              <w:t>政府采购项目来源</w:t>
            </w:r>
          </w:p>
        </w:tc>
        <w:tc>
          <w:tcPr>
            <w:tcW w:w="924" w:type="dxa"/>
            <w:vMerge w:val="restart"/>
            <w:vAlign w:val="center"/>
          </w:tcPr>
          <w:p w14:paraId="70486713">
            <w:pPr>
              <w:pStyle w:val="18"/>
              <w:keepNext w:val="0"/>
              <w:keepLines w:val="0"/>
              <w:suppressLineNumbers w:val="0"/>
            </w:pPr>
            <w:r>
              <w:t>采购物品名称</w:t>
            </w:r>
          </w:p>
        </w:tc>
        <w:tc>
          <w:tcPr>
            <w:tcW w:w="924" w:type="dxa"/>
            <w:vMerge w:val="restart"/>
            <w:vAlign w:val="center"/>
          </w:tcPr>
          <w:p w14:paraId="1FD8CA6D">
            <w:pPr>
              <w:pStyle w:val="18"/>
              <w:keepNext w:val="0"/>
              <w:keepLines w:val="0"/>
              <w:suppressLineNumbers w:val="0"/>
            </w:pPr>
            <w:r>
              <w:t>政府采购目录序号</w:t>
            </w:r>
          </w:p>
        </w:tc>
        <w:tc>
          <w:tcPr>
            <w:tcW w:w="924" w:type="dxa"/>
            <w:vMerge w:val="restart"/>
            <w:vAlign w:val="center"/>
          </w:tcPr>
          <w:p w14:paraId="376E70F1">
            <w:pPr>
              <w:pStyle w:val="18"/>
              <w:keepNext w:val="0"/>
              <w:keepLines w:val="0"/>
              <w:suppressLineNumbers w:val="0"/>
            </w:pPr>
            <w:r>
              <w:t>计量  单位</w:t>
            </w:r>
          </w:p>
        </w:tc>
        <w:tc>
          <w:tcPr>
            <w:tcW w:w="924" w:type="dxa"/>
            <w:vMerge w:val="restart"/>
            <w:vAlign w:val="center"/>
          </w:tcPr>
          <w:p w14:paraId="6435C22B">
            <w:pPr>
              <w:pStyle w:val="18"/>
              <w:keepNext w:val="0"/>
              <w:keepLines w:val="0"/>
              <w:suppressLineNumbers w:val="0"/>
            </w:pPr>
            <w:r>
              <w:t>数量</w:t>
            </w:r>
          </w:p>
        </w:tc>
        <w:tc>
          <w:tcPr>
            <w:tcW w:w="924" w:type="dxa"/>
            <w:vMerge w:val="restart"/>
            <w:vAlign w:val="center"/>
          </w:tcPr>
          <w:p w14:paraId="08AB51A9">
            <w:pPr>
              <w:pStyle w:val="18"/>
              <w:keepNext w:val="0"/>
              <w:keepLines w:val="0"/>
              <w:suppressLineNumbers w:val="0"/>
            </w:pPr>
            <w:r>
              <w:t>单价</w:t>
            </w:r>
          </w:p>
        </w:tc>
        <w:tc>
          <w:tcPr>
            <w:tcW w:w="7392" w:type="dxa"/>
            <w:gridSpan w:val="8"/>
            <w:vAlign w:val="center"/>
          </w:tcPr>
          <w:p w14:paraId="078FCB70">
            <w:pPr>
              <w:pStyle w:val="18"/>
              <w:keepNext w:val="0"/>
              <w:keepLines w:val="0"/>
              <w:suppressLineNumbers w:val="0"/>
            </w:pPr>
            <w:r>
              <w:t>政府采购金额（当年部门预算安排资金）</w:t>
            </w:r>
          </w:p>
        </w:tc>
        <w:tc>
          <w:tcPr>
            <w:tcW w:w="924" w:type="dxa"/>
            <w:vMerge w:val="restart"/>
            <w:vAlign w:val="center"/>
          </w:tcPr>
          <w:p w14:paraId="6CD62BA6">
            <w:pPr>
              <w:pStyle w:val="18"/>
              <w:keepNext w:val="0"/>
              <w:keepLines w:val="0"/>
              <w:suppressLineNumbers w:val="0"/>
            </w:pPr>
            <w:r>
              <w:t>2023年  预留中  小微企  业份额</w:t>
            </w:r>
          </w:p>
        </w:tc>
      </w:tr>
      <w:tr w14:paraId="36D05C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vAlign w:val="center"/>
          </w:tcPr>
          <w:p w14:paraId="5450F7CF">
            <w:pPr>
              <w:pStyle w:val="18"/>
              <w:keepNext w:val="0"/>
              <w:keepLines w:val="0"/>
              <w:suppressLineNumbers w:val="0"/>
            </w:pPr>
            <w:r>
              <w:t>项目名称</w:t>
            </w:r>
          </w:p>
        </w:tc>
        <w:tc>
          <w:tcPr>
            <w:tcW w:w="924" w:type="dxa"/>
            <w:vAlign w:val="center"/>
          </w:tcPr>
          <w:p w14:paraId="13E219B3">
            <w:pPr>
              <w:pStyle w:val="18"/>
              <w:keepNext w:val="0"/>
              <w:keepLines w:val="0"/>
              <w:suppressLineNumbers w:val="0"/>
            </w:pPr>
            <w:r>
              <w:t>预算    资金</w:t>
            </w:r>
          </w:p>
        </w:tc>
        <w:tc>
          <w:tcPr>
            <w:tcW w:w="924" w:type="dxa"/>
            <w:vMerge w:val="continue"/>
          </w:tcPr>
          <w:p w14:paraId="016C3F93">
            <w:pPr>
              <w:keepNext w:val="0"/>
              <w:keepLines w:val="0"/>
              <w:suppressLineNumbers w:val="0"/>
              <w:spacing w:before="0" w:beforeAutospacing="0" w:after="0" w:afterAutospacing="0"/>
              <w:ind w:left="0" w:right="0"/>
              <w:rPr>
                <w:rFonts w:hint="default"/>
              </w:rPr>
            </w:pPr>
          </w:p>
        </w:tc>
        <w:tc>
          <w:tcPr>
            <w:tcW w:w="924" w:type="dxa"/>
            <w:vMerge w:val="continue"/>
          </w:tcPr>
          <w:p w14:paraId="7A1C7F92">
            <w:pPr>
              <w:keepNext w:val="0"/>
              <w:keepLines w:val="0"/>
              <w:suppressLineNumbers w:val="0"/>
              <w:spacing w:before="0" w:beforeAutospacing="0" w:after="0" w:afterAutospacing="0"/>
              <w:ind w:left="0" w:right="0"/>
              <w:rPr>
                <w:rFonts w:hint="default"/>
              </w:rPr>
            </w:pPr>
          </w:p>
        </w:tc>
        <w:tc>
          <w:tcPr>
            <w:tcW w:w="924" w:type="dxa"/>
            <w:vMerge w:val="continue"/>
          </w:tcPr>
          <w:p w14:paraId="31449BBB">
            <w:pPr>
              <w:keepNext w:val="0"/>
              <w:keepLines w:val="0"/>
              <w:suppressLineNumbers w:val="0"/>
              <w:spacing w:before="0" w:beforeAutospacing="0" w:after="0" w:afterAutospacing="0"/>
              <w:ind w:left="0" w:right="0"/>
              <w:rPr>
                <w:rFonts w:hint="default"/>
              </w:rPr>
            </w:pPr>
          </w:p>
        </w:tc>
        <w:tc>
          <w:tcPr>
            <w:tcW w:w="924" w:type="dxa"/>
            <w:vMerge w:val="continue"/>
          </w:tcPr>
          <w:p w14:paraId="37FEC129">
            <w:pPr>
              <w:keepNext w:val="0"/>
              <w:keepLines w:val="0"/>
              <w:suppressLineNumbers w:val="0"/>
              <w:spacing w:before="0" w:beforeAutospacing="0" w:after="0" w:afterAutospacing="0"/>
              <w:ind w:left="0" w:right="0"/>
              <w:rPr>
                <w:rFonts w:hint="default"/>
              </w:rPr>
            </w:pPr>
          </w:p>
        </w:tc>
        <w:tc>
          <w:tcPr>
            <w:tcW w:w="924" w:type="dxa"/>
            <w:vMerge w:val="continue"/>
          </w:tcPr>
          <w:p w14:paraId="2C7279A0">
            <w:pPr>
              <w:keepNext w:val="0"/>
              <w:keepLines w:val="0"/>
              <w:suppressLineNumbers w:val="0"/>
              <w:spacing w:before="0" w:beforeAutospacing="0" w:after="0" w:afterAutospacing="0"/>
              <w:ind w:left="0" w:right="0"/>
              <w:rPr>
                <w:rFonts w:hint="default"/>
              </w:rPr>
            </w:pPr>
          </w:p>
        </w:tc>
        <w:tc>
          <w:tcPr>
            <w:tcW w:w="924" w:type="dxa"/>
            <w:vAlign w:val="center"/>
          </w:tcPr>
          <w:p w14:paraId="18D762CE">
            <w:pPr>
              <w:pStyle w:val="18"/>
              <w:keepNext w:val="0"/>
              <w:keepLines w:val="0"/>
              <w:suppressLineNumbers w:val="0"/>
            </w:pPr>
            <w:r>
              <w:t>合计</w:t>
            </w:r>
          </w:p>
        </w:tc>
        <w:tc>
          <w:tcPr>
            <w:tcW w:w="924" w:type="dxa"/>
            <w:vAlign w:val="center"/>
          </w:tcPr>
          <w:p w14:paraId="2661A00A">
            <w:pPr>
              <w:pStyle w:val="18"/>
              <w:keepNext w:val="0"/>
              <w:keepLines w:val="0"/>
              <w:suppressLineNumbers w:val="0"/>
            </w:pPr>
            <w:r>
              <w:t>一般公共预算拨款</w:t>
            </w:r>
          </w:p>
        </w:tc>
        <w:tc>
          <w:tcPr>
            <w:tcW w:w="924" w:type="dxa"/>
            <w:vAlign w:val="center"/>
          </w:tcPr>
          <w:p w14:paraId="78C6F243">
            <w:pPr>
              <w:pStyle w:val="18"/>
              <w:keepNext w:val="0"/>
              <w:keepLines w:val="0"/>
              <w:suppressLineNumbers w:val="0"/>
            </w:pPr>
            <w:r>
              <w:t>基金预算拨款</w:t>
            </w:r>
          </w:p>
        </w:tc>
        <w:tc>
          <w:tcPr>
            <w:tcW w:w="924" w:type="dxa"/>
            <w:vAlign w:val="center"/>
          </w:tcPr>
          <w:p w14:paraId="72CFABFD">
            <w:pPr>
              <w:pStyle w:val="18"/>
              <w:keepNext w:val="0"/>
              <w:keepLines w:val="0"/>
              <w:suppressLineNumbers w:val="0"/>
            </w:pPr>
            <w:r>
              <w:t>国有资本经营预算拨款</w:t>
            </w:r>
          </w:p>
        </w:tc>
        <w:tc>
          <w:tcPr>
            <w:tcW w:w="924" w:type="dxa"/>
            <w:vAlign w:val="center"/>
          </w:tcPr>
          <w:p w14:paraId="3F5807B3">
            <w:pPr>
              <w:pStyle w:val="18"/>
              <w:keepNext w:val="0"/>
              <w:keepLines w:val="0"/>
              <w:suppressLineNumbers w:val="0"/>
            </w:pPr>
            <w:r>
              <w:t>财政专户核拨</w:t>
            </w:r>
          </w:p>
        </w:tc>
        <w:tc>
          <w:tcPr>
            <w:tcW w:w="924" w:type="dxa"/>
            <w:vAlign w:val="center"/>
          </w:tcPr>
          <w:p w14:paraId="4AC40D9A">
            <w:pPr>
              <w:pStyle w:val="18"/>
              <w:keepNext w:val="0"/>
              <w:keepLines w:val="0"/>
              <w:suppressLineNumbers w:val="0"/>
            </w:pPr>
            <w:r>
              <w:t>单位    资金</w:t>
            </w:r>
          </w:p>
        </w:tc>
        <w:tc>
          <w:tcPr>
            <w:tcW w:w="924" w:type="dxa"/>
            <w:vAlign w:val="center"/>
          </w:tcPr>
          <w:p w14:paraId="3E3A18D9">
            <w:pPr>
              <w:pStyle w:val="18"/>
              <w:keepNext w:val="0"/>
              <w:keepLines w:val="0"/>
              <w:suppressLineNumbers w:val="0"/>
            </w:pPr>
            <w:r>
              <w:t>财政拨    款结转</w:t>
            </w:r>
          </w:p>
        </w:tc>
        <w:tc>
          <w:tcPr>
            <w:tcW w:w="924" w:type="dxa"/>
            <w:vAlign w:val="center"/>
          </w:tcPr>
          <w:p w14:paraId="56A9C573">
            <w:pPr>
              <w:pStyle w:val="18"/>
              <w:keepNext w:val="0"/>
              <w:keepLines w:val="0"/>
              <w:suppressLineNumbers w:val="0"/>
            </w:pPr>
            <w:r>
              <w:t>非财政    拨款结    转结余</w:t>
            </w:r>
          </w:p>
        </w:tc>
        <w:tc>
          <w:tcPr>
            <w:tcW w:w="924" w:type="dxa"/>
            <w:vMerge w:val="continue"/>
          </w:tcPr>
          <w:p w14:paraId="52F9D7FC">
            <w:pPr>
              <w:keepNext w:val="0"/>
              <w:keepLines w:val="0"/>
              <w:suppressLineNumbers w:val="0"/>
              <w:spacing w:before="0" w:beforeAutospacing="0" w:after="0" w:afterAutospacing="0"/>
              <w:ind w:left="0" w:right="0"/>
              <w:rPr>
                <w:rFonts w:hint="default"/>
              </w:rPr>
            </w:pPr>
          </w:p>
        </w:tc>
      </w:tr>
      <w:tr w14:paraId="2CBFF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55" w:hRule="atLeast"/>
          <w:jc w:val="center"/>
        </w:trPr>
        <w:tc>
          <w:tcPr>
            <w:tcW w:w="924" w:type="dxa"/>
            <w:vAlign w:val="center"/>
          </w:tcPr>
          <w:p w14:paraId="5286B912">
            <w:pPr>
              <w:pStyle w:val="17"/>
              <w:keepNext w:val="0"/>
              <w:keepLines w:val="0"/>
              <w:suppressLineNumbers w:val="0"/>
            </w:pPr>
          </w:p>
        </w:tc>
        <w:tc>
          <w:tcPr>
            <w:tcW w:w="924" w:type="dxa"/>
            <w:vAlign w:val="center"/>
          </w:tcPr>
          <w:p w14:paraId="451605F0">
            <w:pPr>
              <w:pStyle w:val="19"/>
              <w:keepNext w:val="0"/>
              <w:keepLines w:val="0"/>
              <w:suppressLineNumbers w:val="0"/>
            </w:pPr>
          </w:p>
        </w:tc>
        <w:tc>
          <w:tcPr>
            <w:tcW w:w="924" w:type="dxa"/>
            <w:vAlign w:val="center"/>
          </w:tcPr>
          <w:p w14:paraId="7A5C094C">
            <w:pPr>
              <w:pStyle w:val="17"/>
              <w:keepNext w:val="0"/>
              <w:keepLines w:val="0"/>
              <w:suppressLineNumbers w:val="0"/>
            </w:pPr>
          </w:p>
        </w:tc>
        <w:tc>
          <w:tcPr>
            <w:tcW w:w="924" w:type="dxa"/>
            <w:vAlign w:val="center"/>
          </w:tcPr>
          <w:p w14:paraId="7F65EAF8">
            <w:pPr>
              <w:pStyle w:val="17"/>
              <w:keepNext w:val="0"/>
              <w:keepLines w:val="0"/>
              <w:suppressLineNumbers w:val="0"/>
            </w:pPr>
          </w:p>
        </w:tc>
        <w:tc>
          <w:tcPr>
            <w:tcW w:w="924" w:type="dxa"/>
            <w:vAlign w:val="center"/>
          </w:tcPr>
          <w:p w14:paraId="61497DEC">
            <w:pPr>
              <w:pStyle w:val="20"/>
              <w:keepNext w:val="0"/>
              <w:keepLines w:val="0"/>
              <w:suppressLineNumbers w:val="0"/>
            </w:pPr>
          </w:p>
        </w:tc>
        <w:tc>
          <w:tcPr>
            <w:tcW w:w="924" w:type="dxa"/>
            <w:vAlign w:val="center"/>
          </w:tcPr>
          <w:p w14:paraId="07BF93DE">
            <w:pPr>
              <w:pStyle w:val="19"/>
              <w:keepNext w:val="0"/>
              <w:keepLines w:val="0"/>
              <w:suppressLineNumbers w:val="0"/>
            </w:pPr>
          </w:p>
        </w:tc>
        <w:tc>
          <w:tcPr>
            <w:tcW w:w="924" w:type="dxa"/>
            <w:vAlign w:val="center"/>
          </w:tcPr>
          <w:p w14:paraId="6FF693D6">
            <w:pPr>
              <w:pStyle w:val="19"/>
              <w:keepNext w:val="0"/>
              <w:keepLines w:val="0"/>
              <w:suppressLineNumbers w:val="0"/>
            </w:pPr>
          </w:p>
        </w:tc>
        <w:tc>
          <w:tcPr>
            <w:tcW w:w="924" w:type="dxa"/>
            <w:vAlign w:val="center"/>
          </w:tcPr>
          <w:p w14:paraId="5ABEF653">
            <w:pPr>
              <w:pStyle w:val="19"/>
              <w:keepNext w:val="0"/>
              <w:keepLines w:val="0"/>
              <w:suppressLineNumbers w:val="0"/>
            </w:pPr>
          </w:p>
        </w:tc>
        <w:tc>
          <w:tcPr>
            <w:tcW w:w="924" w:type="dxa"/>
            <w:vAlign w:val="center"/>
          </w:tcPr>
          <w:p w14:paraId="3DE80CD1">
            <w:pPr>
              <w:pStyle w:val="19"/>
              <w:keepNext w:val="0"/>
              <w:keepLines w:val="0"/>
              <w:suppressLineNumbers w:val="0"/>
            </w:pPr>
          </w:p>
        </w:tc>
        <w:tc>
          <w:tcPr>
            <w:tcW w:w="924" w:type="dxa"/>
            <w:vAlign w:val="center"/>
          </w:tcPr>
          <w:p w14:paraId="2284CF42">
            <w:pPr>
              <w:pStyle w:val="19"/>
              <w:keepNext w:val="0"/>
              <w:keepLines w:val="0"/>
              <w:suppressLineNumbers w:val="0"/>
            </w:pPr>
          </w:p>
        </w:tc>
        <w:tc>
          <w:tcPr>
            <w:tcW w:w="924" w:type="dxa"/>
            <w:vAlign w:val="center"/>
          </w:tcPr>
          <w:p w14:paraId="186B7410">
            <w:pPr>
              <w:pStyle w:val="19"/>
              <w:keepNext w:val="0"/>
              <w:keepLines w:val="0"/>
              <w:suppressLineNumbers w:val="0"/>
            </w:pPr>
          </w:p>
        </w:tc>
        <w:tc>
          <w:tcPr>
            <w:tcW w:w="924" w:type="dxa"/>
            <w:vAlign w:val="center"/>
          </w:tcPr>
          <w:p w14:paraId="71D64819">
            <w:pPr>
              <w:pStyle w:val="19"/>
              <w:keepNext w:val="0"/>
              <w:keepLines w:val="0"/>
              <w:suppressLineNumbers w:val="0"/>
            </w:pPr>
          </w:p>
        </w:tc>
        <w:tc>
          <w:tcPr>
            <w:tcW w:w="924" w:type="dxa"/>
            <w:vAlign w:val="center"/>
          </w:tcPr>
          <w:p w14:paraId="3D09D1FF">
            <w:pPr>
              <w:pStyle w:val="19"/>
              <w:keepNext w:val="0"/>
              <w:keepLines w:val="0"/>
              <w:suppressLineNumbers w:val="0"/>
            </w:pPr>
          </w:p>
        </w:tc>
        <w:tc>
          <w:tcPr>
            <w:tcW w:w="924" w:type="dxa"/>
            <w:vAlign w:val="center"/>
          </w:tcPr>
          <w:p w14:paraId="4248E8CF">
            <w:pPr>
              <w:pStyle w:val="19"/>
              <w:keepNext w:val="0"/>
              <w:keepLines w:val="0"/>
              <w:suppressLineNumbers w:val="0"/>
            </w:pPr>
          </w:p>
        </w:tc>
        <w:tc>
          <w:tcPr>
            <w:tcW w:w="924" w:type="dxa"/>
            <w:vAlign w:val="center"/>
          </w:tcPr>
          <w:p w14:paraId="690C15B4">
            <w:pPr>
              <w:pStyle w:val="19"/>
              <w:keepNext w:val="0"/>
              <w:keepLines w:val="0"/>
              <w:suppressLineNumbers w:val="0"/>
            </w:pPr>
          </w:p>
        </w:tc>
        <w:tc>
          <w:tcPr>
            <w:tcW w:w="924" w:type="dxa"/>
            <w:vAlign w:val="center"/>
          </w:tcPr>
          <w:p w14:paraId="29BCCF8B">
            <w:pPr>
              <w:pStyle w:val="19"/>
              <w:keepNext w:val="0"/>
              <w:keepLines w:val="0"/>
              <w:suppressLineNumbers w:val="0"/>
            </w:pPr>
          </w:p>
        </w:tc>
      </w:tr>
    </w:tbl>
    <w:p w14:paraId="31F32574">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1959916">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16930B36">
      <w:pPr>
        <w:spacing w:before="0" w:after="0"/>
        <w:ind w:firstLine="640"/>
        <w:jc w:val="left"/>
        <w:outlineLvl w:val="9"/>
      </w:pPr>
      <w:r>
        <w:rPr>
          <w:rFonts w:ascii="Times New Roman" w:hAnsi="Times New Roman" w:eastAsia="方正仿宋_GBK" w:cs="Times New Roman"/>
          <w:color w:val="000000"/>
          <w:sz w:val="32"/>
        </w:rPr>
        <w:t xml:space="preserve"> </w:t>
      </w:r>
    </w:p>
    <w:p w14:paraId="751DD2C6">
      <w:pPr>
        <w:spacing w:line="560" w:lineRule="exact"/>
        <w:rPr>
          <w:rFonts w:ascii="黑体" w:hAnsi="黑体" w:eastAsia="黑体" w:cs="宋体"/>
          <w:kern w:val="0"/>
          <w:sz w:val="32"/>
          <w:szCs w:val="32"/>
        </w:rPr>
      </w:pPr>
      <w:r>
        <w:rPr>
          <w:rFonts w:hint="eastAsia" w:ascii="黑体" w:hAnsi="黑体" w:eastAsia="黑体" w:cs="宋体"/>
          <w:kern w:val="0"/>
          <w:sz w:val="32"/>
          <w:szCs w:val="32"/>
        </w:rPr>
        <w:t>七、国有资产信息</w:t>
      </w:r>
    </w:p>
    <w:p w14:paraId="5B6F07AB">
      <w:pPr>
        <w:spacing w:line="560" w:lineRule="exact"/>
        <w:ind w:firstLine="650" w:firstLineChars="200"/>
        <w:jc w:val="left"/>
        <w:rPr>
          <w:rFonts w:ascii="仿宋" w:hAnsi="仿宋" w:eastAsia="仿宋" w:cs="宋体"/>
          <w:kern w:val="0"/>
          <w:sz w:val="32"/>
          <w:szCs w:val="32"/>
        </w:rPr>
      </w:pPr>
      <w:r>
        <w:rPr>
          <w:rFonts w:hint="eastAsia" w:ascii="仿宋" w:hAnsi="仿宋" w:eastAsia="仿宋" w:cs="宋体"/>
          <w:sz w:val="32"/>
          <w:szCs w:val="32"/>
          <w:lang w:eastAsia="zh-CN"/>
        </w:rPr>
        <w:t>截至2021年</w:t>
      </w:r>
      <w:r>
        <w:rPr>
          <w:rFonts w:ascii="仿宋" w:hAnsi="仿宋" w:eastAsia="仿宋" w:cs="宋体"/>
          <w:sz w:val="32"/>
          <w:szCs w:val="32"/>
        </w:rPr>
        <w:t>12</w:t>
      </w:r>
      <w:r>
        <w:rPr>
          <w:rFonts w:hint="eastAsia" w:ascii="仿宋" w:hAnsi="仿宋" w:eastAsia="仿宋" w:cs="宋体"/>
          <w:sz w:val="32"/>
          <w:szCs w:val="32"/>
        </w:rPr>
        <w:t>月</w:t>
      </w:r>
      <w:r>
        <w:rPr>
          <w:rFonts w:ascii="仿宋" w:hAnsi="仿宋" w:eastAsia="仿宋" w:cs="宋体"/>
          <w:sz w:val="32"/>
          <w:szCs w:val="32"/>
        </w:rPr>
        <w:t>31</w:t>
      </w:r>
      <w:r>
        <w:rPr>
          <w:rFonts w:hint="eastAsia" w:ascii="仿宋" w:hAnsi="仿宋" w:eastAsia="仿宋" w:cs="宋体"/>
          <w:sz w:val="32"/>
          <w:szCs w:val="32"/>
        </w:rPr>
        <w:t>日，我单位固定资产清查值</w:t>
      </w:r>
      <w:r>
        <w:rPr>
          <w:rFonts w:hint="eastAsia" w:ascii="仿宋" w:hAnsi="仿宋" w:eastAsia="仿宋" w:cs="宋体"/>
          <w:kern w:val="0"/>
          <w:sz w:val="32"/>
          <w:szCs w:val="32"/>
        </w:rPr>
        <w:t>为</w:t>
      </w:r>
      <w:r>
        <w:rPr>
          <w:rFonts w:hint="eastAsia" w:ascii="仿宋" w:hAnsi="仿宋" w:eastAsia="仿宋" w:cs="宋体"/>
          <w:kern w:val="0"/>
          <w:sz w:val="32"/>
          <w:szCs w:val="32"/>
          <w:lang w:val="en-US" w:eastAsia="zh-CN"/>
        </w:rPr>
        <w:t>13371.75</w:t>
      </w:r>
      <w:r>
        <w:rPr>
          <w:rFonts w:ascii="仿宋" w:hAnsi="仿宋" w:eastAsia="仿宋" w:cs="宋体"/>
          <w:kern w:val="0"/>
          <w:sz w:val="32"/>
          <w:szCs w:val="32"/>
        </w:rPr>
        <w:t xml:space="preserve"> </w:t>
      </w:r>
      <w:r>
        <w:rPr>
          <w:rFonts w:hint="eastAsia" w:ascii="仿宋" w:hAnsi="仿宋" w:eastAsia="仿宋" w:cs="宋体"/>
          <w:kern w:val="0"/>
          <w:sz w:val="32"/>
          <w:szCs w:val="32"/>
        </w:rPr>
        <w:t>万元。详见下表。</w:t>
      </w:r>
    </w:p>
    <w:p w14:paraId="16BE43A9">
      <w:pPr>
        <w:spacing w:line="560" w:lineRule="exact"/>
        <w:ind w:firstLine="650" w:firstLineChars="200"/>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宁晋县公安局固定资产占用情况</w:t>
      </w:r>
    </w:p>
    <w:p w14:paraId="54ED5483">
      <w:pPr>
        <w:spacing w:line="560" w:lineRule="exact"/>
        <w:ind w:right="640" w:firstLine="8457" w:firstLineChars="3934"/>
        <w:jc w:val="right"/>
        <w:rPr>
          <w:rFonts w:ascii="仿宋" w:hAnsi="仿宋" w:eastAsia="仿宋" w:cs="宋体"/>
          <w:b/>
          <w:kern w:val="0"/>
          <w:szCs w:val="21"/>
        </w:rPr>
      </w:pPr>
      <w:r>
        <w:rPr>
          <w:rFonts w:hint="eastAsia" w:ascii="仿宋" w:hAnsi="仿宋" w:eastAsia="仿宋" w:cs="宋体"/>
          <w:b/>
          <w:kern w:val="0"/>
          <w:szCs w:val="21"/>
          <w:lang w:val="en-US" w:eastAsia="zh-CN"/>
        </w:rPr>
        <w:t xml:space="preserve">        </w:t>
      </w:r>
      <w:r>
        <w:rPr>
          <w:rFonts w:hint="eastAsia" w:ascii="仿宋" w:hAnsi="仿宋" w:eastAsia="仿宋" w:cs="宋体"/>
          <w:b/>
          <w:kern w:val="0"/>
          <w:szCs w:val="21"/>
        </w:rPr>
        <w:t>截止时间：20</w:t>
      </w:r>
      <w:r>
        <w:rPr>
          <w:rFonts w:hint="eastAsia" w:ascii="仿宋" w:hAnsi="仿宋" w:eastAsia="仿宋" w:cs="宋体"/>
          <w:b/>
          <w:kern w:val="0"/>
          <w:szCs w:val="21"/>
          <w:lang w:val="en-US" w:eastAsia="zh-CN"/>
        </w:rPr>
        <w:t>21</w:t>
      </w:r>
      <w:r>
        <w:rPr>
          <w:rFonts w:hint="eastAsia" w:ascii="仿宋" w:hAnsi="仿宋" w:eastAsia="仿宋" w:cs="宋体"/>
          <w:b/>
          <w:kern w:val="0"/>
          <w:szCs w:val="21"/>
        </w:rPr>
        <w:t>年12月31日</w:t>
      </w:r>
    </w:p>
    <w:tbl>
      <w:tblPr>
        <w:tblStyle w:val="5"/>
        <w:tblW w:w="8760" w:type="dxa"/>
        <w:jc w:val="center"/>
        <w:tblLayout w:type="fixed"/>
        <w:tblCellMar>
          <w:top w:w="0" w:type="dxa"/>
          <w:left w:w="108" w:type="dxa"/>
          <w:bottom w:w="0" w:type="dxa"/>
          <w:right w:w="108" w:type="dxa"/>
        </w:tblCellMar>
      </w:tblPr>
      <w:tblGrid>
        <w:gridCol w:w="2920"/>
        <w:gridCol w:w="2320"/>
        <w:gridCol w:w="3520"/>
      </w:tblGrid>
      <w:tr w14:paraId="5F86AFE0">
        <w:tblPrEx>
          <w:tblCellMar>
            <w:top w:w="0" w:type="dxa"/>
            <w:left w:w="108" w:type="dxa"/>
            <w:bottom w:w="0" w:type="dxa"/>
            <w:right w:w="108" w:type="dxa"/>
          </w:tblCellMar>
        </w:tblPrEx>
        <w:trPr>
          <w:trHeight w:val="702" w:hRule="atLeast"/>
          <w:jc w:val="center"/>
        </w:trPr>
        <w:tc>
          <w:tcPr>
            <w:tcW w:w="2920" w:type="dxa"/>
            <w:tcBorders>
              <w:top w:val="single" w:color="auto" w:sz="4" w:space="0"/>
              <w:left w:val="single" w:color="auto" w:sz="4" w:space="0"/>
              <w:bottom w:val="single" w:color="auto" w:sz="4" w:space="0"/>
              <w:right w:val="single" w:color="auto" w:sz="4" w:space="0"/>
            </w:tcBorders>
            <w:noWrap/>
            <w:vAlign w:val="center"/>
          </w:tcPr>
          <w:p w14:paraId="5A610BFD">
            <w:pPr>
              <w:keepNext w:val="0"/>
              <w:keepLines w:val="0"/>
              <w:widowControl/>
              <w:suppressLineNumbers w:val="0"/>
              <w:spacing w:before="0" w:beforeAutospacing="0" w:after="0" w:afterAutospacing="0" w:line="560" w:lineRule="exact"/>
              <w:ind w:left="0" w:right="0"/>
              <w:jc w:val="center"/>
              <w:rPr>
                <w:rFonts w:hint="default" w:ascii="仿宋" w:hAnsi="仿宋" w:eastAsia="仿宋" w:cs="宋体"/>
                <w:b/>
                <w:bCs/>
                <w:kern w:val="0"/>
                <w:sz w:val="28"/>
                <w:szCs w:val="28"/>
              </w:rPr>
            </w:pPr>
            <w:r>
              <w:rPr>
                <w:rFonts w:hint="eastAsia" w:ascii="仿宋" w:hAnsi="仿宋" w:eastAsia="仿宋" w:cs="宋体"/>
                <w:b/>
                <w:bCs/>
                <w:kern w:val="0"/>
                <w:sz w:val="28"/>
                <w:szCs w:val="28"/>
              </w:rPr>
              <w:t>项目</w:t>
            </w:r>
          </w:p>
        </w:tc>
        <w:tc>
          <w:tcPr>
            <w:tcW w:w="2320" w:type="dxa"/>
            <w:tcBorders>
              <w:top w:val="single" w:color="auto" w:sz="4" w:space="0"/>
              <w:left w:val="nil"/>
              <w:bottom w:val="single" w:color="auto" w:sz="4" w:space="0"/>
              <w:right w:val="single" w:color="auto" w:sz="4" w:space="0"/>
            </w:tcBorders>
            <w:noWrap/>
            <w:vAlign w:val="center"/>
          </w:tcPr>
          <w:p w14:paraId="1B4244F4">
            <w:pPr>
              <w:keepNext w:val="0"/>
              <w:keepLines w:val="0"/>
              <w:widowControl/>
              <w:suppressLineNumbers w:val="0"/>
              <w:spacing w:before="0" w:beforeAutospacing="0" w:after="0" w:afterAutospacing="0" w:line="560" w:lineRule="exact"/>
              <w:ind w:left="0" w:right="0"/>
              <w:jc w:val="center"/>
              <w:rPr>
                <w:rFonts w:hint="default" w:ascii="仿宋" w:hAnsi="仿宋" w:eastAsia="仿宋" w:cs="宋体"/>
                <w:b/>
                <w:bCs/>
                <w:kern w:val="0"/>
                <w:sz w:val="28"/>
                <w:szCs w:val="28"/>
              </w:rPr>
            </w:pPr>
            <w:r>
              <w:rPr>
                <w:rFonts w:hint="eastAsia" w:ascii="仿宋" w:hAnsi="仿宋" w:eastAsia="仿宋" w:cs="宋体"/>
                <w:b/>
                <w:bCs/>
                <w:kern w:val="0"/>
                <w:sz w:val="28"/>
                <w:szCs w:val="28"/>
              </w:rPr>
              <w:t>数量</w:t>
            </w:r>
          </w:p>
        </w:tc>
        <w:tc>
          <w:tcPr>
            <w:tcW w:w="3520" w:type="dxa"/>
            <w:tcBorders>
              <w:top w:val="single" w:color="auto" w:sz="4" w:space="0"/>
              <w:left w:val="nil"/>
              <w:bottom w:val="single" w:color="auto" w:sz="4" w:space="0"/>
              <w:right w:val="single" w:color="auto" w:sz="4" w:space="0"/>
            </w:tcBorders>
            <w:noWrap/>
            <w:vAlign w:val="center"/>
          </w:tcPr>
          <w:p w14:paraId="4D3802BA">
            <w:pPr>
              <w:keepNext w:val="0"/>
              <w:keepLines w:val="0"/>
              <w:widowControl/>
              <w:suppressLineNumbers w:val="0"/>
              <w:spacing w:before="0" w:beforeAutospacing="0" w:after="0" w:afterAutospacing="0" w:line="560" w:lineRule="exact"/>
              <w:ind w:left="0" w:right="0"/>
              <w:jc w:val="center"/>
              <w:rPr>
                <w:rFonts w:hint="default" w:ascii="仿宋" w:hAnsi="仿宋" w:eastAsia="仿宋" w:cs="宋体"/>
                <w:b/>
                <w:bCs/>
                <w:kern w:val="0"/>
                <w:sz w:val="28"/>
                <w:szCs w:val="28"/>
              </w:rPr>
            </w:pPr>
            <w:r>
              <w:rPr>
                <w:rFonts w:hint="eastAsia" w:ascii="仿宋" w:hAnsi="仿宋" w:eastAsia="仿宋" w:cs="宋体"/>
                <w:b/>
                <w:bCs/>
                <w:kern w:val="0"/>
                <w:sz w:val="28"/>
                <w:szCs w:val="28"/>
              </w:rPr>
              <w:t>价值（金额单位：万元）</w:t>
            </w:r>
          </w:p>
        </w:tc>
      </w:tr>
      <w:tr w14:paraId="38A224BB">
        <w:tblPrEx>
          <w:tblCellMar>
            <w:top w:w="0" w:type="dxa"/>
            <w:left w:w="108" w:type="dxa"/>
            <w:bottom w:w="0" w:type="dxa"/>
            <w:right w:w="108" w:type="dxa"/>
          </w:tblCellMar>
        </w:tblPrEx>
        <w:trPr>
          <w:trHeight w:val="702" w:hRule="atLeast"/>
          <w:jc w:val="center"/>
        </w:trPr>
        <w:tc>
          <w:tcPr>
            <w:tcW w:w="2920" w:type="dxa"/>
            <w:tcBorders>
              <w:top w:val="nil"/>
              <w:left w:val="single" w:color="auto" w:sz="4" w:space="0"/>
              <w:bottom w:val="single" w:color="auto" w:sz="4" w:space="0"/>
              <w:right w:val="single" w:color="auto" w:sz="4" w:space="0"/>
            </w:tcBorders>
            <w:noWrap/>
            <w:vAlign w:val="center"/>
          </w:tcPr>
          <w:p w14:paraId="4ED517BE">
            <w:pPr>
              <w:keepNext w:val="0"/>
              <w:keepLines w:val="0"/>
              <w:widowControl/>
              <w:suppressLineNumbers w:val="0"/>
              <w:spacing w:before="0" w:beforeAutospacing="0" w:after="0" w:afterAutospacing="0" w:line="560" w:lineRule="exact"/>
              <w:ind w:left="0" w:right="0"/>
              <w:jc w:val="center"/>
              <w:rPr>
                <w:rFonts w:hint="default" w:ascii="仿宋" w:hAnsi="仿宋" w:eastAsia="仿宋" w:cs="宋体"/>
                <w:b/>
                <w:bCs/>
                <w:kern w:val="0"/>
                <w:sz w:val="28"/>
                <w:szCs w:val="28"/>
              </w:rPr>
            </w:pPr>
            <w:r>
              <w:rPr>
                <w:rFonts w:hint="eastAsia" w:ascii="仿宋" w:hAnsi="仿宋" w:eastAsia="仿宋" w:cs="宋体"/>
                <w:b/>
                <w:bCs/>
                <w:kern w:val="0"/>
                <w:sz w:val="28"/>
                <w:szCs w:val="28"/>
              </w:rPr>
              <w:t>固定资产总额</w:t>
            </w:r>
          </w:p>
        </w:tc>
        <w:tc>
          <w:tcPr>
            <w:tcW w:w="2320" w:type="dxa"/>
            <w:tcBorders>
              <w:top w:val="nil"/>
              <w:left w:val="nil"/>
              <w:bottom w:val="single" w:color="auto" w:sz="4" w:space="0"/>
              <w:right w:val="single" w:color="auto" w:sz="4" w:space="0"/>
            </w:tcBorders>
            <w:noWrap/>
            <w:vAlign w:val="center"/>
          </w:tcPr>
          <w:p w14:paraId="7410AFA1">
            <w:pPr>
              <w:keepNext w:val="0"/>
              <w:keepLines w:val="0"/>
              <w:widowControl/>
              <w:suppressLineNumbers w:val="0"/>
              <w:spacing w:before="0" w:beforeAutospacing="0" w:after="0" w:afterAutospacing="0" w:line="560" w:lineRule="exact"/>
              <w:ind w:left="0" w:right="0"/>
              <w:jc w:val="center"/>
              <w:rPr>
                <w:rFonts w:hint="default" w:ascii="仿宋" w:hAnsi="仿宋" w:eastAsia="仿宋" w:cs="宋体"/>
                <w:b/>
                <w:bCs/>
                <w:kern w:val="0"/>
                <w:sz w:val="28"/>
                <w:szCs w:val="28"/>
              </w:rPr>
            </w:pPr>
            <w:r>
              <w:rPr>
                <w:rFonts w:hint="default" w:ascii="仿宋" w:hAnsi="仿宋" w:eastAsia="仿宋" w:cs="宋体"/>
                <w:b/>
                <w:bCs/>
                <w:kern w:val="0"/>
                <w:sz w:val="28"/>
                <w:szCs w:val="28"/>
              </w:rPr>
              <w:t>——</w:t>
            </w:r>
          </w:p>
        </w:tc>
        <w:tc>
          <w:tcPr>
            <w:tcW w:w="3520" w:type="dxa"/>
            <w:tcBorders>
              <w:top w:val="nil"/>
              <w:left w:val="nil"/>
              <w:bottom w:val="single" w:color="auto" w:sz="4" w:space="0"/>
              <w:right w:val="single" w:color="auto" w:sz="4" w:space="0"/>
            </w:tcBorders>
            <w:noWrap/>
            <w:vAlign w:val="center"/>
          </w:tcPr>
          <w:p w14:paraId="5DDC7F6B">
            <w:pPr>
              <w:keepNext w:val="0"/>
              <w:keepLines w:val="0"/>
              <w:widowControl/>
              <w:suppressLineNumbers w:val="0"/>
              <w:spacing w:before="0" w:beforeAutospacing="0" w:after="0" w:afterAutospacing="0" w:line="560" w:lineRule="exact"/>
              <w:ind w:left="0" w:right="0"/>
              <w:jc w:val="right"/>
              <w:rPr>
                <w:rFonts w:hint="default" w:ascii="仿宋" w:hAnsi="仿宋" w:eastAsia="仿宋" w:cs="宋体"/>
                <w:b/>
                <w:bCs/>
                <w:kern w:val="0"/>
                <w:sz w:val="28"/>
                <w:szCs w:val="28"/>
              </w:rPr>
            </w:pPr>
            <w:r>
              <w:rPr>
                <w:rFonts w:hint="eastAsia" w:ascii="仿宋" w:hAnsi="仿宋" w:eastAsia="仿宋" w:cs="宋体"/>
                <w:b/>
                <w:bCs/>
                <w:kern w:val="0"/>
                <w:sz w:val="28"/>
                <w:szCs w:val="28"/>
                <w:lang w:val="en-US" w:eastAsia="zh-CN"/>
              </w:rPr>
              <w:t>13371.75</w:t>
            </w:r>
            <w:r>
              <w:rPr>
                <w:rFonts w:hint="default" w:ascii="仿宋" w:hAnsi="仿宋" w:eastAsia="仿宋" w:cs="宋体"/>
                <w:b/>
                <w:bCs/>
                <w:kern w:val="0"/>
                <w:sz w:val="28"/>
                <w:szCs w:val="28"/>
              </w:rPr>
              <w:t xml:space="preserve"> </w:t>
            </w:r>
          </w:p>
        </w:tc>
      </w:tr>
      <w:tr w14:paraId="78CEF9DF">
        <w:tblPrEx>
          <w:tblCellMar>
            <w:top w:w="0" w:type="dxa"/>
            <w:left w:w="108" w:type="dxa"/>
            <w:bottom w:w="0" w:type="dxa"/>
            <w:right w:w="108" w:type="dxa"/>
          </w:tblCellMar>
        </w:tblPrEx>
        <w:trPr>
          <w:trHeight w:val="702" w:hRule="atLeast"/>
          <w:jc w:val="center"/>
        </w:trPr>
        <w:tc>
          <w:tcPr>
            <w:tcW w:w="2920" w:type="dxa"/>
            <w:tcBorders>
              <w:top w:val="nil"/>
              <w:left w:val="single" w:color="auto" w:sz="4" w:space="0"/>
              <w:bottom w:val="single" w:color="auto" w:sz="4" w:space="0"/>
              <w:right w:val="single" w:color="auto" w:sz="4" w:space="0"/>
            </w:tcBorders>
            <w:vAlign w:val="center"/>
          </w:tcPr>
          <w:p w14:paraId="4FF1192E">
            <w:pPr>
              <w:keepNext w:val="0"/>
              <w:keepLines w:val="0"/>
              <w:widowControl/>
              <w:suppressLineNumbers w:val="0"/>
              <w:spacing w:before="0" w:beforeAutospacing="0" w:after="0" w:afterAutospacing="0" w:line="560" w:lineRule="exact"/>
              <w:ind w:left="0" w:right="0"/>
              <w:jc w:val="left"/>
              <w:rPr>
                <w:rFonts w:hint="default" w:ascii="仿宋" w:hAnsi="仿宋" w:eastAsia="仿宋" w:cs="宋体"/>
                <w:kern w:val="0"/>
                <w:sz w:val="28"/>
                <w:szCs w:val="28"/>
              </w:rPr>
            </w:pPr>
            <w:r>
              <w:rPr>
                <w:rFonts w:hint="default" w:ascii="仿宋" w:hAnsi="仿宋" w:eastAsia="仿宋" w:cs="宋体"/>
                <w:kern w:val="0"/>
                <w:sz w:val="28"/>
                <w:szCs w:val="28"/>
              </w:rPr>
              <w:t>1.</w:t>
            </w:r>
            <w:r>
              <w:rPr>
                <w:rFonts w:hint="eastAsia" w:ascii="仿宋" w:hAnsi="仿宋" w:eastAsia="仿宋" w:cs="宋体"/>
                <w:kern w:val="0"/>
                <w:sz w:val="28"/>
                <w:szCs w:val="28"/>
              </w:rPr>
              <w:t>房屋（平方米）</w:t>
            </w:r>
          </w:p>
        </w:tc>
        <w:tc>
          <w:tcPr>
            <w:tcW w:w="2320" w:type="dxa"/>
            <w:tcBorders>
              <w:top w:val="nil"/>
              <w:left w:val="nil"/>
              <w:bottom w:val="single" w:color="auto" w:sz="4" w:space="0"/>
              <w:right w:val="single" w:color="auto" w:sz="4" w:space="0"/>
            </w:tcBorders>
            <w:noWrap/>
            <w:vAlign w:val="center"/>
          </w:tcPr>
          <w:p w14:paraId="36717845">
            <w:pPr>
              <w:keepNext w:val="0"/>
              <w:keepLines w:val="0"/>
              <w:widowControl/>
              <w:suppressLineNumbers w:val="0"/>
              <w:spacing w:before="0" w:beforeAutospacing="0" w:after="0" w:afterAutospacing="0" w:line="560" w:lineRule="exact"/>
              <w:ind w:left="0" w:right="0"/>
              <w:jc w:val="right"/>
              <w:rPr>
                <w:rFonts w:hint="default" w:ascii="仿宋" w:hAnsi="仿宋" w:eastAsia="仿宋" w:cs="宋体"/>
                <w:kern w:val="0"/>
                <w:sz w:val="28"/>
                <w:szCs w:val="28"/>
              </w:rPr>
            </w:pPr>
            <w:r>
              <w:rPr>
                <w:rFonts w:hint="eastAsia" w:ascii="仿宋" w:hAnsi="仿宋" w:eastAsia="仿宋" w:cs="宋体"/>
                <w:kern w:val="0"/>
                <w:sz w:val="28"/>
                <w:szCs w:val="28"/>
              </w:rPr>
              <w:t>28092.00</w:t>
            </w:r>
          </w:p>
        </w:tc>
        <w:tc>
          <w:tcPr>
            <w:tcW w:w="3520" w:type="dxa"/>
            <w:tcBorders>
              <w:top w:val="nil"/>
              <w:left w:val="nil"/>
              <w:bottom w:val="single" w:color="auto" w:sz="4" w:space="0"/>
              <w:right w:val="single" w:color="auto" w:sz="4" w:space="0"/>
            </w:tcBorders>
            <w:noWrap/>
            <w:vAlign w:val="center"/>
          </w:tcPr>
          <w:p w14:paraId="55FD8069">
            <w:pPr>
              <w:keepNext w:val="0"/>
              <w:keepLines w:val="0"/>
              <w:widowControl/>
              <w:suppressLineNumbers w:val="0"/>
              <w:spacing w:before="0" w:beforeAutospacing="0" w:after="0" w:afterAutospacing="0" w:line="560" w:lineRule="exact"/>
              <w:ind w:left="0" w:right="0"/>
              <w:jc w:val="right"/>
              <w:rPr>
                <w:rFonts w:hint="default" w:ascii="仿宋" w:hAnsi="仿宋" w:eastAsia="仿宋" w:cs="宋体"/>
                <w:kern w:val="0"/>
                <w:sz w:val="28"/>
                <w:szCs w:val="28"/>
              </w:rPr>
            </w:pPr>
            <w:r>
              <w:rPr>
                <w:rFonts w:hint="eastAsia" w:ascii="仿宋" w:hAnsi="仿宋" w:eastAsia="仿宋" w:cs="宋体"/>
                <w:kern w:val="0"/>
                <w:sz w:val="28"/>
                <w:szCs w:val="28"/>
              </w:rPr>
              <w:t>6345.58</w:t>
            </w:r>
          </w:p>
        </w:tc>
      </w:tr>
      <w:tr w14:paraId="58DF6903">
        <w:tblPrEx>
          <w:tblCellMar>
            <w:top w:w="0" w:type="dxa"/>
            <w:left w:w="108" w:type="dxa"/>
            <w:bottom w:w="0" w:type="dxa"/>
            <w:right w:w="108" w:type="dxa"/>
          </w:tblCellMar>
        </w:tblPrEx>
        <w:trPr>
          <w:trHeight w:val="702" w:hRule="atLeast"/>
          <w:jc w:val="center"/>
        </w:trPr>
        <w:tc>
          <w:tcPr>
            <w:tcW w:w="2920" w:type="dxa"/>
            <w:tcBorders>
              <w:top w:val="nil"/>
              <w:left w:val="single" w:color="auto" w:sz="4" w:space="0"/>
              <w:bottom w:val="single" w:color="auto" w:sz="4" w:space="0"/>
              <w:right w:val="single" w:color="auto" w:sz="4" w:space="0"/>
            </w:tcBorders>
            <w:vAlign w:val="center"/>
          </w:tcPr>
          <w:p w14:paraId="6CA3DD03">
            <w:pPr>
              <w:keepNext w:val="0"/>
              <w:keepLines w:val="0"/>
              <w:widowControl/>
              <w:suppressLineNumbers w:val="0"/>
              <w:spacing w:before="0" w:beforeAutospacing="0" w:after="0" w:afterAutospacing="0" w:line="560" w:lineRule="exact"/>
              <w:ind w:left="0" w:right="0"/>
              <w:jc w:val="left"/>
              <w:rPr>
                <w:rFonts w:hint="default" w:ascii="仿宋" w:hAnsi="仿宋" w:eastAsia="仿宋" w:cs="宋体"/>
                <w:kern w:val="0"/>
                <w:sz w:val="28"/>
                <w:szCs w:val="28"/>
              </w:rPr>
            </w:pPr>
            <w:r>
              <w:rPr>
                <w:rFonts w:hint="eastAsia" w:ascii="仿宋" w:hAnsi="仿宋" w:eastAsia="仿宋" w:cs="宋体"/>
                <w:kern w:val="0"/>
                <w:sz w:val="28"/>
                <w:szCs w:val="28"/>
              </w:rPr>
              <w:t>其中：办公用房</w:t>
            </w:r>
          </w:p>
        </w:tc>
        <w:tc>
          <w:tcPr>
            <w:tcW w:w="2320" w:type="dxa"/>
            <w:tcBorders>
              <w:top w:val="nil"/>
              <w:left w:val="nil"/>
              <w:bottom w:val="single" w:color="auto" w:sz="4" w:space="0"/>
              <w:right w:val="single" w:color="auto" w:sz="4" w:space="0"/>
            </w:tcBorders>
            <w:noWrap/>
            <w:vAlign w:val="center"/>
          </w:tcPr>
          <w:p w14:paraId="68D0185F">
            <w:pPr>
              <w:keepNext w:val="0"/>
              <w:keepLines w:val="0"/>
              <w:widowControl/>
              <w:suppressLineNumbers w:val="0"/>
              <w:spacing w:before="0" w:beforeAutospacing="0" w:after="0" w:afterAutospacing="0" w:line="560" w:lineRule="exact"/>
              <w:ind w:left="0" w:right="0"/>
              <w:jc w:val="right"/>
              <w:rPr>
                <w:rFonts w:hint="default" w:ascii="仿宋" w:hAnsi="仿宋" w:eastAsia="仿宋" w:cs="宋体"/>
                <w:kern w:val="0"/>
                <w:sz w:val="28"/>
                <w:szCs w:val="28"/>
              </w:rPr>
            </w:pPr>
            <w:r>
              <w:rPr>
                <w:rFonts w:hint="eastAsia" w:ascii="仿宋" w:hAnsi="仿宋" w:eastAsia="仿宋" w:cs="宋体"/>
                <w:kern w:val="0"/>
                <w:sz w:val="28"/>
                <w:szCs w:val="28"/>
              </w:rPr>
              <w:t>28092</w:t>
            </w:r>
            <w:r>
              <w:rPr>
                <w:rFonts w:hint="default" w:ascii="仿宋" w:hAnsi="仿宋" w:eastAsia="仿宋" w:cs="宋体"/>
                <w:kern w:val="0"/>
                <w:sz w:val="28"/>
                <w:szCs w:val="28"/>
              </w:rPr>
              <w:t>.00</w:t>
            </w:r>
          </w:p>
        </w:tc>
        <w:tc>
          <w:tcPr>
            <w:tcW w:w="3520" w:type="dxa"/>
            <w:tcBorders>
              <w:top w:val="nil"/>
              <w:left w:val="nil"/>
              <w:bottom w:val="single" w:color="auto" w:sz="4" w:space="0"/>
              <w:right w:val="single" w:color="auto" w:sz="4" w:space="0"/>
            </w:tcBorders>
            <w:noWrap/>
            <w:vAlign w:val="center"/>
          </w:tcPr>
          <w:p w14:paraId="16674044">
            <w:pPr>
              <w:keepNext w:val="0"/>
              <w:keepLines w:val="0"/>
              <w:widowControl/>
              <w:suppressLineNumbers w:val="0"/>
              <w:spacing w:before="0" w:beforeAutospacing="0" w:after="0" w:afterAutospacing="0" w:line="560" w:lineRule="exact"/>
              <w:ind w:left="0" w:right="0"/>
              <w:jc w:val="right"/>
              <w:rPr>
                <w:rFonts w:hint="default" w:ascii="仿宋" w:hAnsi="仿宋" w:eastAsia="仿宋" w:cs="宋体"/>
                <w:kern w:val="0"/>
                <w:sz w:val="28"/>
                <w:szCs w:val="28"/>
              </w:rPr>
            </w:pPr>
            <w:r>
              <w:rPr>
                <w:rFonts w:hint="eastAsia" w:ascii="仿宋" w:hAnsi="仿宋" w:eastAsia="仿宋" w:cs="宋体"/>
                <w:kern w:val="0"/>
                <w:sz w:val="28"/>
                <w:szCs w:val="28"/>
              </w:rPr>
              <w:t>6345.58</w:t>
            </w:r>
          </w:p>
        </w:tc>
      </w:tr>
      <w:tr w14:paraId="0DDB4FF5">
        <w:tblPrEx>
          <w:tblCellMar>
            <w:top w:w="0" w:type="dxa"/>
            <w:left w:w="108" w:type="dxa"/>
            <w:bottom w:w="0" w:type="dxa"/>
            <w:right w:w="108" w:type="dxa"/>
          </w:tblCellMar>
        </w:tblPrEx>
        <w:trPr>
          <w:trHeight w:val="702" w:hRule="atLeast"/>
          <w:jc w:val="center"/>
        </w:trPr>
        <w:tc>
          <w:tcPr>
            <w:tcW w:w="2920" w:type="dxa"/>
            <w:tcBorders>
              <w:top w:val="nil"/>
              <w:left w:val="single" w:color="auto" w:sz="4" w:space="0"/>
              <w:bottom w:val="single" w:color="auto" w:sz="4" w:space="0"/>
              <w:right w:val="single" w:color="auto" w:sz="4" w:space="0"/>
            </w:tcBorders>
            <w:vAlign w:val="center"/>
          </w:tcPr>
          <w:p w14:paraId="7B9EBD95">
            <w:pPr>
              <w:keepNext w:val="0"/>
              <w:keepLines w:val="0"/>
              <w:widowControl/>
              <w:suppressLineNumbers w:val="0"/>
              <w:spacing w:before="0" w:beforeAutospacing="0" w:after="0" w:afterAutospacing="0" w:line="560" w:lineRule="exact"/>
              <w:ind w:left="0" w:right="0"/>
              <w:jc w:val="left"/>
              <w:rPr>
                <w:rFonts w:hint="default" w:ascii="仿宋" w:hAnsi="仿宋" w:eastAsia="仿宋" w:cs="宋体"/>
                <w:kern w:val="0"/>
                <w:sz w:val="28"/>
                <w:szCs w:val="28"/>
              </w:rPr>
            </w:pPr>
            <w:r>
              <w:rPr>
                <w:rFonts w:hint="default" w:ascii="仿宋" w:hAnsi="仿宋" w:eastAsia="仿宋" w:cs="宋体"/>
                <w:kern w:val="0"/>
                <w:sz w:val="28"/>
                <w:szCs w:val="28"/>
              </w:rPr>
              <w:t>2.</w:t>
            </w:r>
            <w:r>
              <w:rPr>
                <w:rFonts w:hint="eastAsia" w:ascii="仿宋" w:hAnsi="仿宋" w:eastAsia="仿宋" w:cs="宋体"/>
                <w:kern w:val="0"/>
                <w:sz w:val="28"/>
                <w:szCs w:val="28"/>
              </w:rPr>
              <w:t>车辆（台、辆）</w:t>
            </w:r>
          </w:p>
        </w:tc>
        <w:tc>
          <w:tcPr>
            <w:tcW w:w="2320" w:type="dxa"/>
            <w:tcBorders>
              <w:top w:val="nil"/>
              <w:left w:val="nil"/>
              <w:bottom w:val="single" w:color="auto" w:sz="4" w:space="0"/>
              <w:right w:val="single" w:color="auto" w:sz="4" w:space="0"/>
            </w:tcBorders>
            <w:noWrap/>
            <w:vAlign w:val="center"/>
          </w:tcPr>
          <w:p w14:paraId="74BE7AEE">
            <w:pPr>
              <w:keepNext w:val="0"/>
              <w:keepLines w:val="0"/>
              <w:widowControl/>
              <w:suppressLineNumbers w:val="0"/>
              <w:spacing w:before="0" w:beforeAutospacing="0" w:after="0" w:afterAutospacing="0" w:line="560" w:lineRule="exact"/>
              <w:ind w:left="0" w:right="0"/>
              <w:jc w:val="right"/>
              <w:rPr>
                <w:rFonts w:hint="default" w:ascii="仿宋" w:hAnsi="仿宋" w:eastAsia="仿宋" w:cs="宋体"/>
                <w:kern w:val="0"/>
                <w:sz w:val="28"/>
                <w:szCs w:val="28"/>
                <w:lang w:val="en-US" w:eastAsia="zh-CN"/>
              </w:rPr>
            </w:pPr>
            <w:r>
              <w:rPr>
                <w:rFonts w:hint="eastAsia" w:ascii="仿宋" w:hAnsi="仿宋" w:eastAsia="仿宋" w:cs="宋体"/>
                <w:kern w:val="0"/>
                <w:sz w:val="28"/>
                <w:szCs w:val="28"/>
                <w:lang w:val="en-US" w:eastAsia="zh-CN"/>
              </w:rPr>
              <w:t>47</w:t>
            </w:r>
          </w:p>
        </w:tc>
        <w:tc>
          <w:tcPr>
            <w:tcW w:w="3520" w:type="dxa"/>
            <w:tcBorders>
              <w:top w:val="nil"/>
              <w:left w:val="nil"/>
              <w:bottom w:val="single" w:color="auto" w:sz="4" w:space="0"/>
              <w:right w:val="single" w:color="auto" w:sz="4" w:space="0"/>
            </w:tcBorders>
            <w:noWrap/>
            <w:vAlign w:val="center"/>
          </w:tcPr>
          <w:p w14:paraId="3483F671">
            <w:pPr>
              <w:keepNext w:val="0"/>
              <w:keepLines w:val="0"/>
              <w:widowControl/>
              <w:suppressLineNumbers w:val="0"/>
              <w:spacing w:before="0" w:beforeAutospacing="0" w:after="0" w:afterAutospacing="0" w:line="560" w:lineRule="exact"/>
              <w:ind w:left="0" w:right="0"/>
              <w:jc w:val="right"/>
              <w:rPr>
                <w:rFonts w:hint="default" w:ascii="仿宋" w:hAnsi="仿宋" w:eastAsia="仿宋" w:cs="宋体"/>
                <w:kern w:val="0"/>
                <w:sz w:val="28"/>
                <w:szCs w:val="28"/>
                <w:lang w:val="en-US" w:eastAsia="zh-CN"/>
              </w:rPr>
            </w:pPr>
            <w:r>
              <w:rPr>
                <w:rFonts w:hint="eastAsia" w:ascii="仿宋" w:hAnsi="仿宋" w:eastAsia="仿宋" w:cs="宋体"/>
                <w:kern w:val="0"/>
                <w:sz w:val="28"/>
                <w:szCs w:val="28"/>
                <w:lang w:val="en-US" w:eastAsia="zh-CN"/>
              </w:rPr>
              <w:t>768.11</w:t>
            </w:r>
          </w:p>
        </w:tc>
      </w:tr>
      <w:tr w14:paraId="04610497">
        <w:tblPrEx>
          <w:tblCellMar>
            <w:top w:w="0" w:type="dxa"/>
            <w:left w:w="108" w:type="dxa"/>
            <w:bottom w:w="0" w:type="dxa"/>
            <w:right w:w="108" w:type="dxa"/>
          </w:tblCellMar>
        </w:tblPrEx>
        <w:trPr>
          <w:trHeight w:val="702" w:hRule="atLeast"/>
          <w:jc w:val="center"/>
        </w:trPr>
        <w:tc>
          <w:tcPr>
            <w:tcW w:w="2920" w:type="dxa"/>
            <w:tcBorders>
              <w:top w:val="nil"/>
              <w:left w:val="single" w:color="auto" w:sz="4" w:space="0"/>
              <w:bottom w:val="single" w:color="auto" w:sz="4" w:space="0"/>
              <w:right w:val="single" w:color="auto" w:sz="4" w:space="0"/>
            </w:tcBorders>
            <w:vAlign w:val="center"/>
          </w:tcPr>
          <w:p w14:paraId="3F3446E6">
            <w:pPr>
              <w:keepNext w:val="0"/>
              <w:keepLines w:val="0"/>
              <w:widowControl/>
              <w:suppressLineNumbers w:val="0"/>
              <w:spacing w:before="0" w:beforeAutospacing="0" w:after="0" w:afterAutospacing="0" w:line="560" w:lineRule="exact"/>
              <w:ind w:left="0" w:right="0"/>
              <w:jc w:val="left"/>
              <w:rPr>
                <w:rFonts w:hint="default" w:ascii="仿宋" w:hAnsi="仿宋" w:eastAsia="仿宋" w:cs="宋体"/>
                <w:kern w:val="0"/>
                <w:sz w:val="28"/>
                <w:szCs w:val="28"/>
              </w:rPr>
            </w:pPr>
            <w:r>
              <w:rPr>
                <w:rFonts w:hint="default" w:ascii="仿宋" w:hAnsi="仿宋" w:eastAsia="仿宋" w:cs="宋体"/>
                <w:kern w:val="0"/>
                <w:sz w:val="28"/>
                <w:szCs w:val="28"/>
              </w:rPr>
              <w:t>3.</w:t>
            </w:r>
            <w:r>
              <w:rPr>
                <w:rFonts w:hint="eastAsia" w:ascii="仿宋" w:hAnsi="仿宋" w:eastAsia="仿宋" w:cs="宋体"/>
                <w:kern w:val="0"/>
                <w:sz w:val="28"/>
                <w:szCs w:val="28"/>
              </w:rPr>
              <w:t>单价在</w:t>
            </w:r>
            <w:r>
              <w:rPr>
                <w:rFonts w:hint="default" w:ascii="仿宋" w:hAnsi="仿宋" w:eastAsia="仿宋" w:cs="宋体"/>
                <w:kern w:val="0"/>
                <w:sz w:val="28"/>
                <w:szCs w:val="28"/>
              </w:rPr>
              <w:t>50</w:t>
            </w:r>
            <w:r>
              <w:rPr>
                <w:rFonts w:hint="eastAsia" w:ascii="仿宋" w:hAnsi="仿宋" w:eastAsia="仿宋" w:cs="宋体"/>
                <w:kern w:val="0"/>
                <w:sz w:val="28"/>
                <w:szCs w:val="28"/>
              </w:rPr>
              <w:t>万元以上的设备（台、套）</w:t>
            </w:r>
          </w:p>
        </w:tc>
        <w:tc>
          <w:tcPr>
            <w:tcW w:w="2320" w:type="dxa"/>
            <w:tcBorders>
              <w:top w:val="nil"/>
              <w:left w:val="nil"/>
              <w:bottom w:val="single" w:color="auto" w:sz="4" w:space="0"/>
              <w:right w:val="single" w:color="auto" w:sz="4" w:space="0"/>
            </w:tcBorders>
            <w:noWrap/>
            <w:vAlign w:val="center"/>
          </w:tcPr>
          <w:p w14:paraId="3B1891F7">
            <w:pPr>
              <w:keepNext w:val="0"/>
              <w:keepLines w:val="0"/>
              <w:widowControl/>
              <w:suppressLineNumbers w:val="0"/>
              <w:spacing w:before="0" w:beforeAutospacing="0" w:after="0" w:afterAutospacing="0" w:line="560" w:lineRule="exact"/>
              <w:ind w:left="0" w:right="0"/>
              <w:jc w:val="right"/>
              <w:rPr>
                <w:rFonts w:hint="default" w:ascii="仿宋" w:hAnsi="仿宋" w:eastAsia="仿宋" w:cs="宋体"/>
                <w:kern w:val="0"/>
                <w:sz w:val="28"/>
                <w:szCs w:val="28"/>
              </w:rPr>
            </w:pPr>
            <w:r>
              <w:rPr>
                <w:rFonts w:hint="eastAsia" w:ascii="仿宋" w:hAnsi="仿宋" w:eastAsia="仿宋" w:cs="宋体"/>
                <w:kern w:val="0"/>
                <w:sz w:val="28"/>
                <w:szCs w:val="28"/>
              </w:rPr>
              <w:t>1</w:t>
            </w:r>
          </w:p>
        </w:tc>
        <w:tc>
          <w:tcPr>
            <w:tcW w:w="3520" w:type="dxa"/>
            <w:tcBorders>
              <w:top w:val="nil"/>
              <w:left w:val="nil"/>
              <w:bottom w:val="single" w:color="auto" w:sz="4" w:space="0"/>
              <w:right w:val="single" w:color="auto" w:sz="4" w:space="0"/>
            </w:tcBorders>
            <w:noWrap/>
            <w:vAlign w:val="center"/>
          </w:tcPr>
          <w:p w14:paraId="12BF3A5F">
            <w:pPr>
              <w:keepNext w:val="0"/>
              <w:keepLines w:val="0"/>
              <w:widowControl/>
              <w:suppressLineNumbers w:val="0"/>
              <w:spacing w:before="0" w:beforeAutospacing="0" w:after="0" w:afterAutospacing="0" w:line="560" w:lineRule="exact"/>
              <w:ind w:left="0" w:right="0"/>
              <w:jc w:val="right"/>
              <w:rPr>
                <w:rFonts w:hint="default" w:ascii="仿宋" w:hAnsi="仿宋" w:eastAsia="仿宋" w:cs="宋体"/>
                <w:kern w:val="0"/>
                <w:sz w:val="28"/>
                <w:szCs w:val="28"/>
              </w:rPr>
            </w:pPr>
            <w:r>
              <w:rPr>
                <w:rFonts w:hint="eastAsia" w:ascii="仿宋" w:hAnsi="仿宋" w:eastAsia="仿宋" w:cs="宋体"/>
                <w:kern w:val="0"/>
                <w:sz w:val="28"/>
                <w:szCs w:val="28"/>
              </w:rPr>
              <w:t>399.42</w:t>
            </w:r>
          </w:p>
        </w:tc>
      </w:tr>
      <w:tr w14:paraId="3A67D93D">
        <w:tblPrEx>
          <w:tblCellMar>
            <w:top w:w="0" w:type="dxa"/>
            <w:left w:w="108" w:type="dxa"/>
            <w:bottom w:w="0" w:type="dxa"/>
            <w:right w:w="108" w:type="dxa"/>
          </w:tblCellMar>
        </w:tblPrEx>
        <w:trPr>
          <w:trHeight w:val="702" w:hRule="atLeast"/>
          <w:jc w:val="center"/>
        </w:trPr>
        <w:tc>
          <w:tcPr>
            <w:tcW w:w="2920" w:type="dxa"/>
            <w:tcBorders>
              <w:top w:val="nil"/>
              <w:left w:val="single" w:color="auto" w:sz="4" w:space="0"/>
              <w:bottom w:val="single" w:color="auto" w:sz="4" w:space="0"/>
              <w:right w:val="single" w:color="auto" w:sz="4" w:space="0"/>
            </w:tcBorders>
            <w:vAlign w:val="center"/>
          </w:tcPr>
          <w:p w14:paraId="54275BCA">
            <w:pPr>
              <w:keepNext w:val="0"/>
              <w:keepLines w:val="0"/>
              <w:widowControl/>
              <w:suppressLineNumbers w:val="0"/>
              <w:spacing w:before="0" w:beforeAutospacing="0" w:after="0" w:afterAutospacing="0" w:line="560" w:lineRule="exact"/>
              <w:ind w:left="0" w:right="0"/>
              <w:jc w:val="left"/>
              <w:rPr>
                <w:rFonts w:hint="default" w:ascii="仿宋" w:hAnsi="仿宋" w:eastAsia="仿宋" w:cs="宋体"/>
                <w:kern w:val="0"/>
                <w:sz w:val="28"/>
                <w:szCs w:val="28"/>
              </w:rPr>
            </w:pPr>
            <w:r>
              <w:rPr>
                <w:rFonts w:hint="default" w:ascii="仿宋" w:hAnsi="仿宋" w:eastAsia="仿宋" w:cs="宋体"/>
                <w:kern w:val="0"/>
                <w:sz w:val="28"/>
                <w:szCs w:val="28"/>
              </w:rPr>
              <w:t>4.</w:t>
            </w:r>
            <w:r>
              <w:rPr>
                <w:rFonts w:hint="eastAsia" w:ascii="仿宋" w:hAnsi="仿宋" w:eastAsia="仿宋" w:cs="宋体"/>
                <w:kern w:val="0"/>
                <w:sz w:val="28"/>
                <w:szCs w:val="28"/>
              </w:rPr>
              <w:t>其他固定资产</w:t>
            </w:r>
          </w:p>
        </w:tc>
        <w:tc>
          <w:tcPr>
            <w:tcW w:w="2320" w:type="dxa"/>
            <w:tcBorders>
              <w:top w:val="nil"/>
              <w:left w:val="nil"/>
              <w:bottom w:val="single" w:color="auto" w:sz="4" w:space="0"/>
              <w:right w:val="single" w:color="auto" w:sz="4" w:space="0"/>
            </w:tcBorders>
            <w:noWrap/>
            <w:vAlign w:val="center"/>
          </w:tcPr>
          <w:p w14:paraId="3429C0D0">
            <w:pPr>
              <w:keepNext w:val="0"/>
              <w:keepLines w:val="0"/>
              <w:widowControl/>
              <w:suppressLineNumbers w:val="0"/>
              <w:spacing w:before="0" w:beforeAutospacing="0" w:after="0" w:afterAutospacing="0" w:line="560" w:lineRule="exact"/>
              <w:ind w:left="0" w:right="0"/>
              <w:jc w:val="right"/>
              <w:rPr>
                <w:rFonts w:hint="default" w:ascii="仿宋" w:hAnsi="仿宋" w:eastAsia="仿宋" w:cs="宋体"/>
                <w:kern w:val="0"/>
                <w:sz w:val="28"/>
                <w:szCs w:val="28"/>
              </w:rPr>
            </w:pPr>
            <w:r>
              <w:rPr>
                <w:rFonts w:hint="default" w:ascii="仿宋" w:hAnsi="仿宋" w:eastAsia="仿宋" w:cs="宋体"/>
                <w:kern w:val="0"/>
                <w:sz w:val="28"/>
                <w:szCs w:val="28"/>
              </w:rPr>
              <w:t>0</w:t>
            </w:r>
          </w:p>
        </w:tc>
        <w:tc>
          <w:tcPr>
            <w:tcW w:w="3520" w:type="dxa"/>
            <w:tcBorders>
              <w:top w:val="nil"/>
              <w:left w:val="nil"/>
              <w:bottom w:val="single" w:color="auto" w:sz="4" w:space="0"/>
              <w:right w:val="single" w:color="auto" w:sz="4" w:space="0"/>
            </w:tcBorders>
            <w:noWrap/>
            <w:vAlign w:val="center"/>
          </w:tcPr>
          <w:p w14:paraId="2AA5DB3F">
            <w:pPr>
              <w:keepNext w:val="0"/>
              <w:keepLines w:val="0"/>
              <w:widowControl/>
              <w:suppressLineNumbers w:val="0"/>
              <w:spacing w:before="0" w:beforeAutospacing="0" w:after="0" w:afterAutospacing="0" w:line="560" w:lineRule="exact"/>
              <w:ind w:left="0" w:right="0"/>
              <w:jc w:val="right"/>
              <w:rPr>
                <w:rFonts w:hint="default" w:ascii="仿宋" w:hAnsi="仿宋" w:eastAsia="仿宋" w:cs="宋体"/>
                <w:kern w:val="0"/>
                <w:sz w:val="28"/>
                <w:szCs w:val="28"/>
                <w:lang w:val="en-US" w:eastAsia="zh-CN"/>
              </w:rPr>
            </w:pPr>
            <w:r>
              <w:rPr>
                <w:rFonts w:hint="eastAsia" w:ascii="仿宋" w:hAnsi="仿宋" w:eastAsia="仿宋" w:cs="宋体"/>
                <w:kern w:val="0"/>
                <w:sz w:val="28"/>
                <w:szCs w:val="28"/>
                <w:lang w:val="en-US" w:eastAsia="zh-CN"/>
              </w:rPr>
              <w:t>5858.64</w:t>
            </w:r>
          </w:p>
        </w:tc>
      </w:tr>
    </w:tbl>
    <w:p w14:paraId="4EFA6826">
      <w:pPr>
        <w:spacing w:line="560" w:lineRule="exact"/>
        <w:rPr>
          <w:rFonts w:ascii="黑体" w:hAnsi="黑体" w:eastAsia="黑体" w:cs="宋体"/>
          <w:kern w:val="0"/>
          <w:sz w:val="32"/>
          <w:szCs w:val="32"/>
        </w:rPr>
      </w:pPr>
    </w:p>
    <w:p w14:paraId="2D386C08">
      <w:pPr>
        <w:spacing w:line="560" w:lineRule="exact"/>
        <w:ind w:firstLine="812" w:firstLineChars="250"/>
        <w:rPr>
          <w:rFonts w:ascii="黑体" w:hAnsi="黑体" w:eastAsia="黑体" w:cs="宋体"/>
          <w:kern w:val="0"/>
          <w:sz w:val="32"/>
          <w:szCs w:val="32"/>
        </w:rPr>
      </w:pPr>
      <w:r>
        <w:rPr>
          <w:rFonts w:hint="eastAsia" w:ascii="黑体" w:hAnsi="黑体" w:eastAsia="黑体" w:cs="宋体"/>
          <w:kern w:val="0"/>
          <w:sz w:val="32"/>
          <w:szCs w:val="32"/>
        </w:rPr>
        <w:t>八、名词解释</w:t>
      </w:r>
    </w:p>
    <w:p w14:paraId="74F50D5A">
      <w:pPr>
        <w:spacing w:line="560" w:lineRule="exact"/>
        <w:ind w:firstLine="650" w:firstLineChars="200"/>
        <w:jc w:val="left"/>
        <w:rPr>
          <w:rFonts w:ascii="仿宋" w:hAnsi="仿宋" w:eastAsia="仿宋" w:cs="FZFSK--GBK1-0"/>
          <w:b/>
          <w:bCs/>
          <w:kern w:val="0"/>
          <w:sz w:val="32"/>
          <w:szCs w:val="32"/>
        </w:rPr>
      </w:pPr>
      <w:r>
        <w:rPr>
          <w:rFonts w:hint="eastAsia" w:ascii="仿宋" w:hAnsi="仿宋" w:eastAsia="仿宋"/>
          <w:b/>
          <w:sz w:val="32"/>
          <w:szCs w:val="32"/>
        </w:rPr>
        <w:t>（一）财政拨款收入：</w:t>
      </w:r>
      <w:r>
        <w:rPr>
          <w:rFonts w:hint="eastAsia" w:ascii="仿宋" w:hAnsi="仿宋" w:eastAsia="仿宋"/>
          <w:sz w:val="32"/>
          <w:szCs w:val="32"/>
        </w:rPr>
        <w:t>指本级财政当年拨付的资金。</w:t>
      </w:r>
    </w:p>
    <w:p w14:paraId="124B8E81">
      <w:pPr>
        <w:spacing w:line="560" w:lineRule="exact"/>
        <w:ind w:firstLine="812" w:firstLineChars="250"/>
        <w:jc w:val="left"/>
        <w:rPr>
          <w:rFonts w:ascii="仿宋" w:hAnsi="仿宋" w:eastAsia="仿宋"/>
          <w:sz w:val="32"/>
          <w:szCs w:val="32"/>
        </w:rPr>
      </w:pPr>
      <w:r>
        <w:rPr>
          <w:rFonts w:ascii="仿宋" w:hAnsi="仿宋" w:eastAsia="仿宋"/>
          <w:b/>
          <w:sz w:val="32"/>
          <w:szCs w:val="32"/>
        </w:rPr>
        <w:t>(</w:t>
      </w:r>
      <w:r>
        <w:rPr>
          <w:rFonts w:hint="eastAsia" w:ascii="仿宋" w:hAnsi="仿宋" w:eastAsia="仿宋"/>
          <w:b/>
          <w:sz w:val="32"/>
          <w:szCs w:val="32"/>
        </w:rPr>
        <w:t>二</w:t>
      </w:r>
      <w:r>
        <w:rPr>
          <w:rFonts w:ascii="仿宋" w:hAnsi="仿宋" w:eastAsia="仿宋"/>
          <w:b/>
          <w:sz w:val="32"/>
          <w:szCs w:val="32"/>
        </w:rPr>
        <w:t>)</w:t>
      </w:r>
      <w:r>
        <w:rPr>
          <w:rFonts w:hint="eastAsia" w:ascii="仿宋" w:hAnsi="仿宋" w:eastAsia="仿宋"/>
          <w:b/>
          <w:sz w:val="32"/>
          <w:szCs w:val="32"/>
        </w:rPr>
        <w:t>年初结转和结余：</w:t>
      </w:r>
      <w:r>
        <w:rPr>
          <w:rFonts w:hint="eastAsia" w:ascii="仿宋" w:hAnsi="仿宋" w:eastAsia="仿宋"/>
          <w:sz w:val="32"/>
          <w:szCs w:val="32"/>
        </w:rPr>
        <w:t>指以前年度尚未完成、结转到本年按有关规定继续使用的资金。</w:t>
      </w:r>
    </w:p>
    <w:p w14:paraId="696B4F71">
      <w:pPr>
        <w:spacing w:line="560" w:lineRule="exact"/>
        <w:ind w:firstLine="812" w:firstLineChars="250"/>
        <w:jc w:val="left"/>
        <w:rPr>
          <w:rFonts w:ascii="仿宋" w:hAnsi="仿宋" w:eastAsia="仿宋"/>
          <w:sz w:val="32"/>
          <w:szCs w:val="32"/>
        </w:rPr>
      </w:pPr>
      <w:r>
        <w:rPr>
          <w:rFonts w:ascii="仿宋" w:hAnsi="仿宋" w:eastAsia="仿宋"/>
          <w:b/>
          <w:sz w:val="32"/>
          <w:szCs w:val="32"/>
        </w:rPr>
        <w:t>(</w:t>
      </w:r>
      <w:r>
        <w:rPr>
          <w:rFonts w:hint="eastAsia" w:ascii="仿宋" w:hAnsi="仿宋" w:eastAsia="仿宋"/>
          <w:b/>
          <w:sz w:val="32"/>
          <w:szCs w:val="32"/>
        </w:rPr>
        <w:t>三</w:t>
      </w:r>
      <w:r>
        <w:rPr>
          <w:rFonts w:ascii="仿宋" w:hAnsi="仿宋" w:eastAsia="仿宋"/>
          <w:b/>
          <w:sz w:val="32"/>
          <w:szCs w:val="32"/>
        </w:rPr>
        <w:t>)</w:t>
      </w:r>
      <w:r>
        <w:rPr>
          <w:rFonts w:hint="eastAsia" w:ascii="仿宋" w:hAnsi="仿宋" w:eastAsia="仿宋"/>
          <w:b/>
          <w:sz w:val="32"/>
          <w:szCs w:val="32"/>
        </w:rPr>
        <w:t>基本支出：</w:t>
      </w:r>
      <w:r>
        <w:rPr>
          <w:rFonts w:hint="eastAsia" w:ascii="仿宋" w:hAnsi="仿宋" w:eastAsia="仿宋"/>
          <w:sz w:val="32"/>
          <w:szCs w:val="32"/>
        </w:rPr>
        <w:t>指为保障机构正常运转、完成日常工作任务而发生的人员支出和公用支出。</w:t>
      </w:r>
    </w:p>
    <w:p w14:paraId="78C2645E">
      <w:pPr>
        <w:spacing w:line="560" w:lineRule="exact"/>
        <w:ind w:firstLine="812" w:firstLineChars="250"/>
        <w:jc w:val="left"/>
        <w:rPr>
          <w:rFonts w:ascii="仿宋" w:hAnsi="仿宋" w:eastAsia="仿宋"/>
          <w:sz w:val="32"/>
          <w:szCs w:val="32"/>
        </w:rPr>
      </w:pPr>
      <w:r>
        <w:rPr>
          <w:rFonts w:ascii="仿宋" w:hAnsi="仿宋" w:eastAsia="仿宋"/>
          <w:b/>
          <w:sz w:val="32"/>
          <w:szCs w:val="32"/>
        </w:rPr>
        <w:t>(</w:t>
      </w:r>
      <w:r>
        <w:rPr>
          <w:rFonts w:hint="eastAsia" w:ascii="仿宋" w:hAnsi="仿宋" w:eastAsia="仿宋"/>
          <w:b/>
          <w:sz w:val="32"/>
          <w:szCs w:val="32"/>
        </w:rPr>
        <w:t>四</w:t>
      </w:r>
      <w:r>
        <w:rPr>
          <w:rFonts w:ascii="仿宋" w:hAnsi="仿宋" w:eastAsia="仿宋"/>
          <w:b/>
          <w:sz w:val="32"/>
          <w:szCs w:val="32"/>
        </w:rPr>
        <w:t>)</w:t>
      </w:r>
      <w:r>
        <w:rPr>
          <w:rFonts w:hint="eastAsia" w:ascii="仿宋" w:hAnsi="仿宋" w:eastAsia="仿宋"/>
          <w:b/>
          <w:sz w:val="32"/>
          <w:szCs w:val="32"/>
        </w:rPr>
        <w:t>项目支出：</w:t>
      </w:r>
      <w:r>
        <w:rPr>
          <w:rFonts w:hint="eastAsia" w:ascii="仿宋" w:hAnsi="仿宋" w:eastAsia="仿宋"/>
          <w:sz w:val="32"/>
          <w:szCs w:val="32"/>
        </w:rPr>
        <w:t>指在基本支出之外为完成特定行政任务和事业发展目标所发生的支出。</w:t>
      </w:r>
    </w:p>
    <w:p w14:paraId="6ED0D328">
      <w:pPr>
        <w:spacing w:line="560" w:lineRule="exact"/>
        <w:ind w:firstLine="812" w:firstLineChars="250"/>
        <w:jc w:val="left"/>
        <w:rPr>
          <w:rFonts w:ascii="仿宋" w:hAnsi="仿宋" w:eastAsia="仿宋" w:cs="宋体"/>
          <w:kern w:val="0"/>
          <w:sz w:val="32"/>
          <w:szCs w:val="32"/>
        </w:rPr>
      </w:pPr>
      <w:r>
        <w:rPr>
          <w:rFonts w:ascii="仿宋" w:hAnsi="仿宋" w:eastAsia="仿宋"/>
          <w:b/>
          <w:sz w:val="32"/>
          <w:szCs w:val="32"/>
        </w:rPr>
        <w:t>(</w:t>
      </w:r>
      <w:r>
        <w:rPr>
          <w:rFonts w:hint="eastAsia" w:ascii="仿宋" w:hAnsi="仿宋" w:eastAsia="仿宋"/>
          <w:b/>
          <w:sz w:val="32"/>
          <w:szCs w:val="32"/>
        </w:rPr>
        <w:t>五</w:t>
      </w:r>
      <w:r>
        <w:rPr>
          <w:rFonts w:ascii="仿宋" w:hAnsi="仿宋" w:eastAsia="仿宋"/>
          <w:b/>
          <w:sz w:val="32"/>
          <w:szCs w:val="32"/>
        </w:rPr>
        <w:t>)</w:t>
      </w:r>
      <w:r>
        <w:rPr>
          <w:rFonts w:hint="eastAsia" w:ascii="仿宋" w:hAnsi="仿宋" w:eastAsia="仿宋"/>
          <w:b/>
          <w:sz w:val="32"/>
          <w:szCs w:val="32"/>
        </w:rPr>
        <w:t>“三公”经费：</w:t>
      </w:r>
      <w:r>
        <w:rPr>
          <w:rFonts w:hint="eastAsia" w:ascii="仿宋" w:hAnsi="仿宋" w:eastAsia="仿宋"/>
          <w:sz w:val="32"/>
          <w:szCs w:val="32"/>
        </w:rPr>
        <w:t>纳入本级财政预决算管理的“三公”经费，是指本级部门用财政拨款安排的因公出国</w:t>
      </w:r>
      <w:r>
        <w:rPr>
          <w:rFonts w:ascii="仿宋" w:hAnsi="仿宋" w:eastAsia="仿宋"/>
          <w:sz w:val="32"/>
          <w:szCs w:val="32"/>
        </w:rPr>
        <w:t>(</w:t>
      </w:r>
      <w:r>
        <w:rPr>
          <w:rFonts w:hint="eastAsia" w:ascii="仿宋" w:hAnsi="仿宋" w:eastAsia="仿宋"/>
          <w:sz w:val="32"/>
          <w:szCs w:val="32"/>
        </w:rPr>
        <w:t>境</w:t>
      </w:r>
      <w:r>
        <w:rPr>
          <w:rFonts w:ascii="仿宋" w:hAnsi="仿宋" w:eastAsia="仿宋"/>
          <w:sz w:val="32"/>
          <w:szCs w:val="32"/>
        </w:rPr>
        <w:t>)</w:t>
      </w:r>
      <w:r>
        <w:rPr>
          <w:rFonts w:hint="eastAsia" w:ascii="仿宋" w:hAnsi="仿宋" w:eastAsia="仿宋"/>
          <w:sz w:val="32"/>
          <w:szCs w:val="32"/>
        </w:rPr>
        <w:t>费、公务用车购置及运行费和公务接待费。其中，因公出国</w:t>
      </w:r>
      <w:r>
        <w:rPr>
          <w:rFonts w:ascii="仿宋" w:hAnsi="仿宋" w:eastAsia="仿宋"/>
          <w:sz w:val="32"/>
          <w:szCs w:val="32"/>
        </w:rPr>
        <w:t>(</w:t>
      </w:r>
      <w:r>
        <w:rPr>
          <w:rFonts w:hint="eastAsia" w:ascii="仿宋" w:hAnsi="仿宋" w:eastAsia="仿宋"/>
          <w:sz w:val="32"/>
          <w:szCs w:val="32"/>
        </w:rPr>
        <w:t>境</w:t>
      </w:r>
      <w:r>
        <w:rPr>
          <w:rFonts w:ascii="仿宋" w:hAnsi="仿宋" w:eastAsia="仿宋"/>
          <w:sz w:val="32"/>
          <w:szCs w:val="32"/>
        </w:rPr>
        <w:t>)</w:t>
      </w:r>
      <w:r>
        <w:rPr>
          <w:rFonts w:hint="eastAsia" w:ascii="仿宋" w:hAnsi="仿宋" w:eastAsia="仿宋"/>
          <w:sz w:val="32"/>
          <w:szCs w:val="32"/>
        </w:rPr>
        <w:t>费反映单位公务出国</w:t>
      </w:r>
      <w:r>
        <w:rPr>
          <w:rFonts w:ascii="仿宋" w:hAnsi="仿宋" w:eastAsia="仿宋"/>
          <w:sz w:val="32"/>
          <w:szCs w:val="32"/>
        </w:rPr>
        <w:t>(</w:t>
      </w:r>
      <w:r>
        <w:rPr>
          <w:rFonts w:hint="eastAsia" w:ascii="仿宋" w:hAnsi="仿宋" w:eastAsia="仿宋"/>
          <w:sz w:val="32"/>
          <w:szCs w:val="32"/>
        </w:rPr>
        <w:t>境</w:t>
      </w:r>
      <w:r>
        <w:rPr>
          <w:rFonts w:ascii="仿宋" w:hAnsi="仿宋" w:eastAsia="仿宋"/>
          <w:sz w:val="32"/>
          <w:szCs w:val="32"/>
        </w:rPr>
        <w:t>)</w:t>
      </w:r>
      <w:r>
        <w:rPr>
          <w:rFonts w:hint="eastAsia" w:ascii="仿宋" w:hAnsi="仿宋" w:eastAsia="仿宋"/>
          <w:sz w:val="32"/>
          <w:szCs w:val="32"/>
        </w:rPr>
        <w:t>的国际旅费、国外城市间交通费、住宿费、伙食费、培训费、公杂费等支出</w:t>
      </w:r>
      <w:r>
        <w:rPr>
          <w:rFonts w:ascii="仿宋" w:hAnsi="仿宋" w:eastAsia="仿宋"/>
          <w:sz w:val="32"/>
          <w:szCs w:val="32"/>
        </w:rPr>
        <w:t>;</w:t>
      </w:r>
      <w:r>
        <w:rPr>
          <w:rFonts w:hint="eastAsia" w:ascii="仿宋" w:hAnsi="仿宋" w:eastAsia="仿宋"/>
          <w:sz w:val="32"/>
          <w:szCs w:val="32"/>
        </w:rPr>
        <w:t>公务用车购置及运行费反映单位公务用车车辆购置支出</w:t>
      </w:r>
      <w:r>
        <w:rPr>
          <w:rFonts w:ascii="仿宋" w:hAnsi="仿宋" w:eastAsia="仿宋"/>
          <w:sz w:val="32"/>
          <w:szCs w:val="32"/>
        </w:rPr>
        <w:t>(</w:t>
      </w:r>
      <w:r>
        <w:rPr>
          <w:rFonts w:hint="eastAsia" w:ascii="仿宋" w:hAnsi="仿宋" w:eastAsia="仿宋"/>
          <w:sz w:val="32"/>
          <w:szCs w:val="32"/>
        </w:rPr>
        <w:t>含车辆购置税</w:t>
      </w:r>
      <w:r>
        <w:rPr>
          <w:rFonts w:ascii="仿宋" w:hAnsi="仿宋" w:eastAsia="仿宋"/>
          <w:sz w:val="32"/>
          <w:szCs w:val="32"/>
        </w:rPr>
        <w:t>)</w:t>
      </w:r>
      <w:r>
        <w:rPr>
          <w:rFonts w:hint="eastAsia" w:ascii="仿宋" w:hAnsi="仿宋" w:eastAsia="仿宋"/>
          <w:sz w:val="32"/>
          <w:szCs w:val="32"/>
        </w:rPr>
        <w:t>及租用费、燃料费、维修费、过路过桥费、保险费、安全奖励费用等支出</w:t>
      </w:r>
      <w:r>
        <w:rPr>
          <w:rFonts w:ascii="仿宋" w:hAnsi="仿宋" w:eastAsia="仿宋"/>
          <w:sz w:val="32"/>
          <w:szCs w:val="32"/>
        </w:rPr>
        <w:t>;</w:t>
      </w:r>
      <w:r>
        <w:rPr>
          <w:rFonts w:hint="eastAsia" w:ascii="仿宋" w:hAnsi="仿宋" w:eastAsia="仿宋"/>
          <w:sz w:val="32"/>
          <w:szCs w:val="32"/>
        </w:rPr>
        <w:t>公务接待费反映单位按规定开支的各类公务接待</w:t>
      </w:r>
      <w:r>
        <w:rPr>
          <w:rFonts w:ascii="仿宋" w:hAnsi="仿宋" w:eastAsia="仿宋"/>
          <w:sz w:val="32"/>
          <w:szCs w:val="32"/>
        </w:rPr>
        <w:t>(</w:t>
      </w:r>
      <w:r>
        <w:rPr>
          <w:rFonts w:hint="eastAsia" w:ascii="仿宋" w:hAnsi="仿宋" w:eastAsia="仿宋"/>
          <w:sz w:val="32"/>
          <w:szCs w:val="32"/>
        </w:rPr>
        <w:t>含外宾接待</w:t>
      </w:r>
      <w:r>
        <w:rPr>
          <w:rFonts w:ascii="仿宋" w:hAnsi="仿宋" w:eastAsia="仿宋"/>
          <w:sz w:val="32"/>
          <w:szCs w:val="32"/>
        </w:rPr>
        <w:t>)</w:t>
      </w:r>
      <w:r>
        <w:rPr>
          <w:rFonts w:hint="eastAsia" w:ascii="仿宋" w:hAnsi="仿宋" w:eastAsia="仿宋"/>
          <w:sz w:val="32"/>
          <w:szCs w:val="32"/>
        </w:rPr>
        <w:t>支出。</w:t>
      </w:r>
    </w:p>
    <w:p w14:paraId="6B585746">
      <w:pPr>
        <w:pStyle w:val="4"/>
        <w:spacing w:before="0" w:beforeAutospacing="0" w:after="0" w:afterAutospacing="0" w:line="560" w:lineRule="exact"/>
        <w:ind w:firstLine="802" w:firstLineChars="247"/>
        <w:rPr>
          <w:rFonts w:ascii="仿宋" w:hAnsi="仿宋" w:eastAsia="仿宋" w:cs="Times New Roman"/>
          <w:kern w:val="2"/>
          <w:sz w:val="32"/>
          <w:szCs w:val="32"/>
        </w:rPr>
      </w:pPr>
      <w:r>
        <w:rPr>
          <w:rFonts w:ascii="仿宋" w:hAnsi="仿宋" w:eastAsia="仿宋" w:cs="Times New Roman"/>
          <w:b/>
          <w:kern w:val="2"/>
          <w:sz w:val="32"/>
          <w:szCs w:val="32"/>
        </w:rPr>
        <w:t>(</w:t>
      </w:r>
      <w:r>
        <w:rPr>
          <w:rFonts w:hint="eastAsia" w:ascii="仿宋" w:hAnsi="仿宋" w:eastAsia="仿宋" w:cs="Times New Roman"/>
          <w:b/>
          <w:kern w:val="2"/>
          <w:sz w:val="32"/>
          <w:szCs w:val="32"/>
        </w:rPr>
        <w:t>六</w:t>
      </w:r>
      <w:r>
        <w:rPr>
          <w:rFonts w:ascii="仿宋" w:hAnsi="仿宋" w:eastAsia="仿宋" w:cs="Times New Roman"/>
          <w:b/>
          <w:kern w:val="2"/>
          <w:sz w:val="32"/>
          <w:szCs w:val="32"/>
        </w:rPr>
        <w:t>)</w:t>
      </w:r>
      <w:r>
        <w:rPr>
          <w:rFonts w:hint="eastAsia" w:ascii="仿宋" w:hAnsi="仿宋" w:eastAsia="仿宋" w:cs="Times New Roman"/>
          <w:b/>
          <w:kern w:val="2"/>
          <w:sz w:val="32"/>
          <w:szCs w:val="32"/>
        </w:rPr>
        <w:t>机关运行经费：</w:t>
      </w:r>
      <w:r>
        <w:rPr>
          <w:rFonts w:hint="eastAsia" w:ascii="仿宋" w:hAnsi="仿宋" w:eastAsia="仿宋" w:cs="Times New Roman"/>
          <w:kern w:val="2"/>
          <w:sz w:val="32"/>
          <w:szCs w:val="32"/>
        </w:rPr>
        <w:t>为保障行政单位</w:t>
      </w:r>
      <w:r>
        <w:rPr>
          <w:rFonts w:ascii="仿宋" w:hAnsi="仿宋" w:eastAsia="仿宋" w:cs="Times New Roman"/>
          <w:kern w:val="2"/>
          <w:sz w:val="32"/>
          <w:szCs w:val="32"/>
        </w:rPr>
        <w:t>(</w:t>
      </w:r>
      <w:r>
        <w:rPr>
          <w:rFonts w:hint="eastAsia" w:ascii="仿宋" w:hAnsi="仿宋" w:eastAsia="仿宋" w:cs="Times New Roman"/>
          <w:kern w:val="2"/>
          <w:sz w:val="32"/>
          <w:szCs w:val="32"/>
        </w:rPr>
        <w:t>含参照公务员法管理的事业单位</w:t>
      </w:r>
      <w:r>
        <w:rPr>
          <w:rFonts w:ascii="仿宋" w:hAnsi="仿宋" w:eastAsia="仿宋" w:cs="Times New Roman"/>
          <w:kern w:val="2"/>
          <w:sz w:val="32"/>
          <w:szCs w:val="32"/>
        </w:rPr>
        <w:t>)</w:t>
      </w:r>
      <w:r>
        <w:rPr>
          <w:rFonts w:hint="eastAsia" w:ascii="仿宋" w:hAnsi="仿宋" w:eastAsia="仿宋" w:cs="Times New Roman"/>
          <w:kern w:val="2"/>
          <w:sz w:val="32"/>
          <w:szCs w:val="32"/>
        </w:rPr>
        <w:t>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B3AD034">
      <w:pPr>
        <w:spacing w:line="560" w:lineRule="exact"/>
        <w:ind w:firstLine="650" w:firstLineChars="200"/>
        <w:rPr>
          <w:rFonts w:ascii="黑体" w:hAnsi="黑体" w:eastAsia="黑体" w:cs="宋体"/>
          <w:kern w:val="0"/>
          <w:sz w:val="32"/>
          <w:szCs w:val="32"/>
        </w:rPr>
      </w:pPr>
      <w:r>
        <w:rPr>
          <w:rFonts w:hint="eastAsia" w:ascii="黑体" w:hAnsi="黑体" w:eastAsia="黑体" w:cs="宋体"/>
          <w:kern w:val="0"/>
          <w:sz w:val="32"/>
          <w:szCs w:val="32"/>
        </w:rPr>
        <w:t>九、其他需要说明的事项</w:t>
      </w:r>
    </w:p>
    <w:p w14:paraId="41622501">
      <w:pPr>
        <w:widowControl/>
        <w:spacing w:line="560" w:lineRule="exact"/>
        <w:ind w:firstLine="640"/>
        <w:jc w:val="left"/>
        <w:rPr>
          <w:rFonts w:hint="eastAsia" w:ascii="仿宋" w:hAnsi="仿宋" w:eastAsia="仿宋"/>
          <w:sz w:val="32"/>
          <w:szCs w:val="32"/>
        </w:rPr>
      </w:pPr>
      <w:r>
        <w:rPr>
          <w:rFonts w:hint="eastAsia" w:ascii="仿宋" w:hAnsi="仿宋" w:eastAsia="仿宋"/>
          <w:sz w:val="32"/>
          <w:szCs w:val="32"/>
        </w:rPr>
        <w:t>无其他需要说明的事项。</w:t>
      </w:r>
    </w:p>
    <w:p w14:paraId="5F4E331A">
      <w:pPr>
        <w:widowControl/>
        <w:spacing w:line="560" w:lineRule="exact"/>
        <w:ind w:firstLine="640"/>
        <w:jc w:val="left"/>
        <w:rPr>
          <w:rFonts w:hint="eastAsia" w:ascii="仿宋" w:hAnsi="仿宋" w:eastAsia="仿宋"/>
          <w:sz w:val="32"/>
          <w:szCs w:val="32"/>
        </w:rPr>
      </w:pPr>
    </w:p>
    <w:p w14:paraId="3B15EBAB">
      <w:pPr>
        <w:widowControl/>
        <w:spacing w:line="560" w:lineRule="exact"/>
        <w:ind w:firstLine="640"/>
        <w:jc w:val="left"/>
        <w:rPr>
          <w:rFonts w:hint="eastAsia" w:ascii="仿宋" w:hAnsi="仿宋" w:eastAsia="仿宋"/>
          <w:sz w:val="32"/>
          <w:szCs w:val="32"/>
        </w:rPr>
      </w:pPr>
    </w:p>
    <w:p w14:paraId="0A4D5EE2">
      <w:pPr>
        <w:widowControl/>
        <w:spacing w:line="560" w:lineRule="exact"/>
        <w:ind w:firstLine="640"/>
        <w:jc w:val="left"/>
        <w:rPr>
          <w:rFonts w:hint="eastAsia" w:ascii="仿宋" w:hAnsi="仿宋" w:eastAsia="仿宋"/>
          <w:sz w:val="32"/>
          <w:szCs w:val="32"/>
        </w:rPr>
      </w:pPr>
    </w:p>
    <w:p w14:paraId="6776E203">
      <w:pPr>
        <w:widowControl/>
        <w:spacing w:line="560" w:lineRule="exact"/>
        <w:ind w:firstLine="640"/>
        <w:jc w:val="left"/>
        <w:rPr>
          <w:rFonts w:hint="eastAsia" w:ascii="仿宋" w:hAnsi="仿宋" w:eastAsia="仿宋"/>
          <w:sz w:val="32"/>
          <w:szCs w:val="32"/>
        </w:rPr>
      </w:pPr>
    </w:p>
    <w:p w14:paraId="03F69348">
      <w:pPr>
        <w:widowControl/>
        <w:spacing w:line="560" w:lineRule="exact"/>
        <w:ind w:firstLine="640"/>
        <w:jc w:val="left"/>
        <w:rPr>
          <w:rFonts w:hint="eastAsia" w:ascii="仿宋" w:hAnsi="仿宋" w:eastAsia="仿宋"/>
          <w:sz w:val="32"/>
          <w:szCs w:val="32"/>
        </w:rPr>
      </w:pPr>
    </w:p>
    <w:p w14:paraId="225F4409">
      <w:pPr>
        <w:widowControl/>
        <w:spacing w:line="560" w:lineRule="exact"/>
        <w:ind w:firstLine="640"/>
        <w:jc w:val="left"/>
        <w:rPr>
          <w:rFonts w:hint="eastAsia" w:ascii="仿宋" w:hAnsi="仿宋" w:eastAsia="仿宋"/>
          <w:sz w:val="32"/>
          <w:szCs w:val="32"/>
        </w:rPr>
      </w:pPr>
    </w:p>
    <w:p w14:paraId="62807997">
      <w:pPr>
        <w:widowControl/>
        <w:spacing w:line="560" w:lineRule="exact"/>
        <w:jc w:val="left"/>
        <w:rPr>
          <w:rFonts w:hint="eastAsia" w:ascii="仿宋" w:hAnsi="仿宋" w:eastAsia="仿宋"/>
          <w:sz w:val="32"/>
          <w:szCs w:val="32"/>
        </w:rPr>
      </w:pPr>
    </w:p>
    <w:sectPr>
      <w:pgSz w:w="16838" w:h="11906" w:orient="landscape"/>
      <w:pgMar w:top="1757" w:right="1440" w:bottom="1757" w:left="1440" w:header="851" w:footer="992" w:gutter="0"/>
      <w:cols w:space="0" w:num="1"/>
      <w:rtlGutter w:val="0"/>
      <w:docGrid w:type="linesAndChars" w:linePitch="322" w:charSpace="10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书宋_GBK">
    <w:altName w:val="微软雅黑"/>
    <w:panose1 w:val="00000000000000000000"/>
    <w:charset w:val="00"/>
    <w:family w:val="auto"/>
    <w:pitch w:val="default"/>
    <w:sig w:usb0="00000000" w:usb1="00000000" w:usb2="00000000" w:usb3="00000000" w:csb0="00000000" w:csb1="00000000"/>
  </w:font>
  <w:font w:name="方正小标宋_GBK">
    <w:altName w:val="微软雅黑"/>
    <w:panose1 w:val="00000000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楷体">
    <w:altName w:val="楷体_GB2312"/>
    <w:panose1 w:val="02010600040101010101"/>
    <w:charset w:val="86"/>
    <w:family w:val="auto"/>
    <w:pitch w:val="default"/>
    <w:sig w:usb0="00000000" w:usb1="00000000" w:usb2="00000000" w:usb3="00000000" w:csb0="0004009F" w:csb1="DFD70000"/>
  </w:font>
  <w:font w:name="方正楷体_GBK">
    <w:altName w:val="微软雅黑"/>
    <w:panose1 w:val="00000000000000000000"/>
    <w:charset w:val="86"/>
    <w:family w:val="auto"/>
    <w:pitch w:val="default"/>
    <w:sig w:usb0="00000000" w:usb1="00000000" w:usb2="00000010" w:usb3="00000000" w:csb0="00040000" w:csb1="00000000"/>
  </w:font>
  <w:font w:name="KSOF8080F95D">
    <w:panose1 w:val="020B0503020204020204"/>
    <w:charset w:val="86"/>
    <w:family w:val="auto"/>
    <w:pitch w:val="default"/>
    <w:sig w:usb0="00000001" w:usb1="00000000" w:usb2="00000000" w:usb3="00000000" w:csb0="00040001" w:csb1="00000000"/>
  </w:font>
  <w:font w:name="FZFSK--GBK1-0">
    <w:altName w:val="黑体"/>
    <w:panose1 w:val="00000000000000000000"/>
    <w:charset w:val="86"/>
    <w:family w:val="auto"/>
    <w:pitch w:val="default"/>
    <w:sig w:usb0="00000000" w:usb1="00000000" w:usb2="00000010" w:usb3="00000000" w:csb0="00040000" w:csb1="00000000"/>
  </w:font>
  <w:font w:name="楷体_GB2312">
    <w:panose1 w:val="02010609030101010101"/>
    <w:charset w:val="86"/>
    <w:family w:val="auto"/>
    <w:pitch w:val="default"/>
    <w:sig w:usb0="00000001" w:usb1="080E0000" w:usb2="00000000" w:usb3="00000000" w:csb0="00040000" w:csb1="00000000"/>
  </w:font>
  <w:font w:name="KSOFD8A28030">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BBABA">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889FF">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DF3F0"/>
    <w:multiLevelType w:val="singleLevel"/>
    <w:tmpl w:val="83CDF3F0"/>
    <w:lvl w:ilvl="0" w:tentative="0">
      <w:start w:val="2"/>
      <w:numFmt w:val="chineseCounting"/>
      <w:suff w:val="space"/>
      <w:lvlText w:val="第%1部分"/>
      <w:lvlJc w:val="left"/>
      <w:rPr>
        <w:rFonts w:hint="eastAsia"/>
      </w:rPr>
    </w:lvl>
  </w:abstractNum>
  <w:abstractNum w:abstractNumId="1">
    <w:nsid w:val="52DB58BE"/>
    <w:multiLevelType w:val="multilevel"/>
    <w:tmpl w:val="52DB58BE"/>
    <w:lvl w:ilvl="0" w:tentative="0">
      <w:start w:val="1"/>
      <w:numFmt w:val="japaneseCounting"/>
      <w:lvlText w:val="%1、"/>
      <w:lvlJc w:val="left"/>
      <w:pPr>
        <w:ind w:left="1335" w:hanging="720"/>
      </w:pPr>
      <w:rPr>
        <w:rFonts w:hint="default"/>
      </w:rPr>
    </w:lvl>
    <w:lvl w:ilvl="1" w:tentative="0">
      <w:start w:val="1"/>
      <w:numFmt w:val="lowerLetter"/>
      <w:lvlText w:val="%2)"/>
      <w:lvlJc w:val="left"/>
      <w:pPr>
        <w:ind w:left="1455" w:hanging="420"/>
      </w:pPr>
    </w:lvl>
    <w:lvl w:ilvl="2" w:tentative="0">
      <w:start w:val="1"/>
      <w:numFmt w:val="lowerRoman"/>
      <w:lvlText w:val="%3."/>
      <w:lvlJc w:val="right"/>
      <w:pPr>
        <w:ind w:left="1875" w:hanging="420"/>
      </w:pPr>
    </w:lvl>
    <w:lvl w:ilvl="3" w:tentative="0">
      <w:start w:val="1"/>
      <w:numFmt w:val="decimal"/>
      <w:lvlText w:val="%4."/>
      <w:lvlJc w:val="left"/>
      <w:pPr>
        <w:ind w:left="2295" w:hanging="420"/>
      </w:pPr>
    </w:lvl>
    <w:lvl w:ilvl="4" w:tentative="0">
      <w:start w:val="1"/>
      <w:numFmt w:val="lowerLetter"/>
      <w:lvlText w:val="%5)"/>
      <w:lvlJc w:val="left"/>
      <w:pPr>
        <w:ind w:left="2715" w:hanging="420"/>
      </w:pPr>
    </w:lvl>
    <w:lvl w:ilvl="5" w:tentative="0">
      <w:start w:val="1"/>
      <w:numFmt w:val="lowerRoman"/>
      <w:lvlText w:val="%6."/>
      <w:lvlJc w:val="right"/>
      <w:pPr>
        <w:ind w:left="3135" w:hanging="420"/>
      </w:pPr>
    </w:lvl>
    <w:lvl w:ilvl="6" w:tentative="0">
      <w:start w:val="1"/>
      <w:numFmt w:val="decimal"/>
      <w:lvlText w:val="%7."/>
      <w:lvlJc w:val="left"/>
      <w:pPr>
        <w:ind w:left="3555" w:hanging="420"/>
      </w:pPr>
    </w:lvl>
    <w:lvl w:ilvl="7" w:tentative="0">
      <w:start w:val="1"/>
      <w:numFmt w:val="lowerLetter"/>
      <w:lvlText w:val="%8)"/>
      <w:lvlJc w:val="left"/>
      <w:pPr>
        <w:ind w:left="3975" w:hanging="420"/>
      </w:pPr>
    </w:lvl>
    <w:lvl w:ilvl="8" w:tentative="0">
      <w:start w:val="1"/>
      <w:numFmt w:val="lowerRoman"/>
      <w:lvlText w:val="%9."/>
      <w:lvlJc w:val="right"/>
      <w:pPr>
        <w:ind w:left="439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NotTrackMoves/>
  <w:documentProtection w:enforcement="0"/>
  <w:defaultTabStop w:val="420"/>
  <w:drawingGridHorizontalSpacing w:val="108"/>
  <w:drawingGridVerticalSpacing w:val="161"/>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jNjNzU0NGY2MGIwMjg4ZjM3YzMwODNmYTUzY2FhYTIifQ=="/>
  </w:docVars>
  <w:rsids>
    <w:rsidRoot w:val="00172A27"/>
    <w:rsid w:val="00040ACF"/>
    <w:rsid w:val="000418B4"/>
    <w:rsid w:val="00047E76"/>
    <w:rsid w:val="000736F4"/>
    <w:rsid w:val="000767F0"/>
    <w:rsid w:val="00084C3E"/>
    <w:rsid w:val="000A278C"/>
    <w:rsid w:val="000B59A1"/>
    <w:rsid w:val="000C113E"/>
    <w:rsid w:val="000D5D89"/>
    <w:rsid w:val="000D69D9"/>
    <w:rsid w:val="000E532F"/>
    <w:rsid w:val="00183122"/>
    <w:rsid w:val="00196866"/>
    <w:rsid w:val="001C3980"/>
    <w:rsid w:val="001D3BD4"/>
    <w:rsid w:val="001E2CBF"/>
    <w:rsid w:val="001E6131"/>
    <w:rsid w:val="001E7669"/>
    <w:rsid w:val="001F36AF"/>
    <w:rsid w:val="00277626"/>
    <w:rsid w:val="0028056A"/>
    <w:rsid w:val="00281C9B"/>
    <w:rsid w:val="00282AC5"/>
    <w:rsid w:val="00293F1C"/>
    <w:rsid w:val="002A031D"/>
    <w:rsid w:val="002D3781"/>
    <w:rsid w:val="002E4539"/>
    <w:rsid w:val="00317903"/>
    <w:rsid w:val="00325C6E"/>
    <w:rsid w:val="00326421"/>
    <w:rsid w:val="00331DA0"/>
    <w:rsid w:val="00336AB9"/>
    <w:rsid w:val="00346A66"/>
    <w:rsid w:val="003D4722"/>
    <w:rsid w:val="003E430B"/>
    <w:rsid w:val="003E7E51"/>
    <w:rsid w:val="003F1D49"/>
    <w:rsid w:val="004576B5"/>
    <w:rsid w:val="004642A8"/>
    <w:rsid w:val="00472F8B"/>
    <w:rsid w:val="004A1E9F"/>
    <w:rsid w:val="004D1CEC"/>
    <w:rsid w:val="004E2334"/>
    <w:rsid w:val="004F2861"/>
    <w:rsid w:val="005070F1"/>
    <w:rsid w:val="005222C3"/>
    <w:rsid w:val="00540D1F"/>
    <w:rsid w:val="005479EF"/>
    <w:rsid w:val="005532D0"/>
    <w:rsid w:val="005A294E"/>
    <w:rsid w:val="006231A0"/>
    <w:rsid w:val="00646F2F"/>
    <w:rsid w:val="006701E0"/>
    <w:rsid w:val="006C4A76"/>
    <w:rsid w:val="006D03F9"/>
    <w:rsid w:val="00704E2A"/>
    <w:rsid w:val="00733BBA"/>
    <w:rsid w:val="00743788"/>
    <w:rsid w:val="00750DE3"/>
    <w:rsid w:val="007537F4"/>
    <w:rsid w:val="00764425"/>
    <w:rsid w:val="007745B5"/>
    <w:rsid w:val="00783854"/>
    <w:rsid w:val="007A19EA"/>
    <w:rsid w:val="007A4376"/>
    <w:rsid w:val="007E57E7"/>
    <w:rsid w:val="00803788"/>
    <w:rsid w:val="008127F3"/>
    <w:rsid w:val="008137A9"/>
    <w:rsid w:val="008501B9"/>
    <w:rsid w:val="00875F9B"/>
    <w:rsid w:val="00876ADC"/>
    <w:rsid w:val="008804C0"/>
    <w:rsid w:val="00884FEA"/>
    <w:rsid w:val="008C6D16"/>
    <w:rsid w:val="008D2FED"/>
    <w:rsid w:val="008E57E3"/>
    <w:rsid w:val="008F5F68"/>
    <w:rsid w:val="00921C6B"/>
    <w:rsid w:val="009240C9"/>
    <w:rsid w:val="009247C5"/>
    <w:rsid w:val="009348BA"/>
    <w:rsid w:val="0094375A"/>
    <w:rsid w:val="009E601B"/>
    <w:rsid w:val="00A21BB9"/>
    <w:rsid w:val="00A37978"/>
    <w:rsid w:val="00A54A50"/>
    <w:rsid w:val="00A71C4E"/>
    <w:rsid w:val="00A822AE"/>
    <w:rsid w:val="00A9116C"/>
    <w:rsid w:val="00AD1877"/>
    <w:rsid w:val="00AF7CA6"/>
    <w:rsid w:val="00B1104C"/>
    <w:rsid w:val="00B26938"/>
    <w:rsid w:val="00B616EC"/>
    <w:rsid w:val="00B62E5D"/>
    <w:rsid w:val="00B643B6"/>
    <w:rsid w:val="00B85FB0"/>
    <w:rsid w:val="00B94173"/>
    <w:rsid w:val="00BA79A9"/>
    <w:rsid w:val="00BB2F62"/>
    <w:rsid w:val="00BC66EF"/>
    <w:rsid w:val="00BC7797"/>
    <w:rsid w:val="00BD0215"/>
    <w:rsid w:val="00BE7CF3"/>
    <w:rsid w:val="00BF09B6"/>
    <w:rsid w:val="00BF5CDF"/>
    <w:rsid w:val="00C3321A"/>
    <w:rsid w:val="00C34FD6"/>
    <w:rsid w:val="00C554A4"/>
    <w:rsid w:val="00C571F3"/>
    <w:rsid w:val="00C850AE"/>
    <w:rsid w:val="00CE6D97"/>
    <w:rsid w:val="00CF0F70"/>
    <w:rsid w:val="00CF64B7"/>
    <w:rsid w:val="00D52BB5"/>
    <w:rsid w:val="00D541D1"/>
    <w:rsid w:val="00D70D59"/>
    <w:rsid w:val="00DA08C1"/>
    <w:rsid w:val="00DA7221"/>
    <w:rsid w:val="00DB1895"/>
    <w:rsid w:val="00DB688A"/>
    <w:rsid w:val="00DD2F1B"/>
    <w:rsid w:val="00DE5C44"/>
    <w:rsid w:val="00E03653"/>
    <w:rsid w:val="00E10C7A"/>
    <w:rsid w:val="00E151E2"/>
    <w:rsid w:val="00E173FE"/>
    <w:rsid w:val="00E30BBF"/>
    <w:rsid w:val="00E55582"/>
    <w:rsid w:val="00E773E1"/>
    <w:rsid w:val="00E82488"/>
    <w:rsid w:val="00E85D07"/>
    <w:rsid w:val="00E96DE5"/>
    <w:rsid w:val="00EC3567"/>
    <w:rsid w:val="00ED2100"/>
    <w:rsid w:val="00EF59ED"/>
    <w:rsid w:val="00F07091"/>
    <w:rsid w:val="00F211C4"/>
    <w:rsid w:val="00F31DE0"/>
    <w:rsid w:val="00F401FF"/>
    <w:rsid w:val="00F43EE2"/>
    <w:rsid w:val="00F46517"/>
    <w:rsid w:val="00FA645B"/>
    <w:rsid w:val="01842D59"/>
    <w:rsid w:val="02013C18"/>
    <w:rsid w:val="06043E9E"/>
    <w:rsid w:val="0743447D"/>
    <w:rsid w:val="09F85A1C"/>
    <w:rsid w:val="0A5E2710"/>
    <w:rsid w:val="0B0A2703"/>
    <w:rsid w:val="0B3E3BB8"/>
    <w:rsid w:val="0D526F99"/>
    <w:rsid w:val="0E3E4413"/>
    <w:rsid w:val="0F927DA5"/>
    <w:rsid w:val="0FA4260E"/>
    <w:rsid w:val="1048027E"/>
    <w:rsid w:val="14116BCD"/>
    <w:rsid w:val="14155F7A"/>
    <w:rsid w:val="15CC63BF"/>
    <w:rsid w:val="1DE859FC"/>
    <w:rsid w:val="1E415839"/>
    <w:rsid w:val="231509A8"/>
    <w:rsid w:val="258842CD"/>
    <w:rsid w:val="28DB7232"/>
    <w:rsid w:val="2C6141CA"/>
    <w:rsid w:val="3A95679B"/>
    <w:rsid w:val="3F1C0C82"/>
    <w:rsid w:val="40F86B1E"/>
    <w:rsid w:val="41A20FEA"/>
    <w:rsid w:val="41D75CAE"/>
    <w:rsid w:val="42A604A9"/>
    <w:rsid w:val="434846C3"/>
    <w:rsid w:val="4469221F"/>
    <w:rsid w:val="4891255E"/>
    <w:rsid w:val="49A547CC"/>
    <w:rsid w:val="49E2547D"/>
    <w:rsid w:val="4A1831FC"/>
    <w:rsid w:val="4AFC4813"/>
    <w:rsid w:val="4C7E73A7"/>
    <w:rsid w:val="505631CD"/>
    <w:rsid w:val="50FB1FA9"/>
    <w:rsid w:val="5843509B"/>
    <w:rsid w:val="58A76BED"/>
    <w:rsid w:val="5EAC10ED"/>
    <w:rsid w:val="5FA74B2A"/>
    <w:rsid w:val="63EC27FF"/>
    <w:rsid w:val="65E900DA"/>
    <w:rsid w:val="66467200"/>
    <w:rsid w:val="66F86AD3"/>
    <w:rsid w:val="677376B1"/>
    <w:rsid w:val="67BF7759"/>
    <w:rsid w:val="688205FD"/>
    <w:rsid w:val="6F123351"/>
    <w:rsid w:val="704A69B4"/>
    <w:rsid w:val="751A00A9"/>
    <w:rsid w:val="765E777E"/>
    <w:rsid w:val="76EB5B65"/>
    <w:rsid w:val="774E39D3"/>
    <w:rsid w:val="79BD2A0E"/>
    <w:rsid w:val="7A244858"/>
    <w:rsid w:val="7CAF7D5F"/>
    <w:rsid w:val="7CFC1AEC"/>
    <w:rsid w:val="7EB97C4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link w:val="8"/>
    <w:semiHidden/>
    <w:qFormat/>
    <w:uiPriority w:val="99"/>
    <w:pPr>
      <w:tabs>
        <w:tab w:val="center" w:pos="4153"/>
        <w:tab w:val="right" w:pos="8306"/>
      </w:tabs>
      <w:snapToGrid w:val="0"/>
      <w:jc w:val="left"/>
    </w:pPr>
    <w:rPr>
      <w:sz w:val="18"/>
      <w:szCs w:val="18"/>
    </w:rPr>
  </w:style>
  <w:style w:type="paragraph" w:styleId="3">
    <w:name w:val="header"/>
    <w:basedOn w:val="1"/>
    <w:link w:val="7"/>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7">
    <w:name w:val="页眉 Char"/>
    <w:basedOn w:val="6"/>
    <w:link w:val="3"/>
    <w:semiHidden/>
    <w:qFormat/>
    <w:locked/>
    <w:uiPriority w:val="99"/>
    <w:rPr>
      <w:rFonts w:cs="Times New Roman"/>
      <w:sz w:val="18"/>
      <w:szCs w:val="18"/>
    </w:rPr>
  </w:style>
  <w:style w:type="character" w:customStyle="1" w:styleId="8">
    <w:name w:val="页脚 Char"/>
    <w:basedOn w:val="6"/>
    <w:link w:val="2"/>
    <w:semiHidden/>
    <w:qFormat/>
    <w:locked/>
    <w:uiPriority w:val="99"/>
    <w:rPr>
      <w:rFonts w:cs="Times New Roman"/>
      <w:sz w:val="18"/>
      <w:szCs w:val="18"/>
    </w:rPr>
  </w:style>
  <w:style w:type="paragraph" w:styleId="9">
    <w:name w:val="List Paragraph"/>
    <w:basedOn w:val="1"/>
    <w:qFormat/>
    <w:uiPriority w:val="99"/>
    <w:pPr>
      <w:ind w:firstLine="420" w:firstLineChars="200"/>
    </w:pPr>
  </w:style>
  <w:style w:type="paragraph" w:customStyle="1" w:styleId="10">
    <w:name w:val="[Normal]"/>
    <w:qFormat/>
    <w:uiPriority w:val="0"/>
    <w:pPr>
      <w:widowControl w:val="0"/>
    </w:pPr>
    <w:rPr>
      <w:rFonts w:ascii="Times New Roman" w:hAnsi="Times New Roman" w:eastAsia="宋体" w:cs="Times New Roman"/>
      <w:sz w:val="24"/>
      <w:szCs w:val="22"/>
      <w:lang w:val="en-US" w:eastAsia="en-US" w:bidi="ar-SA"/>
    </w:rPr>
  </w:style>
  <w:style w:type="paragraph" w:customStyle="1" w:styleId="11">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4">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5">
    <w:name w:val="Other|1"/>
    <w:basedOn w:val="1"/>
    <w:qFormat/>
    <w:uiPriority w:val="0"/>
    <w:pPr>
      <w:keepNext w:val="0"/>
      <w:keepLines w:val="0"/>
      <w:widowControl w:val="0"/>
      <w:suppressLineNumbers w:val="0"/>
      <w:spacing w:before="0" w:beforeAutospacing="0" w:after="0" w:afterAutospacing="0"/>
      <w:ind w:left="140" w:right="0" w:firstLine="0"/>
      <w:jc w:val="left"/>
    </w:pPr>
    <w:rPr>
      <w:rFonts w:hint="eastAsia" w:ascii="宋体" w:hAnsi="宋体" w:eastAsia="宋体" w:cs="宋体"/>
      <w:color w:val="000000"/>
      <w:spacing w:val="0"/>
      <w:kern w:val="0"/>
      <w:sz w:val="13"/>
      <w:szCs w:val="13"/>
      <w:lang w:val="en-US" w:eastAsia="zh-CN" w:bidi="ar"/>
    </w:rPr>
  </w:style>
  <w:style w:type="paragraph" w:customStyle="1" w:styleId="16">
    <w:name w:val="单元格样式5"/>
    <w:basedOn w:val="1"/>
    <w:qFormat/>
    <w:uiPriority w:val="0"/>
    <w:pPr>
      <w:spacing w:before="0" w:beforeAutospacing="0" w:after="0" w:afterAutospacing="0"/>
      <w:ind w:left="0" w:right="0"/>
      <w:jc w:val="left"/>
    </w:pPr>
    <w:rPr>
      <w:rFonts w:hint="default" w:ascii="方正书宋_GBK" w:hAnsi="方正书宋_GBK" w:eastAsia="方正书宋_GBK" w:cs="方正书宋_GBK"/>
      <w:b/>
      <w:kern w:val="0"/>
      <w:sz w:val="21"/>
      <w:szCs w:val="21"/>
      <w:lang w:val="en-US" w:eastAsia="zh-CN" w:bidi="ar"/>
    </w:rPr>
  </w:style>
  <w:style w:type="paragraph" w:customStyle="1" w:styleId="17">
    <w:name w:val="单元格样式2"/>
    <w:basedOn w:val="1"/>
    <w:qFormat/>
    <w:uiPriority w:val="0"/>
    <w:pPr>
      <w:spacing w:before="0" w:beforeAutospacing="0" w:after="0" w:afterAutospacing="0"/>
      <w:ind w:left="0" w:right="0"/>
      <w:jc w:val="left"/>
    </w:pPr>
    <w:rPr>
      <w:rFonts w:hint="default" w:ascii="方正书宋_GBK" w:hAnsi="方正书宋_GBK" w:eastAsia="方正书宋_GBK" w:cs="方正书宋_GBK"/>
      <w:kern w:val="0"/>
      <w:sz w:val="21"/>
      <w:szCs w:val="21"/>
      <w:lang w:val="en-US" w:eastAsia="zh-CN" w:bidi="ar"/>
    </w:rPr>
  </w:style>
  <w:style w:type="paragraph" w:customStyle="1" w:styleId="18">
    <w:name w:val="单元格样式1"/>
    <w:basedOn w:val="1"/>
    <w:qFormat/>
    <w:uiPriority w:val="0"/>
    <w:pPr>
      <w:spacing w:before="0" w:beforeAutospacing="0" w:after="0" w:afterAutospacing="0"/>
      <w:ind w:left="0" w:right="0"/>
      <w:jc w:val="center"/>
    </w:pPr>
    <w:rPr>
      <w:rFonts w:hint="default" w:ascii="方正书宋_GBK" w:hAnsi="方正书宋_GBK" w:eastAsia="方正书宋_GBK" w:cs="方正书宋_GBK"/>
      <w:b/>
      <w:kern w:val="0"/>
      <w:sz w:val="21"/>
      <w:szCs w:val="21"/>
      <w:lang w:val="en-US" w:eastAsia="zh-CN" w:bidi="ar"/>
    </w:rPr>
  </w:style>
  <w:style w:type="paragraph" w:customStyle="1" w:styleId="19">
    <w:name w:val="单元格样式4"/>
    <w:basedOn w:val="1"/>
    <w:qFormat/>
    <w:uiPriority w:val="0"/>
    <w:pPr>
      <w:spacing w:before="0" w:beforeAutospacing="0" w:after="0" w:afterAutospacing="0"/>
      <w:ind w:left="0" w:right="0"/>
      <w:jc w:val="right"/>
    </w:pPr>
    <w:rPr>
      <w:rFonts w:hint="default" w:ascii="方正书宋_GBK" w:hAnsi="方正书宋_GBK" w:eastAsia="方正书宋_GBK" w:cs="方正书宋_GBK"/>
      <w:kern w:val="0"/>
      <w:sz w:val="21"/>
      <w:szCs w:val="21"/>
      <w:lang w:val="en-US" w:eastAsia="zh-CN" w:bidi="ar"/>
    </w:rPr>
  </w:style>
  <w:style w:type="paragraph" w:customStyle="1" w:styleId="20">
    <w:name w:val="单元格样式3"/>
    <w:basedOn w:val="1"/>
    <w:qFormat/>
    <w:uiPriority w:val="0"/>
    <w:pPr>
      <w:spacing w:before="0" w:beforeAutospacing="0" w:after="0" w:afterAutospacing="0"/>
      <w:ind w:left="0" w:right="0"/>
      <w:jc w:val="center"/>
    </w:pPr>
    <w:rPr>
      <w:rFonts w:hint="default" w:ascii="方正书宋_GBK" w:hAnsi="方正书宋_GBK" w:eastAsia="方正书宋_GBK" w:cs="方正书宋_GBK"/>
      <w:kern w:val="0"/>
      <w:sz w:val="21"/>
      <w:szCs w:val="21"/>
      <w:lang w:val="en-US" w:eastAsia="zh-CN" w:bidi="ar"/>
    </w:rPr>
  </w:style>
  <w:style w:type="paragraph" w:customStyle="1" w:styleId="2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22">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47991-D554-4FA7-9F8F-F27BE821C35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75</Pages>
  <Words>433</Words>
  <Characters>487</Characters>
  <Lines>1</Lines>
  <Paragraphs>1</Paragraphs>
  <TotalTime>5</TotalTime>
  <ScaleCrop>false</ScaleCrop>
  <LinksUpToDate>false</LinksUpToDate>
  <CharactersWithSpaces>490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2017-04-04T02:15:00Z</dcterms:created>
  <dc:creator>User</dc:creator>
  <cp:lastModifiedBy>你渴望力量吗？</cp:lastModifiedBy>
  <cp:lastPrinted>2020-02-21T03:05:00Z</cp:lastPrinted>
  <dcterms:modified xsi:type="dcterms:W3CDTF">2026-06-30T03:42:04Z</dcterms:modified>
  <dc:title>2017年宁晋县公安局预算公开情况说明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32A1AE84255E4185ABC68E84CC9E41D2</vt:lpwstr>
  </property>
  <property fmtid="{D5CDD505-2E9C-101B-9397-08002B2CF9AE}" pid="4" name="KSOTemplateDocerSaveRecord">
    <vt:lpwstr>eyJoZGlkIjoiYmVlMmIwMmZhYmNjNjdmOTI4ODQ5YWRiOTRmZTU2YWUiLCJ1c2VySWQiOiI1MTM2NDE5MjQifQ==</vt:lpwstr>
  </property>
</Properties>
</file>