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9700E3">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w:t>
      </w:r>
    </w:p>
    <w:p w14:paraId="544F730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w:t>
      </w:r>
      <w:r>
        <w:rPr>
          <w:rFonts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lang w:val="en-US" w:eastAsia="zh-CN"/>
        </w:rPr>
        <w:t>年邢台市</w:t>
      </w:r>
      <w:bookmarkStart w:id="0" w:name="_GoBack"/>
      <w:bookmarkEnd w:id="0"/>
      <w:r>
        <w:rPr>
          <w:rFonts w:hint="eastAsia" w:ascii="方正小标宋简体" w:hAnsi="方正小标宋简体" w:eastAsia="方正小标宋简体" w:cs="方正小标宋简体"/>
          <w:sz w:val="44"/>
          <w:szCs w:val="44"/>
          <w:lang w:val="en-US" w:eastAsia="zh-CN"/>
        </w:rPr>
        <w:t>家电以旧换新活动</w:t>
      </w:r>
    </w:p>
    <w:p w14:paraId="6E56506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承办单位申报条件</w:t>
      </w:r>
      <w:r>
        <w:rPr>
          <w:rFonts w:ascii="方正小标宋简体" w:hAnsi="方正小标宋简体" w:eastAsia="方正小标宋简体" w:cs="方正小标宋简体"/>
          <w:sz w:val="44"/>
          <w:szCs w:val="44"/>
          <w:lang w:val="en-US" w:eastAsia="zh-CN"/>
        </w:rPr>
        <w:t>、工作要求</w:t>
      </w:r>
      <w:r>
        <w:rPr>
          <w:rFonts w:hint="eastAsia" w:ascii="方正小标宋简体" w:hAnsi="方正小标宋简体" w:eastAsia="方正小标宋简体" w:cs="方正小标宋简体"/>
          <w:sz w:val="44"/>
          <w:szCs w:val="44"/>
          <w:lang w:val="en-US" w:eastAsia="zh-CN"/>
        </w:rPr>
        <w:t>与申报资料清单</w:t>
      </w:r>
    </w:p>
    <w:p w14:paraId="683D7293">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rPr>
          <w:rFonts w:hint="eastAsia" w:ascii="仿宋_GB2312" w:hAnsi="仿宋_GB2312" w:eastAsia="仿宋_GB2312" w:cs="仿宋_GB2312"/>
          <w:sz w:val="32"/>
          <w:szCs w:val="32"/>
          <w:lang w:val="en-US" w:eastAsia="zh-CN"/>
        </w:rPr>
      </w:pPr>
    </w:p>
    <w:p w14:paraId="483BC4C5">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一、申报条件</w:t>
      </w:r>
    </w:p>
    <w:p w14:paraId="242AEC34">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宋体" w:eastAsia="仿宋_GB2312" w:cs="仿宋_GB2312"/>
          <w:sz w:val="32"/>
          <w:szCs w:val="32"/>
        </w:rPr>
        <w:t>依法注册、纳税，经营状况良好的家电销售单位；</w:t>
      </w:r>
    </w:p>
    <w:p w14:paraId="5A50D406">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宋体" w:eastAsia="仿宋_GB2312" w:cs="仿宋_GB2312"/>
          <w:sz w:val="32"/>
          <w:szCs w:val="32"/>
        </w:rPr>
        <w:t>同意与河北省家电以旧换新补贴活动平台合作，与功能服务平台对接完成补贴商品信息上传、交易收单和支付准备工作；</w:t>
      </w:r>
    </w:p>
    <w:p w14:paraId="70C40EB9">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宋体" w:eastAsia="仿宋_GB2312" w:cs="仿宋_GB2312"/>
          <w:sz w:val="32"/>
          <w:szCs w:val="32"/>
        </w:rPr>
        <w:t>具有良好的财务会计制度，具备补贴垫资能力和及时退回补贴资金能力，具备完成本要求中规定的“工作任务”和“工作要求”的能力；</w:t>
      </w:r>
    </w:p>
    <w:p w14:paraId="23B0F524">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（四）</w:t>
      </w:r>
      <w:r>
        <w:rPr>
          <w:rFonts w:hint="eastAsia" w:ascii="仿宋_GB2312" w:hAnsi="宋体" w:eastAsia="仿宋_GB2312" w:cs="仿宋_GB2312"/>
          <w:sz w:val="32"/>
          <w:szCs w:val="32"/>
        </w:rPr>
        <w:t>具备规范的销售、配送信息系统，有完善的进销存管理机制，能提供活动相关、可溯、不可更改的台账资料；</w:t>
      </w:r>
    </w:p>
    <w:p w14:paraId="26630854">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宋体" w:eastAsia="仿宋_GB2312" w:cs="仿宋_GB2312"/>
          <w:sz w:val="32"/>
          <w:szCs w:val="32"/>
        </w:rPr>
        <w:t>严格执行国家税收管理有关规定，按照包含政府补贴在内的销售价格，承诺对消费者个人开具电子发票(个人消费者实际支付金额+补贴金额）；</w:t>
      </w:r>
    </w:p>
    <w:p w14:paraId="28B789A1">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（六）</w:t>
      </w:r>
      <w:r>
        <w:rPr>
          <w:rFonts w:hint="eastAsia" w:ascii="仿宋_GB2312" w:hAnsi="宋体" w:eastAsia="仿宋_GB2312" w:cs="仿宋_GB2312"/>
          <w:sz w:val="32"/>
          <w:szCs w:val="32"/>
        </w:rPr>
        <w:t>具备系统化防范骗补、套补等风险的制度和措施；</w:t>
      </w:r>
    </w:p>
    <w:p w14:paraId="7B3A6F0F">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lang w:eastAsia="zh-CN"/>
        </w:rPr>
      </w:pPr>
      <w:r>
        <w:rPr>
          <w:rFonts w:hint="eastAsia" w:ascii="仿宋_GB2312" w:hAnsi="仿宋_GB2312" w:eastAsia="仿宋_GB2312" w:cs="仿宋_GB2312"/>
          <w:sz w:val="32"/>
          <w:szCs w:val="32"/>
          <w:lang w:val="en-US" w:eastAsia="zh-CN"/>
        </w:rPr>
        <w:t>（七）</w:t>
      </w:r>
      <w:r>
        <w:rPr>
          <w:rFonts w:hint="eastAsia" w:ascii="仿宋_GB2312" w:hAnsi="宋体" w:eastAsia="仿宋_GB2312" w:cs="仿宋_GB2312"/>
          <w:sz w:val="32"/>
          <w:szCs w:val="32"/>
        </w:rPr>
        <w:t>需具备可在同一渠道完成支付及退货退款的业务系统，拥有以旧换新交易信息监测、统计的相关系统或手段，满足后台实时监测、销售情况跟踪统计等管理需求</w:t>
      </w:r>
      <w:r>
        <w:rPr>
          <w:rFonts w:hint="eastAsia" w:ascii="仿宋_GB2312" w:hAnsi="宋体" w:eastAsia="仿宋_GB2312" w:cs="仿宋_GB2312"/>
          <w:sz w:val="32"/>
          <w:szCs w:val="32"/>
          <w:lang w:eastAsia="zh-CN"/>
        </w:rPr>
        <w:t>；</w:t>
      </w:r>
    </w:p>
    <w:p w14:paraId="54747C8B">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（八）</w:t>
      </w:r>
      <w:r>
        <w:rPr>
          <w:rFonts w:hint="eastAsia" w:ascii="仿宋_GB2312" w:hAnsi="宋体" w:eastAsia="仿宋_GB2312" w:cs="仿宋_GB2312"/>
          <w:sz w:val="32"/>
          <w:szCs w:val="32"/>
        </w:rPr>
        <w:t>资信状况良好，未被列入失信被执行人名单；近两年内未发生重大安全事故；2024年以来参与我市各级政府消费券及以旧换新活动，无违法违规记录；</w:t>
      </w:r>
    </w:p>
    <w:p w14:paraId="3E40C6B4">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lang w:eastAsia="zh-CN"/>
        </w:rPr>
      </w:pPr>
      <w:r>
        <w:rPr>
          <w:rFonts w:hint="eastAsia" w:ascii="仿宋_GB2312" w:hAnsi="仿宋_GB2312" w:eastAsia="仿宋_GB2312" w:cs="仿宋_GB2312"/>
          <w:sz w:val="32"/>
          <w:szCs w:val="32"/>
          <w:lang w:val="en-US" w:eastAsia="zh-CN"/>
        </w:rPr>
        <w:t>（九）</w:t>
      </w:r>
      <w:r>
        <w:rPr>
          <w:rFonts w:hint="eastAsia" w:ascii="仿宋_GB2312" w:hAnsi="宋体" w:eastAsia="仿宋_GB2312" w:cs="仿宋_GB2312"/>
          <w:sz w:val="32"/>
          <w:szCs w:val="32"/>
        </w:rPr>
        <w:t>参与主体应自愿签订承诺书，严格遵守活动各项规定，依法合规经营，积极配合相关部门做好监管工作，坚决防范套取、骗取补贴等行为。若参与主体存在违规违约、传播不实信息，或未按统筹安排有序开展家电促消费活动等情形，自愿接受相应处理，并主动退出活动参与主体名单</w:t>
      </w:r>
      <w:r>
        <w:rPr>
          <w:rFonts w:hint="eastAsia" w:ascii="仿宋_GB2312" w:hAnsi="宋体" w:eastAsia="仿宋_GB2312" w:cs="仿宋_GB2312"/>
          <w:sz w:val="32"/>
          <w:szCs w:val="32"/>
          <w:lang w:eastAsia="zh-CN"/>
        </w:rPr>
        <w:t>；</w:t>
      </w:r>
    </w:p>
    <w:p w14:paraId="6F08CD0E">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ascii="仿宋_GB2312" w:hAnsi="宋体" w:eastAsia="仿宋_GB2312" w:cs="仿宋_GB2312"/>
          <w:sz w:val="32"/>
          <w:szCs w:val="32"/>
        </w:rPr>
      </w:pPr>
      <w:r>
        <w:rPr>
          <w:rFonts w:hint="eastAsia" w:ascii="仿宋_GB2312" w:hAnsi="仿宋_GB2312" w:eastAsia="仿宋_GB2312" w:cs="仿宋_GB2312"/>
          <w:sz w:val="32"/>
          <w:szCs w:val="32"/>
          <w:lang w:val="en-US" w:eastAsia="zh-CN"/>
        </w:rPr>
        <w:t>（十）</w:t>
      </w:r>
      <w:r>
        <w:rPr>
          <w:rFonts w:hint="eastAsia" w:ascii="仿宋_GB2312" w:hAnsi="宋体" w:eastAsia="仿宋_GB2312" w:cs="仿宋_GB2312"/>
          <w:sz w:val="32"/>
          <w:szCs w:val="32"/>
        </w:rPr>
        <w:t>要兼顾家电产品售新与收旧，建立旧家电回收台账，联合生产、回收企业开展以旧换新促销活动，对消费者购新交旧给予适当优惠并提供便利服务。</w:t>
      </w:r>
    </w:p>
    <w:p w14:paraId="7051DA14">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宋体" w:hAnsi="宋体" w:eastAsia="方正黑体_GBK" w:cs="方正黑体_GBK"/>
          <w:sz w:val="32"/>
          <w:szCs w:val="32"/>
        </w:rPr>
      </w:pPr>
      <w:r>
        <w:rPr>
          <w:rFonts w:ascii="宋体" w:hAnsi="宋体" w:eastAsia="方正黑体_GBK" w:cs="方正黑体_GBK"/>
          <w:sz w:val="32"/>
          <w:szCs w:val="32"/>
        </w:rPr>
        <w:t>二</w:t>
      </w:r>
      <w:r>
        <w:rPr>
          <w:rFonts w:hint="eastAsia" w:ascii="宋体" w:hAnsi="宋体" w:eastAsia="方正黑体_GBK" w:cs="方正黑体_GBK"/>
          <w:sz w:val="32"/>
          <w:szCs w:val="32"/>
        </w:rPr>
        <w:t>、工作任务</w:t>
      </w:r>
    </w:p>
    <w:p w14:paraId="4397FAB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一）做好参加活动商品的报备工作。承办单位将参与补贴活动的商品品类及价格（佐证资料）备案资料，提供给各县（市、区）商务主管部门，审核通过，并与河北省以旧换新活动平台结合将参与活动的商品录入平台。参加活动的商品在卖场展示时，显著位置张贴授予活动标识，对未经授权使用经营者进行举报。</w:t>
      </w:r>
    </w:p>
    <w:p w14:paraId="773482EC">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二）要主动与河北省以旧换新补贴活动平台对接，按要求布设或升级改造相关收单机具。活动中所有销售商品要使用符合要求的收单机具收单。采用支付立减方式对消费者进行补贴。按照包含政府补贴在内的实际销售价格开具全额电子发票。发票中销售货物的名称要规范，要明确商品的品牌、品类、规格型号、能效等级、享受的政府补贴金额等内容。</w:t>
      </w:r>
    </w:p>
    <w:p w14:paraId="03312002">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三）建立完整清晰的活动台账，自愿接受政府相关部门及委派的第三方机构对本次活动进行监督、审计，并同意以审计结果作为补贴申请的最终依据。台账要详细记录活动中销售的每台商品的品类、品牌、规格型号、能效（水效）等级、销售价格、支付路径、支付金额、补贴金额等情况信息。活动中所有销售的商品要留存电子发票备查。</w:t>
      </w:r>
    </w:p>
    <w:p w14:paraId="4A01E258">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（四）承办单位要指定专人或组建专业团队负责以旧换新工作，做好补贴活动政策宣传；公开电话，能及时妥善处理好消费者咨询和投诉。</w:t>
      </w:r>
    </w:p>
    <w:p w14:paraId="79EC7F7B">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宋体" w:hAnsi="宋体" w:eastAsia="方正黑体_GBK" w:cs="方正黑体_GBK"/>
          <w:sz w:val="32"/>
          <w:szCs w:val="32"/>
        </w:rPr>
      </w:pPr>
      <w:r>
        <w:rPr>
          <w:rFonts w:ascii="宋体" w:hAnsi="宋体" w:eastAsia="方正黑体_GBK" w:cs="方正黑体_GBK"/>
          <w:sz w:val="32"/>
          <w:szCs w:val="32"/>
        </w:rPr>
        <w:t>三</w:t>
      </w:r>
      <w:r>
        <w:rPr>
          <w:rFonts w:hint="eastAsia" w:ascii="宋体" w:hAnsi="宋体" w:eastAsia="方正黑体_GBK" w:cs="方正黑体_GBK"/>
          <w:sz w:val="32"/>
          <w:szCs w:val="32"/>
        </w:rPr>
        <w:t>、工作要求</w:t>
      </w:r>
    </w:p>
    <w:p w14:paraId="0D43382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（一）承办单位对在活动参与过程中获取的政府相关信息负有保密义务，对活动中获取的消费者信息负有保密责任。</w:t>
      </w:r>
    </w:p>
    <w:p w14:paraId="504BBE00">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（二）参加活动商品的报备要严谨准确。对因活动商品报备不准确造成的补贴资金损失，由当事单位承担并追究责任；造成消费者损失的，追究当事单位责任。</w:t>
      </w:r>
    </w:p>
    <w:p w14:paraId="09B0503B">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（三）积极配合政府相关工作，按要求如实提供相关票证、台账和相关信息数据。自觉接受相关检查和审计。达到入统条件的单位，要按照国家有关规定和程序及时入统。</w:t>
      </w:r>
    </w:p>
    <w:p w14:paraId="47F773A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四）消费者在消费后退货的，承办单位应按照消费者补贴立减后实付金额以原路返回方式进行退款。并向补贴活动平台申请并取得同意，严禁通过其他方式进行退款。如补贴资金已拨付，承办单位须在3个工作日内将所退商品的补贴款归还至补贴活动平台资金账户。</w:t>
      </w:r>
    </w:p>
    <w:p w14:paraId="5CFC70F4">
      <w:pPr>
        <w:keepNext w:val="0"/>
        <w:keepLines w:val="0"/>
        <w:pageBreakBefore w:val="0"/>
        <w:widowControl w:val="0"/>
        <w:numPr>
          <w:ilvl w:val="0"/>
          <w:numId w:val="1"/>
        </w:numPr>
        <w:kinsoku/>
        <w:wordWrap/>
        <w:overflowPunct/>
        <w:topLinePunct w:val="0"/>
        <w:autoSpaceDE w:val="0"/>
        <w:autoSpaceDN w:val="0"/>
        <w:adjustRightInd w:val="0"/>
        <w:snapToGrid w:val="0"/>
        <w:spacing w:line="560" w:lineRule="exact"/>
        <w:ind w:left="0"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承办单位在活动过程中不能按要求完成工作任务、违反工作要求、不配合相关工作，或因自身原因造成活动出现重大问题的，市商务局有权终止单位的活动参与资格，责令赔偿相关损失，必要时追究其法律责任。</w:t>
      </w:r>
    </w:p>
    <w:p w14:paraId="3D7F654F">
      <w:pPr>
        <w:keepNext w:val="0"/>
        <w:keepLines w:val="0"/>
        <w:pageBreakBefore w:val="0"/>
        <w:widowControl w:val="0"/>
        <w:numPr>
          <w:ilvl w:val="0"/>
          <w:numId w:val="1"/>
        </w:numPr>
        <w:kinsoku/>
        <w:wordWrap/>
        <w:overflowPunct/>
        <w:topLinePunct w:val="0"/>
        <w:autoSpaceDE w:val="0"/>
        <w:autoSpaceDN w:val="0"/>
        <w:adjustRightInd w:val="0"/>
        <w:snapToGrid w:val="0"/>
        <w:spacing w:line="560" w:lineRule="exact"/>
        <w:ind w:left="0" w:firstLine="640" w:firstLineChars="200"/>
        <w:textAlignment w:val="baseline"/>
        <w:rPr>
          <w:rFonts w:hint="eastAsia" w:ascii="仿宋_GB2312" w:hAnsi="宋体" w:eastAsia="仿宋_GB2312" w:cs="仿宋_GB2312"/>
          <w:sz w:val="32"/>
          <w:szCs w:val="32"/>
        </w:rPr>
      </w:pPr>
      <w:r>
        <w:rPr>
          <w:rFonts w:hint="eastAsia" w:ascii="仿宋_GB2312" w:hAnsi="宋体" w:eastAsia="仿宋_GB2312" w:cs="仿宋_GB2312"/>
          <w:sz w:val="32"/>
          <w:szCs w:val="32"/>
        </w:rPr>
        <w:t>保障农村居民享受补贴政策</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支持县城综合商贸服务中心</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乡镇商贸中心等县域商业多元主体参与补贴政策。鼓励大型商超、品牌专卖店、专业店等下沉农村市场的承办单位，采取流动“大篷车”下乡、农村市集、现场展销等方式将服务网络延伸至农村偏远地区。鼓励品牌连锁企业整合线上、线下资源，扩大连锁经营覆盖农村地区范围，提高农村地区消费便利度。</w:t>
      </w:r>
    </w:p>
    <w:p w14:paraId="0BE1318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ascii="黑体" w:hAnsi="黑体" w:eastAsia="黑体" w:cs="黑体"/>
          <w:sz w:val="32"/>
          <w:szCs w:val="32"/>
          <w:lang w:val="en-US" w:eastAsia="zh-CN"/>
        </w:rPr>
        <w:t>四</w:t>
      </w:r>
      <w:r>
        <w:rPr>
          <w:rFonts w:hint="eastAsia" w:ascii="黑体" w:hAnsi="黑体" w:eastAsia="黑体" w:cs="黑体"/>
          <w:sz w:val="32"/>
          <w:szCs w:val="32"/>
          <w:lang w:val="en-US" w:eastAsia="zh-CN"/>
        </w:rPr>
        <w:t>、申报资料清单</w:t>
      </w:r>
    </w:p>
    <w:p w14:paraId="686E1449">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（一）</w:t>
      </w:r>
      <w:r>
        <w:rPr>
          <w:rFonts w:hint="eastAsia" w:ascii="仿宋_GB2312" w:hAnsi="宋体" w:eastAsia="仿宋_GB2312" w:cs="仿宋_GB2312"/>
          <w:sz w:val="32"/>
          <w:szCs w:val="32"/>
        </w:rPr>
        <w:t>2026年</w:t>
      </w:r>
      <w:r>
        <w:rPr>
          <w:rFonts w:hint="eastAsia" w:ascii="仿宋_GB2312" w:hAnsi="宋体" w:eastAsia="仿宋_GB2312" w:cs="仿宋_GB2312"/>
          <w:sz w:val="32"/>
          <w:szCs w:val="32"/>
          <w:lang w:eastAsia="zh-CN"/>
        </w:rPr>
        <w:t>邢台</w:t>
      </w:r>
      <w:r>
        <w:rPr>
          <w:rFonts w:hint="eastAsia" w:ascii="仿宋_GB2312" w:hAnsi="宋体" w:eastAsia="仿宋_GB2312" w:cs="仿宋_GB2312"/>
          <w:sz w:val="32"/>
          <w:szCs w:val="32"/>
        </w:rPr>
        <w:t>市家电以旧换新承办单位申请表；</w:t>
      </w:r>
    </w:p>
    <w:p w14:paraId="078BCC5B">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宋体" w:eastAsia="仿宋_GB2312" w:cs="仿宋_GB2312"/>
          <w:sz w:val="32"/>
          <w:szCs w:val="32"/>
        </w:rPr>
        <w:t>2026年</w:t>
      </w:r>
      <w:r>
        <w:rPr>
          <w:rFonts w:hint="eastAsia" w:ascii="仿宋_GB2312" w:hAnsi="宋体" w:eastAsia="仿宋_GB2312" w:cs="仿宋_GB2312"/>
          <w:sz w:val="32"/>
          <w:szCs w:val="32"/>
          <w:lang w:eastAsia="zh-CN"/>
        </w:rPr>
        <w:t>邢台</w:t>
      </w:r>
      <w:r>
        <w:rPr>
          <w:rFonts w:hint="eastAsia" w:ascii="仿宋_GB2312" w:hAnsi="宋体" w:eastAsia="仿宋_GB2312" w:cs="仿宋_GB2312"/>
          <w:sz w:val="32"/>
          <w:szCs w:val="32"/>
        </w:rPr>
        <w:t>市家电以旧换新承办单位承诺书；</w:t>
      </w:r>
    </w:p>
    <w:p w14:paraId="0B913B8D">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宋体" w:eastAsia="仿宋_GB2312" w:cs="仿宋_GB2312"/>
          <w:sz w:val="32"/>
          <w:szCs w:val="32"/>
        </w:rPr>
        <w:t>营业执照、单位负责人身份证（正反面）和银行对公账户开户许可证复印件（包括开户银行、账号、行号等，并加盖公章）；</w:t>
      </w:r>
    </w:p>
    <w:p w14:paraId="24BCFF4B">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（四）</w:t>
      </w:r>
      <w:r>
        <w:rPr>
          <w:rFonts w:hint="eastAsia" w:ascii="仿宋_GB2312" w:hAnsi="宋体" w:eastAsia="仿宋_GB2312" w:cs="仿宋_GB2312"/>
          <w:sz w:val="32"/>
          <w:szCs w:val="32"/>
        </w:rPr>
        <w:t>提供完善的进销存系统订单；使用水印相机提供经营地址照片（包括日期、经纬度）；</w:t>
      </w:r>
    </w:p>
    <w:p w14:paraId="7C065B6D">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宋体" w:eastAsia="仿宋_GB2312" w:cs="仿宋_GB2312"/>
          <w:sz w:val="32"/>
          <w:szCs w:val="32"/>
        </w:rPr>
        <w:t>下载“信用中国”网站(www.creditchina.gov.cn)</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法人和非法人组织公共信用信息报告</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rPr>
        <w:t>中国政府采购网(www.ccgp.gov.cn)“政府采购严重违法失信行为信息记录”；</w:t>
      </w:r>
    </w:p>
    <w:p w14:paraId="0C289D96">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lang w:eastAsia="zh-CN"/>
        </w:rPr>
      </w:pPr>
      <w:r>
        <w:rPr>
          <w:rFonts w:hint="eastAsia" w:ascii="仿宋_GB2312" w:hAnsi="仿宋_GB2312" w:eastAsia="仿宋_GB2312" w:cs="仿宋_GB2312"/>
          <w:sz w:val="32"/>
          <w:szCs w:val="32"/>
          <w:lang w:val="en-US" w:eastAsia="zh-CN"/>
        </w:rPr>
        <w:t>（六）</w:t>
      </w:r>
      <w:r>
        <w:rPr>
          <w:rFonts w:hint="eastAsia" w:ascii="仿宋_GB2312" w:hAnsi="宋体" w:eastAsia="仿宋_GB2312" w:cs="仿宋_GB2312"/>
          <w:sz w:val="32"/>
          <w:szCs w:val="32"/>
        </w:rPr>
        <w:t>单位介绍及符合申报条件的相关业务、能力、经验的介绍和证明材料</w:t>
      </w:r>
      <w:r>
        <w:rPr>
          <w:rFonts w:hint="eastAsia" w:ascii="仿宋_GB2312" w:hAnsi="宋体" w:eastAsia="仿宋_GB2312" w:cs="仿宋_GB2312"/>
          <w:sz w:val="32"/>
          <w:szCs w:val="32"/>
          <w:lang w:eastAsia="zh-CN"/>
        </w:rPr>
        <w:t>；</w:t>
      </w:r>
    </w:p>
    <w:p w14:paraId="371A397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（七）</w:t>
      </w:r>
      <w:r>
        <w:rPr>
          <w:rFonts w:hint="eastAsia" w:ascii="仿宋_GB2312" w:hAnsi="宋体" w:eastAsia="仿宋_GB2312" w:cs="仿宋_GB2312"/>
          <w:sz w:val="32"/>
          <w:szCs w:val="32"/>
        </w:rPr>
        <w:t>单位参与活动工作方案，包括自身促销举措、以旧换新措施（包括宣传）等；</w:t>
      </w:r>
    </w:p>
    <w:p w14:paraId="48F0863A">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（八）</w:t>
      </w:r>
      <w:r>
        <w:rPr>
          <w:rFonts w:hint="eastAsia" w:ascii="仿宋_GB2312" w:hAnsi="宋体" w:eastAsia="仿宋_GB2312" w:cs="仿宋_GB2312"/>
          <w:sz w:val="32"/>
          <w:szCs w:val="32"/>
        </w:rPr>
        <w:t>单位风险管控方案，包括对骗补、套补等行为的管控措施等；</w:t>
      </w:r>
    </w:p>
    <w:p w14:paraId="61946EDD">
      <w:pPr>
        <w:keepNext w:val="0"/>
        <w:keepLines w:val="0"/>
        <w:pageBreakBefore w:val="0"/>
        <w:widowControl w:val="0"/>
        <w:kinsoku/>
        <w:wordWrap/>
        <w:overflowPunct/>
        <w:topLinePunct w:val="0"/>
        <w:autoSpaceDE w:val="0"/>
        <w:autoSpaceDN w:val="0"/>
        <w:adjustRightInd w:val="0"/>
        <w:snapToGrid w:val="0"/>
        <w:spacing w:line="560" w:lineRule="exact"/>
        <w:ind w:firstLine="640" w:firstLineChars="200"/>
        <w:textAlignment w:val="baseline"/>
        <w:rPr>
          <w:rFonts w:hint="eastAsia" w:ascii="仿宋_GB2312" w:hAnsi="宋体" w:eastAsia="仿宋_GB2312" w:cs="仿宋_GB2312"/>
          <w:sz w:val="32"/>
          <w:szCs w:val="32"/>
        </w:rPr>
      </w:pPr>
      <w:r>
        <w:rPr>
          <w:rFonts w:hint="eastAsia" w:ascii="仿宋_GB2312" w:hAnsi="仿宋_GB2312" w:eastAsia="仿宋_GB2312" w:cs="仿宋_GB2312"/>
          <w:sz w:val="32"/>
          <w:szCs w:val="32"/>
          <w:lang w:val="en-US" w:eastAsia="zh-CN"/>
        </w:rPr>
        <w:t>（九）</w:t>
      </w:r>
      <w:r>
        <w:rPr>
          <w:rFonts w:hint="eastAsia" w:ascii="仿宋_GB2312" w:hAnsi="宋体" w:eastAsia="仿宋_GB2312" w:cs="仿宋_GB2312"/>
          <w:sz w:val="32"/>
          <w:szCs w:val="32"/>
        </w:rPr>
        <w:t>须具备废旧家电回收能力，与正规回收拆解企业签订协议，承办单位要建立废旧家电回收台账，将回收的废旧家电交由正规回收拆解企业处置。</w:t>
      </w:r>
    </w:p>
    <w:p w14:paraId="62CFA6DD">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申报材料一式两份，按顺序组装成册，统一蓝色封皮胶装，每页加盖单位公章，材料整体盖骑缝章。全套盖章纸质版申报材料、PDF扫描版一并提交。申报材料不予退回。 </w:t>
      </w:r>
    </w:p>
    <w:sectPr>
      <w:footerReference r:id="rId3" w:type="default"/>
      <w:pgSz w:w="11906" w:h="16838"/>
      <w:pgMar w:top="1587" w:right="1474" w:bottom="1474" w:left="1474" w:header="851" w:footer="850" w:gutter="0"/>
      <w:cols w:space="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F15CC">
    <w:pPr>
      <w:pStyle w:val="7"/>
    </w:pPr>
    <w:r>
      <w:rPr>
        <w:sz w:val="18"/>
      </w:rPr>
      <mc:AlternateContent>
        <mc:Choice Requires="wps">
          <w:drawing>
            <wp:anchor distT="0" distB="0" distL="114300" distR="114300" simplePos="0" relativeHeight="251659264" behindDoc="0" locked="0" layoutInCell="1" allowOverlap="1">
              <wp:simplePos x="0" y="0"/>
              <wp:positionH relativeFrom="margin">
                <wp:posOffset>2519045</wp:posOffset>
              </wp:positionH>
              <wp:positionV relativeFrom="paragraph">
                <wp:posOffset>-70485</wp:posOffset>
              </wp:positionV>
              <wp:extent cx="745490" cy="367030"/>
              <wp:effectExtent l="0" t="0" r="0" b="0"/>
              <wp:wrapNone/>
              <wp:docPr id="4097" name="_x0000_s4097"/>
              <wp:cNvGraphicFramePr/>
              <a:graphic xmlns:a="http://schemas.openxmlformats.org/drawingml/2006/main">
                <a:graphicData uri="http://schemas.microsoft.com/office/word/2010/wordprocessingShape">
                  <wps:wsp>
                    <wps:cNvSpPr/>
                    <wps:spPr>
                      <a:xfrm>
                        <a:off x="0" y="0"/>
                        <a:ext cx="745489" cy="367029"/>
                      </a:xfrm>
                      <a:prstGeom prst="rect">
                        <a:avLst/>
                      </a:prstGeom>
                      <a:noFill/>
                      <a:ln w="9525" cap="flat" cmpd="sng">
                        <a:noFill/>
                        <a:prstDash val="solid"/>
                        <a:miter/>
                      </a:ln>
                    </wps:spPr>
                    <wps:txbx>
                      <w:txbxContent>
                        <w:p w14:paraId="7CCE1F13">
                          <w:pPr>
                            <w:pStyle w:val="7"/>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id="_x0000_s4097" o:spid="_x0000_s1026" o:spt="1" style="position:absolute;left:0pt;margin-left:198.35pt;margin-top:-5.55pt;height:28.9pt;width:58.7pt;mso-position-horizontal-relative:margin;z-index:251659264;mso-width-relative:page;mso-height-relative:page;" filled="f" stroked="f" coordsize="21600,21600" o:gfxdata="UEsDBAoAAAAAAIdO4kAAAAAAAAAAAAAAAAAEAAAAZHJzL1BLAwQUAAAACACHTuJAU8y+P9oAAAAK&#10;AQAADwAAAGRycy9kb3ducmV2LnhtbE2PTU/DMAyG70j8h8hI3LY0MMZamk6ID40jbEiDW9aYtiJx&#10;qiZbB78ec4KbrffR68fl8uidOOAQu0Aa1DQDgVQH21Gj4XXzOFmAiMmQNS4QavjCCMvq9KQ0hQ0j&#10;veBhnRrBJRQLo6FNqS+kjHWL3sRp6JE4+wiDN4nXoZF2MCOXeycvsmwuvemIL7Smx7sW68/13mtY&#10;Lfrbt6fwPTbu4X21fd7m95s8aX1+prIbEAmP6Q+GX31Wh4qddmFPNgqn4TKfXzOqYaKUAsHElZrx&#10;sNMw40RWpfz/QvUDUEsDBBQAAAAIAIdO4kC5kYml+gEAAPoDAAAOAAAAZHJzL2Uyb0RvYy54bWyt&#10;U8tu2zAQvBfoPxC815IdO44Fy0FQI0WBog2Q9hzQFGkR4Ktc2pL79V1Ssh2klxyqgzQkV8Od4XB9&#10;3xtNjiKAcram00lJibDcNcrua/rr5+OnO0ogMtsw7ayo6UkAvd98/LDufCVmrnW6EYEgiYWq8zVt&#10;Y/RVUQBvhWEwcV5YXJQuGBZxGPZFE1iH7EYXs7K8LToXGh8cFwA4ux0W6cgY3kPopFRcbB0/GGHj&#10;wBqEZhElQas80E3uVkrB4w8pQUSia4pKY37jJoh36V1s1qzaB+ZbxccW2HtaeKPJMGVx0wvVlkVG&#10;DkH9Q2UUDw6cjBPuTDEIyY6gimn5xpvnlnmRtaDV4C+mw/+j5d+PT4GopqbzcrWkxDKDZ/7Sl/i8&#10;QJ5DizoPFVY++6cwjgBh0tvLYNIXlZA+23q62Cr6SDhOLueL+d2KEo5LN7fLcrZKthfXn32A+EU4&#10;QxKoacBTy2ay4zeIQ+m5JO1l3aPSGudZpS3parpazBZIzzCNElOA0HhUBHafaV7VJ5otg5YcGQYC&#10;nFbNEAGjokjasCtt8ZMUDxoTiv2ux8UEd645oWN4gbDT1oU/lHQYHyT7fWBBUKK/WjyflLUzCGew&#10;OwNmOf5aU2x1gJ/jkMmDD2rfIvN07PzhEJ1U2YTr7mN/GInc8BjflLnX41x1vbK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PMvj/aAAAACgEAAA8AAAAAAAAAAQAgAAAAIgAAAGRycy9kb3ducmV2&#10;LnhtbFBLAQIUABQAAAAIAIdO4kC5kYml+gEAAPoDAAAOAAAAAAAAAAEAIAAAACkBAABkcnMvZTJv&#10;RG9jLnhtbFBLBQYAAAAABgAGAFkBAACVBQAAAAA=&#10;">
              <v:fill on="f" focussize="0,0"/>
              <v:stroke on="f" joinstyle="miter"/>
              <v:imagedata o:title=""/>
              <o:lock v:ext="edit" aspectratio="f"/>
              <v:textbox inset="0mm,0mm,0mm,0mm">
                <w:txbxContent>
                  <w:p w14:paraId="7CCE1F13">
                    <w:pPr>
                      <w:pStyle w:val="7"/>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FD47FF"/>
    <w:multiLevelType w:val="singleLevel"/>
    <w:tmpl w:val="39FD47F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000000"/>
    <w:rsid w:val="463A77F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Arial"/>
      <w:kern w:val="2"/>
      <w:sz w:val="21"/>
      <w:szCs w:val="22"/>
      <w:lang w:val="en-US" w:eastAsia="zh-CN" w:bidi="ar-SA"/>
    </w:rPr>
  </w:style>
  <w:style w:type="paragraph" w:styleId="3">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3"/>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4"/>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6">
    <w:name w:val="Normal Indent"/>
    <w:basedOn w:val="1"/>
    <w:qFormat/>
    <w:uiPriority w:val="0"/>
    <w:pPr>
      <w:ind w:firstLine="200" w:firstLineChars="200"/>
    </w:pPr>
  </w:style>
  <w:style w:type="paragraph" w:styleId="7">
    <w:name w:val="footer"/>
    <w:basedOn w:val="1"/>
    <w:next w:val="6"/>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2">
    <w:name w:val="heading 1 Char"/>
    <w:basedOn w:val="11"/>
    <w:link w:val="3"/>
    <w:qFormat/>
    <w:uiPriority w:val="0"/>
    <w:rPr>
      <w:rFonts w:ascii="等线" w:hAnsi="等线" w:eastAsia="等线" w:cs="Arial"/>
      <w:b/>
      <w:bCs/>
      <w:kern w:val="44"/>
      <w:sz w:val="44"/>
      <w:szCs w:val="44"/>
      <w:lang w:val="en-US" w:eastAsia="zh-CN" w:bidi="ar-SA"/>
    </w:rPr>
  </w:style>
  <w:style w:type="character" w:customStyle="1" w:styleId="13">
    <w:name w:val="heading 2 Char"/>
    <w:basedOn w:val="11"/>
    <w:link w:val="4"/>
    <w:uiPriority w:val="0"/>
    <w:rPr>
      <w:rFonts w:ascii="Times New Roman" w:hAnsi="Times New Roman" w:eastAsia="黑体" w:cs="Arial"/>
      <w:b/>
      <w:bCs/>
      <w:kern w:val="2"/>
      <w:sz w:val="32"/>
      <w:szCs w:val="32"/>
      <w:lang w:val="en-US" w:eastAsia="zh-CN" w:bidi="ar-SA"/>
    </w:rPr>
  </w:style>
  <w:style w:type="character" w:customStyle="1" w:styleId="14">
    <w:name w:val="heading 3 Char"/>
    <w:basedOn w:val="11"/>
    <w:link w:val="5"/>
    <w:qFormat/>
    <w:uiPriority w:val="0"/>
    <w:rPr>
      <w:rFonts w:ascii="等线" w:hAnsi="等线" w:eastAsia="等线"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AB6B6E-DDFD-46A8-BC93-70664953574B}">
  <ds:schemaRefs/>
</ds:datastoreItem>
</file>

<file path=docProps/app.xml><?xml version="1.0" encoding="utf-8"?>
<Properties xmlns="http://schemas.openxmlformats.org/officeDocument/2006/extended-properties" xmlns:vt="http://schemas.openxmlformats.org/officeDocument/2006/docPropsVTypes">
  <Template>Normal.eit</Template>
  <Pages>5</Pages>
  <Words>2211</Words>
  <Characters>2264</Characters>
  <Lines>0</Lines>
  <Paragraphs>38</Paragraphs>
  <TotalTime>42</TotalTime>
  <ScaleCrop>false</ScaleCrop>
  <LinksUpToDate>false</LinksUpToDate>
  <CharactersWithSpaces>2265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2021-05-20T07:24:00Z</dcterms:created>
  <dc:creator>Dell</dc:creator>
  <cp:lastModifiedBy>嘉柘</cp:lastModifiedBy>
  <cp:lastPrinted>2025-01-09T03:50:00Z</cp:lastPrinted>
  <dcterms:modified xsi:type="dcterms:W3CDTF">2026-03-26T07:49:14Z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E567F63973BE46738548CF8D0A86BCC0</vt:lpwstr>
  </property>
  <property fmtid="{D5CDD505-2E9C-101B-9397-08002B2CF9AE}" pid="4" name="KSOTemplateDocerSaveRecord">
    <vt:lpwstr>eyJoZGlkIjoiMTYzYjRlOGQyNmMyOGVmZDhlNWEwYzM2MTc2NjUyMmMiLCJ1c2VySWQiOiIxMDU5ODYyNTY1In0=</vt:lpwstr>
  </property>
</Properties>
</file>