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D7C0CE">
      <w:pPr>
        <w:keepNext w:val="0"/>
        <w:keepLines w:val="0"/>
        <w:pageBreakBefore w:val="0"/>
        <w:widowControl w:val="0"/>
        <w:kinsoku/>
        <w:wordWrap/>
        <w:overflowPunct/>
        <w:topLinePunct w:val="0"/>
        <w:autoSpaceDE/>
        <w:autoSpaceDN/>
        <w:bidi w:val="0"/>
        <w:adjustRightInd/>
        <w:snapToGrid/>
        <w:spacing w:line="6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w:t>
      </w:r>
      <w:r>
        <w:rPr>
          <w:rFonts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p>
    <w:p w14:paraId="34C69FAA">
      <w:pPr>
        <w:keepNext w:val="0"/>
        <w:keepLines w:val="0"/>
        <w:pageBreakBefore w:val="0"/>
        <w:widowControl w:val="0"/>
        <w:kinsoku/>
        <w:wordWrap/>
        <w:overflowPunct/>
        <w:topLinePunct w:val="0"/>
        <w:autoSpaceDE/>
        <w:autoSpaceDN/>
        <w:adjustRightInd/>
        <w:snapToGrid/>
        <w:spacing w:line="560" w:lineRule="exact"/>
        <w:jc w:val="center"/>
        <w:rPr>
          <w:rFonts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w:t>
      </w:r>
      <w:r>
        <w:rPr>
          <w:rFonts w:ascii="方正小标宋简体" w:hAnsi="方正小标宋简体" w:eastAsia="方正小标宋简体" w:cs="方正小标宋简体"/>
          <w:sz w:val="44"/>
          <w:szCs w:val="44"/>
          <w:lang w:val="en-US" w:eastAsia="zh-CN"/>
        </w:rPr>
        <w:t>6</w:t>
      </w:r>
      <w:r>
        <w:rPr>
          <w:rFonts w:hint="eastAsia" w:ascii="方正小标宋简体" w:hAnsi="方正小标宋简体" w:eastAsia="方正小标宋简体" w:cs="方正小标宋简体"/>
          <w:sz w:val="44"/>
          <w:szCs w:val="44"/>
          <w:lang w:val="en-US" w:eastAsia="zh-CN"/>
        </w:rPr>
        <w:t>年邢台市</w:t>
      </w:r>
      <w:r>
        <w:rPr>
          <w:rFonts w:ascii="方正小标宋简体" w:hAnsi="方正小标宋简体" w:eastAsia="方正小标宋简体" w:cs="方正小标宋简体"/>
          <w:sz w:val="44"/>
          <w:szCs w:val="44"/>
          <w:lang w:val="en-US" w:eastAsia="zh-CN"/>
        </w:rPr>
        <w:t>数码智能产品</w:t>
      </w:r>
      <w:r>
        <w:rPr>
          <w:rFonts w:hint="eastAsia" w:ascii="方正小标宋简体" w:hAnsi="方正小标宋简体" w:eastAsia="方正小标宋简体" w:cs="方正小标宋简体"/>
          <w:sz w:val="44"/>
          <w:szCs w:val="44"/>
          <w:lang w:val="en-US" w:eastAsia="zh-CN"/>
        </w:rPr>
        <w:t>以旧换新活动</w:t>
      </w:r>
    </w:p>
    <w:p w14:paraId="1F6810D9">
      <w:pPr>
        <w:keepNext w:val="0"/>
        <w:keepLines w:val="0"/>
        <w:pageBreakBefore w:val="0"/>
        <w:widowControl w:val="0"/>
        <w:kinsoku/>
        <w:wordWrap/>
        <w:overflowPunct/>
        <w:topLinePunct w:val="0"/>
        <w:autoSpaceDE/>
        <w:autoSpaceDN/>
        <w:adjustRightInd/>
        <w:snapToGrid/>
        <w:spacing w:line="560" w:lineRule="exact"/>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承办单位申报条件、</w:t>
      </w:r>
      <w:bookmarkStart w:id="0" w:name="_GoBack"/>
      <w:bookmarkEnd w:id="0"/>
      <w:r>
        <w:rPr>
          <w:rFonts w:ascii="方正小标宋简体" w:hAnsi="方正小标宋简体" w:eastAsia="方正小标宋简体" w:cs="方正小标宋简体"/>
          <w:sz w:val="44"/>
          <w:szCs w:val="44"/>
          <w:lang w:val="en-US" w:eastAsia="zh-CN"/>
        </w:rPr>
        <w:t>工作</w:t>
      </w:r>
      <w:r>
        <w:rPr>
          <w:rFonts w:hint="eastAsia" w:ascii="方正小标宋简体" w:hAnsi="方正小标宋简体" w:eastAsia="方正小标宋简体" w:cs="方正小标宋简体"/>
          <w:sz w:val="44"/>
          <w:szCs w:val="44"/>
          <w:lang w:val="en-US" w:eastAsia="zh-CN"/>
        </w:rPr>
        <w:t>要求与申报资料清单</w:t>
      </w:r>
    </w:p>
    <w:p w14:paraId="298145B5">
      <w:pPr>
        <w:keepNext w:val="0"/>
        <w:keepLines w:val="0"/>
        <w:pageBreakBefore w:val="0"/>
        <w:widowControl w:val="0"/>
        <w:kinsoku/>
        <w:wordWrap/>
        <w:overflowPunct/>
        <w:topLinePunct w:val="0"/>
        <w:autoSpaceDE/>
        <w:autoSpaceDN/>
        <w:bidi w:val="0"/>
        <w:adjustRightInd/>
        <w:snapToGrid/>
        <w:spacing w:line="360" w:lineRule="exact"/>
        <w:ind w:firstLine="640" w:firstLineChars="200"/>
        <w:textAlignment w:val="auto"/>
        <w:rPr>
          <w:rFonts w:hint="eastAsia" w:ascii="仿宋_GB2312" w:hAnsi="仿宋_GB2312" w:eastAsia="仿宋_GB2312" w:cs="仿宋_GB2312"/>
          <w:sz w:val="32"/>
          <w:szCs w:val="32"/>
          <w:lang w:val="en-US" w:eastAsia="zh-CN"/>
        </w:rPr>
      </w:pPr>
    </w:p>
    <w:p w14:paraId="20CEEB35">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一、申报条件</w:t>
      </w:r>
    </w:p>
    <w:p w14:paraId="5F1822EF">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（一）</w:t>
      </w:r>
      <w:r>
        <w:rPr>
          <w:rFonts w:hint="eastAsia" w:ascii="仿宋_GB2312" w:hAnsi="宋体" w:eastAsia="仿宋_GB2312" w:cs="仿宋_GB2312"/>
          <w:sz w:val="32"/>
          <w:szCs w:val="32"/>
        </w:rPr>
        <w:t>依法注册登记且独立结算的经营主体；</w:t>
      </w:r>
    </w:p>
    <w:p w14:paraId="4D7DFAC0">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（二）</w:t>
      </w:r>
      <w:r>
        <w:rPr>
          <w:rFonts w:hint="eastAsia" w:ascii="仿宋_GB2312" w:hAnsi="宋体" w:eastAsia="仿宋_GB2312" w:cs="仿宋_GB2312"/>
          <w:sz w:val="32"/>
          <w:szCs w:val="32"/>
        </w:rPr>
        <w:t>主营含数码产品零售业务</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rPr>
        <w:t>具有良好的财务会计制度</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rPr>
        <w:t>经营管理经验和商业信誉；</w:t>
      </w:r>
    </w:p>
    <w:p w14:paraId="0593D3B6">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（三）</w:t>
      </w:r>
      <w:r>
        <w:rPr>
          <w:rFonts w:hint="eastAsia" w:ascii="仿宋_GB2312" w:hAnsi="宋体" w:eastAsia="仿宋_GB2312" w:cs="仿宋_GB2312"/>
          <w:sz w:val="32"/>
          <w:szCs w:val="32"/>
        </w:rPr>
        <w:t>要主动与河北省数码产品信息化平台对接，备案上传参与产品品类、型号</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rPr>
        <w:t>价格等信息，按要求布设或升级改造相关收单机具，并具备完善的进销存订单管理系统和开具电子发票的能力；</w:t>
      </w:r>
    </w:p>
    <w:p w14:paraId="57B6FEB8">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（四）</w:t>
      </w:r>
      <w:r>
        <w:rPr>
          <w:rFonts w:hint="eastAsia" w:ascii="仿宋_GB2312" w:hAnsi="宋体" w:eastAsia="仿宋_GB2312" w:cs="仿宋_GB2312"/>
          <w:sz w:val="32"/>
          <w:szCs w:val="32"/>
        </w:rPr>
        <w:t>自愿参与并有一定的垫资和及时退回补贴资金的能力</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rPr>
        <w:t>建立完整清晰的活动台账，自愿接受政府相关部门及委派的第三方机构对活动进行监督、审计，并同意以审计结果作为补贴申请的最终依据；</w:t>
      </w:r>
    </w:p>
    <w:p w14:paraId="5D952635">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（五）</w:t>
      </w:r>
      <w:r>
        <w:rPr>
          <w:rFonts w:hint="eastAsia" w:ascii="仿宋_GB2312" w:hAnsi="宋体" w:eastAsia="仿宋_GB2312" w:cs="仿宋_GB2312"/>
          <w:sz w:val="32"/>
          <w:szCs w:val="32"/>
        </w:rPr>
        <w:t>能按核销和审计的要求，自愿使用第三方服务机构设备或系统上传相关资料，包括消费者信息、电子设备品牌型号、SN码、IMEI码、现场激活照片等；</w:t>
      </w:r>
    </w:p>
    <w:p w14:paraId="1B91D009">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（六）</w:t>
      </w:r>
      <w:r>
        <w:rPr>
          <w:rFonts w:hint="eastAsia" w:ascii="仿宋_GB2312" w:hAnsi="宋体" w:eastAsia="仿宋_GB2312" w:cs="仿宋_GB2312"/>
          <w:sz w:val="32"/>
          <w:szCs w:val="32"/>
        </w:rPr>
        <w:t>具备系统化防范骗补、套补等风险的制度和措施；</w:t>
      </w:r>
    </w:p>
    <w:p w14:paraId="3AAF29BA">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（七）</w:t>
      </w:r>
      <w:r>
        <w:rPr>
          <w:rFonts w:hint="eastAsia" w:ascii="仿宋_GB2312" w:hAnsi="宋体" w:eastAsia="仿宋_GB2312" w:cs="仿宋_GB2312"/>
          <w:sz w:val="32"/>
          <w:szCs w:val="32"/>
        </w:rPr>
        <w:t>具备退货退款与支付只能在同一渠道完成的系统，具备以旧换新监测统计的相关系统或手段，具备完善的消费支付、数据监测、退货退款的运营环境或系统，便于后台监测及销售情况跟踪统计；</w:t>
      </w:r>
    </w:p>
    <w:p w14:paraId="0AF12E80">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（八）</w:t>
      </w:r>
      <w:r>
        <w:rPr>
          <w:rFonts w:hint="eastAsia" w:ascii="仿宋_GB2312" w:hAnsi="宋体" w:eastAsia="仿宋_GB2312" w:cs="仿宋_GB2312"/>
          <w:sz w:val="32"/>
          <w:szCs w:val="32"/>
        </w:rPr>
        <w:t>资信状况良好，未被列为失信被执行人；近两年无重大安全事故。2024年以来参与我市各级政府消费券活动和以旧换新活动无违法违规记录；</w:t>
      </w:r>
    </w:p>
    <w:p w14:paraId="4F1B73AF">
      <w:pPr>
        <w:keepNext w:val="0"/>
        <w:keepLines w:val="0"/>
        <w:pageBreakBefore w:val="0"/>
        <w:widowControl w:val="0"/>
        <w:kinsoku/>
        <w:wordWrap/>
        <w:overflowPunct/>
        <w:topLinePunct w:val="0"/>
        <w:autoSpaceDE/>
        <w:autoSpaceDN/>
        <w:adjustRightInd/>
        <w:snapToGrid/>
        <w:spacing w:line="520" w:lineRule="exact"/>
        <w:ind w:firstLine="640" w:firstLineChars="200"/>
        <w:rPr>
          <w:rFonts w:ascii="仿宋_GB2312" w:hAnsi="宋体" w:eastAsia="仿宋_GB2312" w:cs="仿宋_GB2312"/>
          <w:sz w:val="32"/>
          <w:szCs w:val="32"/>
        </w:rPr>
      </w:pPr>
      <w:r>
        <w:rPr>
          <w:rFonts w:hint="eastAsia" w:ascii="仿宋_GB2312" w:hAnsi="仿宋_GB2312" w:eastAsia="仿宋_GB2312" w:cs="仿宋_GB2312"/>
          <w:sz w:val="32"/>
          <w:szCs w:val="32"/>
          <w:lang w:val="en-US" w:eastAsia="zh-CN"/>
        </w:rPr>
        <w:t>（九）</w:t>
      </w:r>
      <w:r>
        <w:rPr>
          <w:rFonts w:hint="eastAsia" w:ascii="仿宋_GB2312" w:hAnsi="宋体" w:eastAsia="仿宋_GB2312" w:cs="仿宋_GB2312"/>
          <w:sz w:val="32"/>
          <w:szCs w:val="32"/>
        </w:rPr>
        <w:t>参与主体自愿签订承诺书。严格遵守活动相关规定要求，规范经营，配合有关部门严防套补、骗补等行为。参与主体有违规、传播不实信息、不按照统筹安排有序开展数码产品促消费活动的，自愿接受相应惩处并退出参与主体名单。</w:t>
      </w:r>
    </w:p>
    <w:p w14:paraId="58C18F15">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宋体" w:hAnsi="宋体" w:eastAsia="方正黑体_GBK" w:cs="方正黑体_GBK"/>
          <w:sz w:val="32"/>
          <w:szCs w:val="32"/>
        </w:rPr>
      </w:pPr>
      <w:r>
        <w:rPr>
          <w:rFonts w:ascii="宋体" w:hAnsi="宋体" w:eastAsia="方正黑体_GBK" w:cs="方正黑体_GBK"/>
          <w:sz w:val="32"/>
          <w:szCs w:val="32"/>
        </w:rPr>
        <w:t>二</w:t>
      </w:r>
      <w:r>
        <w:rPr>
          <w:rFonts w:hint="eastAsia" w:ascii="宋体" w:hAnsi="宋体" w:eastAsia="方正黑体_GBK" w:cs="方正黑体_GBK"/>
          <w:sz w:val="32"/>
          <w:szCs w:val="32"/>
        </w:rPr>
        <w:t>、工作任务</w:t>
      </w:r>
    </w:p>
    <w:p w14:paraId="6775822E">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一）做好参加活动商品的报备工作。承办单位将参与补贴活动的商品品类及价格（佐证资料）备案资料，提供给各县（市、区）商务主管部门，审核通过，并与河北省以旧换新活动平台结合将参与活动的商品录入平台。参加活动的商品在卖场展示时，显著位置张贴授予活动标识，对未经授权使用经营者进行举报。</w:t>
      </w:r>
    </w:p>
    <w:p w14:paraId="7AA68CB5">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二）要主动与河北省以旧换新补贴活动平台对接，按要求布设或升级改造相关收单机具。活动中所有销售商品要使用符合要求的收单机具收单。采用支付立减方式对消费者进行补贴。按照包含政府补贴在内的实际销售价格开具全额电子发票。发票中销售货物的名称要规范，要明确商品的品牌、品类、规格型号、能效等级、享受的政府补贴金额等内容。</w:t>
      </w:r>
    </w:p>
    <w:p w14:paraId="5CC839A5">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三）建立完整清晰的活动台账，自愿接受政府相关部门及委派的第三方机构对本次活动进行监督、审计，并同意以审计结果作为补贴申请的最终依据。台账要详细记录活动中销售的每台商品的品类、品牌、规格型号、能效（水效）等级、销售价格、支付路径、支付金额、补贴金额等情况信息。活动中所有销售的商品要留存电子发票备查。</w:t>
      </w:r>
    </w:p>
    <w:p w14:paraId="0E7E6790">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（四）承办单位要指定专人或组建专业团队负责以旧换新工作，做好补贴活动政策宣传；公开电话，能及时妥善处理好消费者咨询和投诉。</w:t>
      </w:r>
    </w:p>
    <w:p w14:paraId="2F5DC6BA">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宋体" w:hAnsi="宋体" w:eastAsia="方正黑体_GBK" w:cs="方正黑体_GBK"/>
          <w:sz w:val="32"/>
          <w:szCs w:val="32"/>
        </w:rPr>
      </w:pPr>
      <w:r>
        <w:rPr>
          <w:rFonts w:ascii="宋体" w:hAnsi="宋体" w:eastAsia="方正黑体_GBK" w:cs="方正黑体_GBK"/>
          <w:sz w:val="32"/>
          <w:szCs w:val="32"/>
        </w:rPr>
        <w:t>三</w:t>
      </w:r>
      <w:r>
        <w:rPr>
          <w:rFonts w:hint="eastAsia" w:ascii="宋体" w:hAnsi="宋体" w:eastAsia="方正黑体_GBK" w:cs="方正黑体_GBK"/>
          <w:sz w:val="32"/>
          <w:szCs w:val="32"/>
        </w:rPr>
        <w:t>、工作要求</w:t>
      </w:r>
    </w:p>
    <w:p w14:paraId="70F875A3">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（一）承办单位对在活动参与过程中获取的政府相关信息负有保密义务，对活动中获取的消费者信息负有保密责任。</w:t>
      </w:r>
    </w:p>
    <w:p w14:paraId="6DC85400">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（二）参加活动商品的报备要严谨准确。对因活动商品报备不准确造成的补贴资金损失，由当事单位承担并追究责任；造成消费者损失的，追究当事单位责任。</w:t>
      </w:r>
    </w:p>
    <w:p w14:paraId="67138935">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（三）积极配合政府相关工作，按要求如实提供相关票证、台账和相关信息数据。自觉接受相关检查和审计。达到入统条件的单位，要按照国家有关规定和程序及时入统。</w:t>
      </w:r>
    </w:p>
    <w:p w14:paraId="13A584BF">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四）消费者在消费后退货的，承办单位应按照消费者补贴立减后实付金额以原路返回方式进行退款。并向补贴活动平台申请并取得同意，严禁通过其他方式进行退款。如补贴资金已拨付，承办单位须在3个工作日内将所退商品的补贴款归还至补贴活动平台资金账户。</w:t>
      </w:r>
    </w:p>
    <w:p w14:paraId="2F658018">
      <w:pPr>
        <w:keepNext w:val="0"/>
        <w:keepLines w:val="0"/>
        <w:pageBreakBefore w:val="0"/>
        <w:widowControl w:val="0"/>
        <w:numPr>
          <w:ilvl w:val="0"/>
          <w:numId w:val="1"/>
        </w:numPr>
        <w:kinsoku/>
        <w:wordWrap/>
        <w:overflowPunct/>
        <w:topLinePunct w:val="0"/>
        <w:autoSpaceDE w:val="0"/>
        <w:autoSpaceDN w:val="0"/>
        <w:adjustRightInd w:val="0"/>
        <w:snapToGrid w:val="0"/>
        <w:spacing w:line="560" w:lineRule="exact"/>
        <w:ind w:left="0"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承办单位在活动过程中不能按要求完成工作任务、违反工作要求、不配合相关工作，或因自身原因造成活动出现重大问题的，市商务局有权终止单位的活动参与资格，责令赔偿相关损失，必要时追究其法律责任。</w:t>
      </w:r>
    </w:p>
    <w:p w14:paraId="7DFD8774">
      <w:pPr>
        <w:keepNext w:val="0"/>
        <w:keepLines w:val="0"/>
        <w:pageBreakBefore w:val="0"/>
        <w:widowControl w:val="0"/>
        <w:numPr>
          <w:ilvl w:val="0"/>
          <w:numId w:val="1"/>
        </w:numPr>
        <w:kinsoku/>
        <w:wordWrap/>
        <w:overflowPunct/>
        <w:topLinePunct w:val="0"/>
        <w:autoSpaceDE w:val="0"/>
        <w:autoSpaceDN w:val="0"/>
        <w:adjustRightInd w:val="0"/>
        <w:snapToGrid w:val="0"/>
        <w:spacing w:line="560" w:lineRule="exact"/>
        <w:ind w:left="0"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保障农村居民享受补贴政策</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rPr>
        <w:t>支持县城综合商贸服务中心</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rPr>
        <w:t>乡镇商贸中心等县域商业多元主体参与补贴政策。鼓励大型商超、品牌专卖店、专业店等下沉农村市场的承办单位，采取流动“大篷车”下乡、农村市集、现场展销等方式将服务网络延伸至农村偏远地区。鼓励品牌连锁企业整合线上、线下资源，扩大连锁经营覆盖农村地区范围，提高农村地区消费便利度。</w:t>
      </w:r>
    </w:p>
    <w:p w14:paraId="75969035">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四、申报资料清单</w:t>
      </w:r>
    </w:p>
    <w:p w14:paraId="7EE33086">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（一）</w:t>
      </w:r>
      <w:r>
        <w:rPr>
          <w:rFonts w:hint="eastAsia" w:ascii="仿宋_GB2312" w:hAnsi="宋体" w:eastAsia="仿宋_GB2312" w:cs="仿宋_GB2312"/>
          <w:sz w:val="32"/>
          <w:szCs w:val="32"/>
        </w:rPr>
        <w:t>2026年</w:t>
      </w:r>
      <w:r>
        <w:rPr>
          <w:rFonts w:hint="eastAsia" w:ascii="仿宋_GB2312" w:hAnsi="宋体" w:eastAsia="仿宋_GB2312" w:cs="仿宋_GB2312"/>
          <w:sz w:val="32"/>
          <w:szCs w:val="32"/>
          <w:lang w:eastAsia="zh-CN"/>
        </w:rPr>
        <w:t>邢台</w:t>
      </w:r>
      <w:r>
        <w:rPr>
          <w:rFonts w:hint="eastAsia" w:ascii="仿宋_GB2312" w:hAnsi="宋体" w:eastAsia="仿宋_GB2312" w:cs="仿宋_GB2312"/>
          <w:sz w:val="32"/>
          <w:szCs w:val="32"/>
        </w:rPr>
        <w:t>市家电数码以旧换新承办单位申请表；</w:t>
      </w:r>
    </w:p>
    <w:p w14:paraId="1AB52B09">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（二）</w:t>
      </w:r>
      <w:r>
        <w:rPr>
          <w:rFonts w:hint="eastAsia" w:ascii="仿宋_GB2312" w:hAnsi="宋体" w:eastAsia="仿宋_GB2312" w:cs="仿宋_GB2312"/>
          <w:sz w:val="32"/>
          <w:szCs w:val="32"/>
        </w:rPr>
        <w:t>2026年</w:t>
      </w:r>
      <w:r>
        <w:rPr>
          <w:rFonts w:hint="eastAsia" w:ascii="仿宋_GB2312" w:hAnsi="宋体" w:eastAsia="仿宋_GB2312" w:cs="仿宋_GB2312"/>
          <w:sz w:val="32"/>
          <w:szCs w:val="32"/>
          <w:lang w:eastAsia="zh-CN"/>
        </w:rPr>
        <w:t>邢台</w:t>
      </w:r>
      <w:r>
        <w:rPr>
          <w:rFonts w:hint="eastAsia" w:ascii="仿宋_GB2312" w:hAnsi="宋体" w:eastAsia="仿宋_GB2312" w:cs="仿宋_GB2312"/>
          <w:sz w:val="32"/>
          <w:szCs w:val="32"/>
        </w:rPr>
        <w:t>市家电数码以旧换新承办单位承诺书；</w:t>
      </w:r>
    </w:p>
    <w:p w14:paraId="49E52DFE">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（三）</w:t>
      </w:r>
      <w:r>
        <w:rPr>
          <w:rFonts w:hint="eastAsia" w:ascii="仿宋_GB2312" w:hAnsi="宋体" w:eastAsia="仿宋_GB2312" w:cs="仿宋_GB2312"/>
          <w:sz w:val="32"/>
          <w:szCs w:val="32"/>
        </w:rPr>
        <w:t>营业执照、单位负责人身份证（正反面）和银行对公账户开户许可证复印件（包括开户银行、账号、行号等，并加盖公章）；</w:t>
      </w:r>
    </w:p>
    <w:p w14:paraId="44E76702">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（四）</w:t>
      </w:r>
      <w:r>
        <w:rPr>
          <w:rFonts w:hint="eastAsia" w:ascii="仿宋_GB2312" w:hAnsi="宋体" w:eastAsia="仿宋_GB2312" w:cs="仿宋_GB2312"/>
          <w:sz w:val="32"/>
          <w:szCs w:val="32"/>
        </w:rPr>
        <w:t>提供完善的进销存系统订单；使用水印相机提供经营地址照片（包括日期、经纬度）；</w:t>
      </w:r>
    </w:p>
    <w:p w14:paraId="31733C66">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（五）</w:t>
      </w:r>
      <w:r>
        <w:rPr>
          <w:rFonts w:hint="eastAsia" w:ascii="仿宋_GB2312" w:hAnsi="宋体" w:eastAsia="仿宋_GB2312" w:cs="仿宋_GB2312"/>
          <w:sz w:val="32"/>
          <w:szCs w:val="32"/>
        </w:rPr>
        <w:t>2025年度至今的完税证明；</w:t>
      </w:r>
    </w:p>
    <w:p w14:paraId="1DE73E08">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（六）</w:t>
      </w:r>
      <w:r>
        <w:rPr>
          <w:rFonts w:hint="eastAsia" w:ascii="仿宋_GB2312" w:hAnsi="宋体" w:eastAsia="仿宋_GB2312" w:cs="仿宋_GB2312"/>
          <w:sz w:val="32"/>
          <w:szCs w:val="32"/>
        </w:rPr>
        <w:t>下载“信用中国”网站(www.creditchina.gov.cn)《法人和非法人组织公共信用信息报告》、中国政府采购网(www.ccgp.gov.cn)“政府采购严重违法失信行为信息记录”；</w:t>
      </w:r>
    </w:p>
    <w:p w14:paraId="5CE31502">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（七）</w:t>
      </w:r>
      <w:r>
        <w:rPr>
          <w:rFonts w:hint="eastAsia" w:ascii="仿宋_GB2312" w:hAnsi="宋体" w:eastAsia="仿宋_GB2312" w:cs="仿宋_GB2312"/>
          <w:sz w:val="32"/>
          <w:szCs w:val="32"/>
        </w:rPr>
        <w:t>承办单位介绍及符合申报条件的相关业务、能力、经验的介绍和证明材料；</w:t>
      </w:r>
    </w:p>
    <w:p w14:paraId="56A3659F">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（八）</w:t>
      </w:r>
      <w:r>
        <w:rPr>
          <w:rFonts w:hint="eastAsia" w:ascii="仿宋_GB2312" w:hAnsi="宋体" w:eastAsia="仿宋_GB2312" w:cs="仿宋_GB2312"/>
          <w:sz w:val="32"/>
          <w:szCs w:val="32"/>
        </w:rPr>
        <w:t>单位参与活动工作方案，包括自身促销举措、以旧换新措施（包括宣传）等；</w:t>
      </w:r>
    </w:p>
    <w:p w14:paraId="3C9C2563">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（九）</w:t>
      </w:r>
      <w:r>
        <w:rPr>
          <w:rFonts w:hint="eastAsia" w:ascii="仿宋_GB2312" w:hAnsi="宋体" w:eastAsia="仿宋_GB2312" w:cs="仿宋_GB2312"/>
          <w:sz w:val="32"/>
          <w:szCs w:val="32"/>
        </w:rPr>
        <w:t>单位风险管控方案，包括对骗补、套补等行为的管控措施等</w:t>
      </w:r>
      <w:r>
        <w:rPr>
          <w:rFonts w:hint="eastAsia" w:ascii="仿宋_GB2312" w:hAnsi="宋体" w:eastAsia="仿宋_GB2312" w:cs="仿宋_GB2312"/>
          <w:sz w:val="32"/>
          <w:szCs w:val="32"/>
          <w:lang w:eastAsia="zh-CN"/>
        </w:rPr>
        <w:t>。</w:t>
      </w:r>
    </w:p>
    <w:p w14:paraId="148B126A">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申报材料一式二份，按顺序装订成册，加盖单位公章（材料整体盖骑缝章）。全套盖章纸质申报材料须扫描PDF电子版一并提交）。申报材料不予退回。</w:t>
      </w:r>
    </w:p>
    <w:sectPr>
      <w:footerReference r:id="rId3" w:type="default"/>
      <w:pgSz w:w="11906" w:h="16838"/>
      <w:pgMar w:top="1587" w:right="1474" w:bottom="1474" w:left="1474" w:header="851" w:footer="850" w:gutter="0"/>
      <w:cols w:space="0" w:num="1"/>
      <w:rtlGutter w:val="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黑体_GBK">
    <w:altName w:val="微软雅黑"/>
    <w:panose1 w:val="02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C49B2">
    <w:pPr>
      <w:pStyle w:val="7"/>
    </w:pPr>
    <w:r>
      <w:rPr>
        <w:sz w:val="18"/>
      </w:rPr>
      <mc:AlternateContent>
        <mc:Choice Requires="wps">
          <w:drawing>
            <wp:anchor distT="0" distB="0" distL="114300" distR="114300" simplePos="0" relativeHeight="251659264" behindDoc="0" locked="0" layoutInCell="1" allowOverlap="1">
              <wp:simplePos x="0" y="0"/>
              <wp:positionH relativeFrom="margin">
                <wp:posOffset>2519045</wp:posOffset>
              </wp:positionH>
              <wp:positionV relativeFrom="paragraph">
                <wp:posOffset>-70485</wp:posOffset>
              </wp:positionV>
              <wp:extent cx="745490" cy="367030"/>
              <wp:effectExtent l="0" t="0" r="0" b="0"/>
              <wp:wrapNone/>
              <wp:docPr id="4097" name="_x0000_s4097"/>
              <wp:cNvGraphicFramePr/>
              <a:graphic xmlns:a="http://schemas.openxmlformats.org/drawingml/2006/main">
                <a:graphicData uri="http://schemas.microsoft.com/office/word/2010/wordprocessingShape">
                  <wps:wsp>
                    <wps:cNvSpPr/>
                    <wps:spPr>
                      <a:xfrm>
                        <a:off x="0" y="0"/>
                        <a:ext cx="745489" cy="367029"/>
                      </a:xfrm>
                      <a:prstGeom prst="rect">
                        <a:avLst/>
                      </a:prstGeom>
                      <a:noFill/>
                      <a:ln w="9525" cap="flat" cmpd="sng">
                        <a:noFill/>
                        <a:prstDash val="solid"/>
                        <a:miter/>
                      </a:ln>
                    </wps:spPr>
                    <wps:txbx>
                      <w:txbxContent>
                        <w:p w14:paraId="37310616">
                          <w:pPr>
                            <w:pStyle w:val="7"/>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wps:txbx>
                    <wps:bodyPr vert="horz" wrap="square" lIns="0" tIns="0" rIns="0" bIns="0" anchor="t" anchorCtr="0" upright="1">
                      <a:noAutofit/>
                    </wps:bodyPr>
                  </wps:wsp>
                </a:graphicData>
              </a:graphic>
            </wp:anchor>
          </w:drawing>
        </mc:Choice>
        <mc:Fallback>
          <w:pict>
            <v:rect id="_x0000_s4097" o:spid="_x0000_s1026" o:spt="1" style="position:absolute;left:0pt;margin-left:198.35pt;margin-top:-5.55pt;height:28.9pt;width:58.7pt;mso-position-horizontal-relative:margin;z-index:251659264;mso-width-relative:page;mso-height-relative:page;" filled="f" stroked="f" coordsize="21600,21600" o:gfxdata="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FPMvj/aAAAACgEAAA8AAAAAAAAAAQAgAAAAIgAAAGRycy9kb3ducmV2&#10;LnhtbFBLAQIUABQAAAAIAIdO4kC5kYml+gEAAPoDAAAOAAAAAAAAAAEAIAAAACkBAABkcnMvZTJv&#10;RG9jLnhtbFBLBQYAAAAABgAGAFkBAACVBQAAAAA=&#10;">
              <v:fill on="f" focussize="0,0"/>
              <v:stroke on="f" joinstyle="miter"/>
              <v:imagedata o:title=""/>
              <o:lock v:ext="edit" aspectratio="f"/>
              <v:textbox inset="0mm,0mm,0mm,0mm">
                <w:txbxContent>
                  <w:p w14:paraId="37310616">
                    <w:pPr>
                      <w:pStyle w:val="7"/>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9FD47FF"/>
    <w:multiLevelType w:val="singleLevel"/>
    <w:tmpl w:val="39FD47F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9"/>
  <w:displayHorizontalDrawingGridEvery w:val="1"/>
  <w:displayVerticalDrawingGridEvery w:val="2"/>
  <w:noPunctuationKerning w:val="1"/>
  <w:characterSpacingControl w:val="compressPunctuation"/>
  <w:compat>
    <w:spaceForUL/>
    <w:balanceSingleByteDoubleByteWidth/>
    <w:ulTrailSpace/>
    <w:doNotExpandShiftReturn/>
    <w:adjustLineHeightInTable/>
    <w:useFELayout/>
    <w:doNotUseIndentAsNumberingTabStop/>
    <w:useAltKinsokuLineBreakRules/>
    <w:compatSetting w:name="compatibilityMode" w:uri="http://schemas.microsoft.com/office/word" w:val="12"/>
  </w:compat>
  <w:docVars>
    <w:docVar w:name="commondata" w:val="eyJoZGlkIjoiOTJhMzllOGZjZjY2YjYzNjBkZTk4NThkMzBhMzEzZTEifQ=="/>
    <w:docVar w:name="KSO_WPS_MARK_KEY" w:val="ed6af379-5551-4e00-a68e-35df0a1de064"/>
  </w:docVars>
  <w:rsids>
    <w:rsidRoot w:val="00000000"/>
    <w:rsid w:val="387A111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Arial"/>
      <w:kern w:val="2"/>
      <w:sz w:val="21"/>
      <w:szCs w:val="22"/>
      <w:lang w:val="en-US" w:eastAsia="zh-CN" w:bidi="ar-SA"/>
    </w:rPr>
  </w:style>
  <w:style w:type="paragraph" w:styleId="3">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13"/>
    <w:qFormat/>
    <w:uiPriority w:val="0"/>
    <w:pPr>
      <w:keepNext/>
      <w:keepLines/>
      <w:spacing w:before="260" w:after="260" w:line="415" w:lineRule="auto"/>
      <w:outlineLvl w:val="1"/>
    </w:pPr>
    <w:rPr>
      <w:rFonts w:ascii="Times New Roman" w:hAnsi="Times New Roman" w:eastAsia="黑体"/>
      <w:b/>
      <w:bCs/>
      <w:sz w:val="32"/>
      <w:szCs w:val="32"/>
    </w:rPr>
  </w:style>
  <w:style w:type="paragraph" w:styleId="5">
    <w:name w:val="heading 3"/>
    <w:basedOn w:val="1"/>
    <w:next w:val="1"/>
    <w:link w:val="14"/>
    <w:qFormat/>
    <w:uiPriority w:val="0"/>
    <w:pPr>
      <w:keepNext/>
      <w:keepLines/>
      <w:spacing w:before="260" w:after="260" w:line="415" w:lineRule="auto"/>
      <w:outlineLvl w:val="2"/>
    </w:pPr>
    <w:rPr>
      <w:b/>
      <w:bCs/>
      <w:sz w:val="32"/>
      <w:szCs w:val="32"/>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customStyle="1" w:styleId="2">
    <w:name w:val="_Style 1"/>
    <w:basedOn w:val="1"/>
    <w:qFormat/>
    <w:uiPriority w:val="0"/>
    <w:pPr>
      <w:ind w:firstLine="200" w:firstLineChars="200"/>
    </w:pPr>
    <w:rPr>
      <w:rFonts w:ascii="宋体" w:hAnsi="宋体" w:eastAsia="仿宋_GB2312"/>
      <w:sz w:val="32"/>
      <w:szCs w:val="32"/>
    </w:rPr>
  </w:style>
  <w:style w:type="paragraph" w:styleId="6">
    <w:name w:val="Normal Indent"/>
    <w:basedOn w:val="1"/>
    <w:qFormat/>
    <w:uiPriority w:val="0"/>
    <w:pPr>
      <w:ind w:firstLine="200" w:firstLineChars="200"/>
    </w:pPr>
  </w:style>
  <w:style w:type="paragraph" w:styleId="7">
    <w:name w:val="footer"/>
    <w:basedOn w:val="1"/>
    <w:next w:val="6"/>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rPr>
  </w:style>
  <w:style w:type="character" w:customStyle="1" w:styleId="12">
    <w:name w:val="heading 1 Char"/>
    <w:basedOn w:val="11"/>
    <w:link w:val="3"/>
    <w:qFormat/>
    <w:uiPriority w:val="0"/>
    <w:rPr>
      <w:rFonts w:ascii="等线" w:hAnsi="等线" w:eastAsia="等线" w:cs="Arial"/>
      <w:b/>
      <w:bCs/>
      <w:kern w:val="44"/>
      <w:sz w:val="44"/>
      <w:szCs w:val="44"/>
      <w:lang w:val="en-US" w:eastAsia="zh-CN" w:bidi="ar-SA"/>
    </w:rPr>
  </w:style>
  <w:style w:type="character" w:customStyle="1" w:styleId="13">
    <w:name w:val="heading 2 Char"/>
    <w:basedOn w:val="11"/>
    <w:link w:val="4"/>
    <w:qFormat/>
    <w:uiPriority w:val="0"/>
    <w:rPr>
      <w:rFonts w:ascii="Times New Roman" w:hAnsi="Times New Roman" w:eastAsia="黑体" w:cs="Arial"/>
      <w:b/>
      <w:bCs/>
      <w:kern w:val="2"/>
      <w:sz w:val="32"/>
      <w:szCs w:val="32"/>
      <w:lang w:val="en-US" w:eastAsia="zh-CN" w:bidi="ar-SA"/>
    </w:rPr>
  </w:style>
  <w:style w:type="character" w:customStyle="1" w:styleId="14">
    <w:name w:val="heading 3 Char"/>
    <w:basedOn w:val="11"/>
    <w:link w:val="5"/>
    <w:qFormat/>
    <w:uiPriority w:val="0"/>
    <w:rPr>
      <w:rFonts w:ascii="等线" w:hAnsi="等线" w:eastAsia="等线" w:cs="Arial"/>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9820E3E-C6C9-4B88-8F82-338EE2F8CF5B}">
  <ds:schemaRefs/>
</ds:datastoreItem>
</file>

<file path=docProps/app.xml><?xml version="1.0" encoding="utf-8"?>
<Properties xmlns="http://schemas.openxmlformats.org/officeDocument/2006/extended-properties" xmlns:vt="http://schemas.openxmlformats.org/officeDocument/2006/docPropsVTypes">
  <Template>Normal.eit</Template>
  <Pages>5</Pages>
  <Words>2114</Words>
  <Characters>2174</Characters>
  <Lines>0</Lines>
  <Paragraphs>37</Paragraphs>
  <TotalTime>23</TotalTime>
  <ScaleCrop>false</ScaleCrop>
  <LinksUpToDate>false</LinksUpToDate>
  <CharactersWithSpaces>2175</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2021-05-20T07:24:00Z</dcterms:created>
  <dc:creator>Dell</dc:creator>
  <cp:lastModifiedBy>嘉柘</cp:lastModifiedBy>
  <cp:lastPrinted>2025-01-09T03:50:00Z</cp:lastPrinted>
  <dcterms:modified xsi:type="dcterms:W3CDTF">2026-03-26T07:49:52Z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E567F63973BE46738548CF8D0A86BCC0</vt:lpwstr>
  </property>
  <property fmtid="{D5CDD505-2E9C-101B-9397-08002B2CF9AE}" pid="4" name="KSOTemplateDocerSaveRecord">
    <vt:lpwstr>eyJoZGlkIjoiMTYzYjRlOGQyNmMyOGVmZDhlNWEwYzM2MTc2NjUyMmMiLCJ1c2VySWQiOiIxMDU5ODYyNTY1In0=</vt:lpwstr>
  </property>
</Properties>
</file>