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2DD4B">
      <w:pPr>
        <w:jc w:val="center"/>
        <w:rPr>
          <w:rFonts w:ascii="宋体" w:cs="Times New Roman"/>
          <w:b/>
          <w:bCs/>
          <w:sz w:val="72"/>
          <w:szCs w:val="72"/>
        </w:rPr>
      </w:pPr>
      <w:r>
        <w:rPr>
          <w:rFonts w:ascii="宋体" w:hAnsi="宋体" w:cs="宋体"/>
          <w:b/>
          <w:bCs/>
          <w:sz w:val="72"/>
          <w:szCs w:val="72"/>
        </w:rPr>
        <w:t>2022</w:t>
      </w:r>
      <w:r>
        <w:rPr>
          <w:rFonts w:hint="eastAsia" w:ascii="宋体" w:hAnsi="宋体" w:cs="宋体"/>
          <w:b/>
          <w:bCs/>
          <w:sz w:val="72"/>
          <w:szCs w:val="72"/>
        </w:rPr>
        <w:t>年纪</w:t>
      </w:r>
      <w:bookmarkStart w:id="1" w:name="_GoBack"/>
      <w:bookmarkEnd w:id="1"/>
      <w:r>
        <w:rPr>
          <w:rFonts w:hint="eastAsia" w:ascii="宋体" w:hAnsi="宋体" w:cs="宋体"/>
          <w:b/>
          <w:bCs/>
          <w:sz w:val="72"/>
          <w:szCs w:val="72"/>
        </w:rPr>
        <w:t>昌庄镇部门预算</w:t>
      </w:r>
    </w:p>
    <w:p w14:paraId="7469146E">
      <w:pPr>
        <w:jc w:val="center"/>
        <w:rPr>
          <w:rFonts w:ascii="宋体-方正超大字符集" w:hAnsi="宋体-方正超大字符集" w:eastAsia="宋体-方正超大字符集" w:cs="Times New Roman"/>
          <w:b/>
          <w:bCs/>
          <w:sz w:val="36"/>
          <w:szCs w:val="36"/>
        </w:rPr>
      </w:pPr>
    </w:p>
    <w:p w14:paraId="0819567B">
      <w:pPr>
        <w:jc w:val="center"/>
        <w:rPr>
          <w:rFonts w:ascii="宋体-方正超大字符集" w:hAnsi="宋体-方正超大字符集" w:eastAsia="宋体-方正超大字符集" w:cs="Times New Roman"/>
          <w:b/>
          <w:bCs/>
          <w:sz w:val="36"/>
          <w:szCs w:val="36"/>
        </w:rPr>
      </w:pPr>
    </w:p>
    <w:p w14:paraId="7B4FD84E">
      <w:pPr>
        <w:jc w:val="center"/>
        <w:rPr>
          <w:rFonts w:ascii="宋体-方正超大字符集" w:hAnsi="宋体-方正超大字符集" w:eastAsia="宋体-方正超大字符集" w:cs="Times New Roman"/>
          <w:b/>
          <w:bCs/>
          <w:sz w:val="36"/>
          <w:szCs w:val="36"/>
        </w:rPr>
      </w:pPr>
    </w:p>
    <w:p w14:paraId="66DF9902">
      <w:pPr>
        <w:jc w:val="center"/>
        <w:rPr>
          <w:rFonts w:ascii="宋体-方正超大字符集" w:hAnsi="宋体-方正超大字符集" w:eastAsia="宋体-方正超大字符集" w:cs="Times New Roman"/>
          <w:b/>
          <w:bCs/>
          <w:sz w:val="36"/>
          <w:szCs w:val="36"/>
        </w:rPr>
      </w:pPr>
    </w:p>
    <w:p w14:paraId="26885CD8">
      <w:pPr>
        <w:jc w:val="center"/>
        <w:rPr>
          <w:rFonts w:ascii="宋体-方正超大字符集" w:hAnsi="宋体-方正超大字符集" w:eastAsia="宋体-方正超大字符集" w:cs="Times New Roman"/>
          <w:b/>
          <w:bCs/>
          <w:sz w:val="36"/>
          <w:szCs w:val="36"/>
        </w:rPr>
      </w:pPr>
    </w:p>
    <w:p w14:paraId="302EF01C">
      <w:pPr>
        <w:jc w:val="center"/>
        <w:rPr>
          <w:rFonts w:ascii="宋体-方正超大字符集" w:hAnsi="宋体-方正超大字符集" w:eastAsia="宋体-方正超大字符集" w:cs="Times New Roman"/>
          <w:b/>
          <w:bCs/>
          <w:sz w:val="36"/>
          <w:szCs w:val="36"/>
        </w:rPr>
      </w:pPr>
    </w:p>
    <w:p w14:paraId="47B682BC">
      <w:pPr>
        <w:jc w:val="center"/>
        <w:rPr>
          <w:rFonts w:ascii="宋体-方正超大字符集" w:hAnsi="宋体-方正超大字符集" w:eastAsia="宋体-方正超大字符集" w:cs="Times New Roman"/>
          <w:b/>
          <w:bCs/>
          <w:sz w:val="36"/>
          <w:szCs w:val="36"/>
        </w:rPr>
      </w:pPr>
    </w:p>
    <w:p w14:paraId="0A1E2717">
      <w:pPr>
        <w:jc w:val="center"/>
        <w:rPr>
          <w:rFonts w:ascii="宋体-方正超大字符集" w:hAnsi="宋体-方正超大字符集" w:eastAsia="宋体-方正超大字符集" w:cs="Times New Roman"/>
          <w:b/>
          <w:bCs/>
          <w:sz w:val="36"/>
          <w:szCs w:val="36"/>
        </w:rPr>
      </w:pPr>
    </w:p>
    <w:p w14:paraId="332CF1FB">
      <w:pPr>
        <w:jc w:val="center"/>
        <w:rPr>
          <w:rFonts w:ascii="宋体-方正超大字符集" w:hAnsi="宋体-方正超大字符集" w:eastAsia="宋体-方正超大字符集" w:cs="Times New Roman"/>
          <w:b/>
          <w:bCs/>
          <w:sz w:val="36"/>
          <w:szCs w:val="36"/>
        </w:rPr>
      </w:pPr>
    </w:p>
    <w:p w14:paraId="2232C928">
      <w:pPr>
        <w:jc w:val="center"/>
        <w:rPr>
          <w:rFonts w:ascii="宋体-方正超大字符集" w:hAnsi="宋体-方正超大字符集" w:eastAsia="宋体-方正超大字符集" w:cs="Times New Roman"/>
          <w:b/>
          <w:bCs/>
          <w:sz w:val="36"/>
          <w:szCs w:val="36"/>
        </w:rPr>
      </w:pPr>
      <w:r>
        <w:rPr>
          <w:rFonts w:hint="eastAsia" w:ascii="宋体-方正超大字符集" w:hAnsi="宋体-方正超大字符集" w:eastAsia="宋体-方正超大字符集" w:cs="宋体-方正超大字符集"/>
          <w:b/>
          <w:bCs/>
          <w:sz w:val="36"/>
          <w:szCs w:val="36"/>
        </w:rPr>
        <w:t>宁晋县纪昌庄镇财政工作办公室编制</w:t>
      </w:r>
    </w:p>
    <w:p w14:paraId="498FF8F9">
      <w:pPr>
        <w:jc w:val="center"/>
        <w:rPr>
          <w:rFonts w:ascii="宋体-方正超大字符集" w:hAnsi="宋体-方正超大字符集" w:eastAsia="宋体-方正超大字符集" w:cs="Times New Roman"/>
          <w:b/>
          <w:bCs/>
          <w:sz w:val="36"/>
          <w:szCs w:val="36"/>
        </w:rPr>
      </w:pPr>
      <w:r>
        <w:rPr>
          <w:rFonts w:hint="eastAsia" w:ascii="宋体-方正超大字符集" w:hAnsi="宋体-方正超大字符集" w:eastAsia="宋体-方正超大字符集" w:cs="宋体-方正超大字符集"/>
          <w:b/>
          <w:bCs/>
          <w:sz w:val="36"/>
          <w:szCs w:val="36"/>
        </w:rPr>
        <w:t>宁晋县财政局审核</w:t>
      </w:r>
    </w:p>
    <w:p w14:paraId="61BC5E81">
      <w:pPr>
        <w:jc w:val="center"/>
        <w:rPr>
          <w:rFonts w:ascii="宋体-方正超大字符集" w:hAnsi="宋体-方正超大字符集" w:eastAsia="宋体-方正超大字符集" w:cs="Times New Roman"/>
          <w:b/>
          <w:bCs/>
          <w:sz w:val="36"/>
          <w:szCs w:val="36"/>
        </w:rPr>
      </w:pPr>
      <w:r>
        <w:rPr>
          <w:rFonts w:hint="eastAsia" w:ascii="宋体-方正超大字符集" w:hAnsi="宋体-方正超大字符集" w:eastAsia="宋体-方正超大字符集" w:cs="宋体-方正超大字符集"/>
          <w:b/>
          <w:bCs/>
          <w:sz w:val="36"/>
          <w:szCs w:val="36"/>
        </w:rPr>
        <w:t>宁晋县纪昌庄镇人民政府</w:t>
      </w:r>
    </w:p>
    <w:p w14:paraId="40F4ED3C">
      <w:pPr>
        <w:jc w:val="center"/>
        <w:rPr>
          <w:rFonts w:cs="Times New Roman"/>
          <w:b/>
          <w:bCs/>
          <w:sz w:val="44"/>
          <w:szCs w:val="44"/>
        </w:rPr>
      </w:pPr>
      <w:r>
        <w:rPr>
          <w:rFonts w:ascii="宋体-方正超大字符集" w:hAnsi="宋体-方正超大字符集" w:eastAsia="宋体-方正超大字符集" w:cs="宋体-方正超大字符集"/>
          <w:b/>
          <w:bCs/>
          <w:sz w:val="36"/>
          <w:szCs w:val="36"/>
        </w:rPr>
        <w:t>2022</w:t>
      </w:r>
      <w:r>
        <w:rPr>
          <w:rFonts w:hint="eastAsia" w:ascii="宋体-方正超大字符集" w:hAnsi="宋体-方正超大字符集" w:eastAsia="宋体-方正超大字符集" w:cs="宋体-方正超大字符集"/>
          <w:b/>
          <w:bCs/>
          <w:sz w:val="36"/>
          <w:szCs w:val="36"/>
        </w:rPr>
        <w:t>年部门预算信息公开目录</w:t>
      </w:r>
    </w:p>
    <w:p w14:paraId="4186A3EA">
      <w:pPr>
        <w:ind w:firstLine="600" w:firstLineChars="200"/>
        <w:rPr>
          <w:rFonts w:ascii="仿宋_GB2312" w:hAnsi="仿宋_GB2312" w:eastAsia="仿宋_GB2312" w:cs="Times New Roman"/>
          <w:sz w:val="30"/>
          <w:szCs w:val="30"/>
        </w:rPr>
      </w:pPr>
      <w:r>
        <w:rPr>
          <w:rFonts w:hint="eastAsia" w:ascii="仿宋_GB2312" w:hAnsi="仿宋_GB2312" w:eastAsia="仿宋_GB2312" w:cs="仿宋_GB2312"/>
          <w:sz w:val="30"/>
          <w:szCs w:val="30"/>
        </w:rPr>
        <w:t>一、</w:t>
      </w:r>
      <w:r>
        <w:rPr>
          <w:rFonts w:ascii="仿宋_GB2312" w:hAnsi="仿宋_GB2312" w:eastAsia="仿宋_GB2312" w:cs="仿宋_GB2312"/>
          <w:sz w:val="30"/>
          <w:szCs w:val="30"/>
        </w:rPr>
        <w:t>2022</w:t>
      </w:r>
      <w:r>
        <w:rPr>
          <w:rFonts w:hint="eastAsia" w:ascii="仿宋_GB2312" w:hAnsi="仿宋_GB2312" w:eastAsia="仿宋_GB2312" w:cs="仿宋_GB2312"/>
          <w:sz w:val="30"/>
          <w:szCs w:val="30"/>
        </w:rPr>
        <w:t>年部门预算公开表</w:t>
      </w:r>
    </w:p>
    <w:p w14:paraId="5D2BECB7">
      <w:pPr>
        <w:numPr>
          <w:ilvl w:val="0"/>
          <w:numId w:val="1"/>
        </w:numPr>
        <w:ind w:firstLine="600" w:firstLineChars="200"/>
        <w:rPr>
          <w:rFonts w:ascii="仿宋_GB2312" w:hAnsi="仿宋_GB2312" w:eastAsia="仿宋_GB2312" w:cs="Times New Roman"/>
          <w:sz w:val="30"/>
          <w:szCs w:val="30"/>
        </w:rPr>
      </w:pPr>
      <w:r>
        <w:rPr>
          <w:rFonts w:hint="eastAsia" w:ascii="仿宋_GB2312" w:hAnsi="仿宋_GB2312" w:eastAsia="仿宋_GB2312" w:cs="仿宋_GB2312"/>
          <w:sz w:val="30"/>
          <w:szCs w:val="30"/>
        </w:rPr>
        <w:t>部门预算收支总表</w:t>
      </w:r>
    </w:p>
    <w:p w14:paraId="4B104901">
      <w:pPr>
        <w:numPr>
          <w:ilvl w:val="0"/>
          <w:numId w:val="1"/>
        </w:numPr>
        <w:ind w:firstLine="600" w:firstLineChars="200"/>
        <w:rPr>
          <w:rFonts w:ascii="仿宋_GB2312" w:hAnsi="仿宋_GB2312" w:eastAsia="仿宋_GB2312" w:cs="Times New Roman"/>
          <w:sz w:val="30"/>
          <w:szCs w:val="30"/>
        </w:rPr>
      </w:pPr>
      <w:r>
        <w:rPr>
          <w:rFonts w:hint="eastAsia" w:ascii="仿宋_GB2312" w:hAnsi="仿宋_GB2312" w:eastAsia="仿宋_GB2312" w:cs="仿宋_GB2312"/>
          <w:sz w:val="30"/>
          <w:szCs w:val="30"/>
        </w:rPr>
        <w:t>部门预算收入总表</w:t>
      </w:r>
    </w:p>
    <w:p w14:paraId="08C23FCD">
      <w:pPr>
        <w:numPr>
          <w:ilvl w:val="0"/>
          <w:numId w:val="1"/>
        </w:numPr>
        <w:ind w:firstLine="600" w:firstLineChars="200"/>
        <w:rPr>
          <w:rFonts w:ascii="仿宋_GB2312" w:hAnsi="仿宋_GB2312" w:eastAsia="仿宋_GB2312" w:cs="Times New Roman"/>
          <w:sz w:val="30"/>
          <w:szCs w:val="30"/>
        </w:rPr>
      </w:pPr>
      <w:r>
        <w:rPr>
          <w:rFonts w:hint="eastAsia" w:ascii="仿宋_GB2312" w:hAnsi="仿宋_GB2312" w:eastAsia="仿宋_GB2312" w:cs="仿宋_GB2312"/>
          <w:sz w:val="30"/>
          <w:szCs w:val="30"/>
        </w:rPr>
        <w:t>部门预算支出总表</w:t>
      </w:r>
    </w:p>
    <w:p w14:paraId="06880DDC">
      <w:pPr>
        <w:numPr>
          <w:ilvl w:val="0"/>
          <w:numId w:val="1"/>
        </w:numPr>
        <w:ind w:firstLine="600" w:firstLineChars="200"/>
        <w:rPr>
          <w:rFonts w:ascii="仿宋_GB2312" w:hAnsi="仿宋_GB2312" w:eastAsia="仿宋_GB2312" w:cs="Times New Roman"/>
          <w:sz w:val="30"/>
          <w:szCs w:val="30"/>
        </w:rPr>
      </w:pPr>
      <w:r>
        <w:rPr>
          <w:rFonts w:hint="eastAsia" w:ascii="仿宋_GB2312" w:hAnsi="仿宋_GB2312" w:eastAsia="仿宋_GB2312" w:cs="仿宋_GB2312"/>
          <w:sz w:val="30"/>
          <w:szCs w:val="30"/>
        </w:rPr>
        <w:t>部门预算财政拨款收支总表</w:t>
      </w:r>
    </w:p>
    <w:p w14:paraId="73A89190">
      <w:pPr>
        <w:numPr>
          <w:ilvl w:val="0"/>
          <w:numId w:val="1"/>
        </w:numPr>
        <w:ind w:firstLine="600" w:firstLineChars="200"/>
        <w:rPr>
          <w:rFonts w:ascii="仿宋_GB2312" w:hAnsi="仿宋_GB2312" w:eastAsia="仿宋_GB2312" w:cs="Times New Roman"/>
          <w:sz w:val="30"/>
          <w:szCs w:val="30"/>
        </w:rPr>
      </w:pPr>
      <w:r>
        <w:rPr>
          <w:rFonts w:hint="eastAsia" w:ascii="仿宋_GB2312" w:hAnsi="仿宋_GB2312" w:eastAsia="仿宋_GB2312" w:cs="仿宋_GB2312"/>
          <w:sz w:val="30"/>
          <w:szCs w:val="30"/>
        </w:rPr>
        <w:t>部门预算一般公共预算财政拨款支出表</w:t>
      </w:r>
    </w:p>
    <w:p w14:paraId="4A9F5B8B">
      <w:pPr>
        <w:numPr>
          <w:ilvl w:val="0"/>
          <w:numId w:val="1"/>
        </w:numPr>
        <w:ind w:firstLine="600" w:firstLineChars="200"/>
        <w:rPr>
          <w:rFonts w:ascii="仿宋_GB2312" w:hAnsi="仿宋_GB2312" w:eastAsia="仿宋_GB2312" w:cs="Times New Roman"/>
          <w:sz w:val="30"/>
          <w:szCs w:val="30"/>
        </w:rPr>
      </w:pPr>
      <w:r>
        <w:rPr>
          <w:rFonts w:hint="eastAsia" w:ascii="仿宋_GB2312" w:hAnsi="仿宋_GB2312" w:eastAsia="仿宋_GB2312" w:cs="仿宋_GB2312"/>
          <w:sz w:val="30"/>
          <w:szCs w:val="30"/>
        </w:rPr>
        <w:t>部门预算一般公共预算财政拨款基本支出表</w:t>
      </w:r>
    </w:p>
    <w:p w14:paraId="22755C42">
      <w:pPr>
        <w:numPr>
          <w:ilvl w:val="0"/>
          <w:numId w:val="1"/>
        </w:numPr>
        <w:ind w:firstLine="600" w:firstLineChars="200"/>
        <w:rPr>
          <w:rFonts w:ascii="仿宋_GB2312" w:hAnsi="仿宋_GB2312" w:eastAsia="仿宋_GB2312" w:cs="Times New Roman"/>
          <w:sz w:val="30"/>
          <w:szCs w:val="30"/>
        </w:rPr>
      </w:pPr>
      <w:r>
        <w:rPr>
          <w:rFonts w:hint="eastAsia" w:ascii="仿宋_GB2312" w:hAnsi="仿宋_GB2312" w:eastAsia="仿宋_GB2312" w:cs="仿宋_GB2312"/>
          <w:sz w:val="30"/>
          <w:szCs w:val="30"/>
        </w:rPr>
        <w:t>部门预算政府基金预算财政拨款支出表</w:t>
      </w:r>
    </w:p>
    <w:p w14:paraId="12523420">
      <w:pPr>
        <w:numPr>
          <w:ilvl w:val="0"/>
          <w:numId w:val="1"/>
        </w:numPr>
        <w:ind w:firstLine="600" w:firstLineChars="200"/>
        <w:rPr>
          <w:rFonts w:ascii="仿宋_GB2312" w:hAnsi="仿宋_GB2312" w:eastAsia="仿宋_GB2312" w:cs="Times New Roman"/>
          <w:sz w:val="30"/>
          <w:szCs w:val="30"/>
        </w:rPr>
      </w:pPr>
      <w:r>
        <w:rPr>
          <w:rFonts w:hint="eastAsia" w:ascii="仿宋_GB2312" w:hAnsi="仿宋_GB2312" w:eastAsia="仿宋_GB2312" w:cs="仿宋_GB2312"/>
          <w:sz w:val="30"/>
          <w:szCs w:val="30"/>
        </w:rPr>
        <w:t>部门预算国有资本经营预算财政拨款支出表</w:t>
      </w:r>
    </w:p>
    <w:p w14:paraId="57D8728B">
      <w:pPr>
        <w:numPr>
          <w:ilvl w:val="0"/>
          <w:numId w:val="1"/>
        </w:numPr>
        <w:ind w:firstLine="600" w:firstLineChars="200"/>
        <w:rPr>
          <w:rFonts w:ascii="仿宋_GB2312" w:hAnsi="仿宋_GB2312" w:eastAsia="仿宋_GB2312" w:cs="Times New Roman"/>
          <w:sz w:val="30"/>
          <w:szCs w:val="30"/>
        </w:rPr>
      </w:pPr>
      <w:r>
        <w:rPr>
          <w:rFonts w:hint="eastAsia" w:ascii="仿宋_GB2312" w:hAnsi="仿宋_GB2312" w:eastAsia="仿宋_GB2312" w:cs="仿宋_GB2312"/>
          <w:sz w:val="30"/>
          <w:szCs w:val="30"/>
        </w:rPr>
        <w:t>部门预算财政拨款“三公”经费支出表</w:t>
      </w:r>
    </w:p>
    <w:p w14:paraId="5720263B">
      <w:pPr>
        <w:ind w:firstLine="600" w:firstLineChars="200"/>
        <w:rPr>
          <w:rFonts w:ascii="仿宋_GB2312" w:hAnsi="仿宋_GB2312" w:eastAsia="仿宋_GB2312" w:cs="Times New Roman"/>
          <w:sz w:val="30"/>
          <w:szCs w:val="30"/>
        </w:rPr>
      </w:pPr>
    </w:p>
    <w:p w14:paraId="4CF7B2F6">
      <w:pPr>
        <w:ind w:firstLine="600" w:firstLineChars="200"/>
        <w:rPr>
          <w:rFonts w:ascii="仿宋_GB2312" w:hAnsi="仿宋_GB2312" w:eastAsia="仿宋_GB2312" w:cs="Times New Roman"/>
          <w:sz w:val="30"/>
          <w:szCs w:val="30"/>
        </w:rPr>
      </w:pPr>
      <w:r>
        <w:rPr>
          <w:rFonts w:hint="eastAsia" w:ascii="仿宋_GB2312" w:hAnsi="仿宋_GB2312" w:eastAsia="仿宋_GB2312" w:cs="仿宋_GB2312"/>
          <w:sz w:val="30"/>
          <w:szCs w:val="30"/>
        </w:rPr>
        <w:t>二、</w:t>
      </w:r>
      <w:r>
        <w:rPr>
          <w:rFonts w:ascii="仿宋_GB2312" w:hAnsi="仿宋_GB2312" w:eastAsia="仿宋_GB2312" w:cs="仿宋_GB2312"/>
          <w:sz w:val="30"/>
          <w:szCs w:val="30"/>
        </w:rPr>
        <w:t>2022</w:t>
      </w:r>
      <w:r>
        <w:rPr>
          <w:rFonts w:hint="eastAsia" w:ascii="仿宋_GB2312" w:hAnsi="仿宋_GB2312" w:eastAsia="仿宋_GB2312" w:cs="仿宋_GB2312"/>
          <w:sz w:val="30"/>
          <w:szCs w:val="30"/>
        </w:rPr>
        <w:t>年预算说明</w:t>
      </w:r>
    </w:p>
    <w:p w14:paraId="2AE219B0">
      <w:pPr>
        <w:numPr>
          <w:ilvl w:val="0"/>
          <w:numId w:val="2"/>
        </w:numPr>
        <w:ind w:firstLine="600" w:firstLineChars="200"/>
        <w:rPr>
          <w:rFonts w:ascii="仿宋_GB2312" w:hAnsi="仿宋_GB2312" w:eastAsia="仿宋_GB2312" w:cs="Times New Roman"/>
          <w:sz w:val="30"/>
          <w:szCs w:val="30"/>
        </w:rPr>
      </w:pPr>
      <w:r>
        <w:rPr>
          <w:rFonts w:hint="eastAsia" w:ascii="仿宋_GB2312" w:hAnsi="仿宋_GB2312" w:eastAsia="仿宋_GB2312" w:cs="仿宋_GB2312"/>
          <w:sz w:val="30"/>
          <w:szCs w:val="30"/>
        </w:rPr>
        <w:t>部门职责、机构设置及人员编制情况</w:t>
      </w:r>
    </w:p>
    <w:p w14:paraId="7E243669">
      <w:pPr>
        <w:ind w:firstLine="640"/>
        <w:rPr>
          <w:rFonts w:ascii="仿宋_GB2312" w:hAnsi="仿宋_GB2312" w:eastAsia="仿宋_GB2312" w:cs="Times New Roman"/>
          <w:sz w:val="30"/>
          <w:szCs w:val="30"/>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、部门预算安排的总体情况</w:t>
      </w:r>
    </w:p>
    <w:p w14:paraId="1B556C57">
      <w:pPr>
        <w:ind w:firstLine="600" w:firstLineChars="200"/>
        <w:rPr>
          <w:rFonts w:ascii="仿宋_GB2312" w:hAnsi="仿宋_GB2312" w:eastAsia="仿宋_GB2312" w:cs="Times New Roman"/>
          <w:sz w:val="30"/>
          <w:szCs w:val="30"/>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、机关运行经费安排情况</w:t>
      </w:r>
    </w:p>
    <w:p w14:paraId="5D0C42BB">
      <w:pPr>
        <w:autoSpaceDE w:val="0"/>
        <w:autoSpaceDN w:val="0"/>
        <w:adjustRightInd w:val="0"/>
        <w:ind w:firstLine="600" w:firstLineChars="200"/>
        <w:jc w:val="left"/>
        <w:rPr>
          <w:rFonts w:ascii="仿宋_GB2312" w:hAnsi="仿宋_GB2312" w:eastAsia="仿宋_GB2312" w:cs="Times New Roman"/>
          <w:sz w:val="30"/>
          <w:szCs w:val="30"/>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、财政拨款“三公”经费预算情况及增减变化原因</w:t>
      </w:r>
    </w:p>
    <w:p w14:paraId="430E6D9B">
      <w:pPr>
        <w:autoSpaceDE w:val="0"/>
        <w:autoSpaceDN w:val="0"/>
        <w:adjustRightInd w:val="0"/>
        <w:jc w:val="left"/>
        <w:rPr>
          <w:rFonts w:ascii="仿宋_GB2312" w:hAnsi="仿宋_GB2312" w:eastAsia="仿宋_GB2312" w:cs="Times New Roman"/>
          <w:sz w:val="30"/>
          <w:szCs w:val="30"/>
        </w:rPr>
      </w:pPr>
      <w:r>
        <w:rPr>
          <w:rFonts w:ascii="仿宋_GB2312" w:hAnsi="仿宋_GB2312" w:eastAsia="仿宋_GB2312" w:cs="仿宋_GB2312"/>
          <w:sz w:val="30"/>
          <w:szCs w:val="30"/>
        </w:rPr>
        <w:t xml:space="preserve">    5</w:t>
      </w:r>
      <w:r>
        <w:rPr>
          <w:rFonts w:hint="eastAsia" w:ascii="仿宋_GB2312" w:hAnsi="仿宋_GB2312" w:eastAsia="仿宋_GB2312" w:cs="仿宋_GB2312"/>
          <w:sz w:val="30"/>
          <w:szCs w:val="30"/>
        </w:rPr>
        <w:t>、绩效预算信息</w:t>
      </w:r>
    </w:p>
    <w:p w14:paraId="0C6AA020">
      <w:pPr>
        <w:autoSpaceDE w:val="0"/>
        <w:autoSpaceDN w:val="0"/>
        <w:adjustRightInd w:val="0"/>
        <w:ind w:firstLine="600"/>
        <w:jc w:val="left"/>
        <w:rPr>
          <w:rFonts w:ascii="仿宋_GB2312" w:hAnsi="仿宋_GB2312" w:eastAsia="仿宋_GB2312" w:cs="Times New Roman"/>
          <w:sz w:val="30"/>
          <w:szCs w:val="30"/>
        </w:rPr>
      </w:pPr>
      <w:r>
        <w:rPr>
          <w:rFonts w:ascii="仿宋_GB2312" w:hAnsi="仿宋_GB2312" w:eastAsia="仿宋_GB2312" w:cs="仿宋_GB2312"/>
          <w:sz w:val="30"/>
          <w:szCs w:val="30"/>
        </w:rPr>
        <w:t>6</w:t>
      </w:r>
      <w:r>
        <w:rPr>
          <w:rFonts w:hint="eastAsia" w:ascii="仿宋_GB2312" w:hAnsi="仿宋_GB2312" w:eastAsia="仿宋_GB2312" w:cs="仿宋_GB2312"/>
          <w:sz w:val="30"/>
          <w:szCs w:val="30"/>
        </w:rPr>
        <w:t>、政府采购预算情况</w:t>
      </w:r>
    </w:p>
    <w:p w14:paraId="27CE1A1E">
      <w:pPr>
        <w:autoSpaceDE w:val="0"/>
        <w:autoSpaceDN w:val="0"/>
        <w:adjustRightInd w:val="0"/>
        <w:ind w:firstLine="600"/>
        <w:jc w:val="left"/>
        <w:rPr>
          <w:rFonts w:ascii="仿宋_GB2312" w:hAnsi="仿宋_GB2312" w:eastAsia="仿宋_GB2312" w:cs="Times New Roman"/>
          <w:sz w:val="30"/>
          <w:szCs w:val="30"/>
        </w:rPr>
      </w:pPr>
      <w:r>
        <w:rPr>
          <w:rFonts w:ascii="仿宋_GB2312" w:hAnsi="仿宋_GB2312" w:eastAsia="仿宋_GB2312" w:cs="仿宋_GB2312"/>
          <w:sz w:val="30"/>
          <w:szCs w:val="30"/>
        </w:rPr>
        <w:t>7</w:t>
      </w:r>
      <w:r>
        <w:rPr>
          <w:rFonts w:hint="eastAsia" w:ascii="仿宋_GB2312" w:hAnsi="仿宋_GB2312" w:eastAsia="仿宋_GB2312" w:cs="仿宋_GB2312"/>
          <w:sz w:val="30"/>
          <w:szCs w:val="30"/>
        </w:rPr>
        <w:t>、国有资产信息</w:t>
      </w:r>
    </w:p>
    <w:p w14:paraId="5138F36E">
      <w:pPr>
        <w:autoSpaceDE w:val="0"/>
        <w:autoSpaceDN w:val="0"/>
        <w:adjustRightInd w:val="0"/>
        <w:ind w:firstLine="600" w:firstLineChars="200"/>
        <w:jc w:val="left"/>
        <w:rPr>
          <w:rFonts w:ascii="仿宋_GB2312" w:hAnsi="仿宋_GB2312" w:eastAsia="仿宋_GB2312" w:cs="Times New Roman"/>
          <w:sz w:val="30"/>
          <w:szCs w:val="30"/>
        </w:rPr>
      </w:pPr>
      <w:r>
        <w:rPr>
          <w:rFonts w:ascii="仿宋_GB2312" w:hAnsi="仿宋_GB2312" w:eastAsia="仿宋_GB2312" w:cs="仿宋_GB2312"/>
          <w:sz w:val="30"/>
          <w:szCs w:val="30"/>
        </w:rPr>
        <w:t>8</w:t>
      </w:r>
      <w:r>
        <w:rPr>
          <w:rFonts w:hint="eastAsia" w:ascii="仿宋_GB2312" w:hAnsi="仿宋_GB2312" w:eastAsia="仿宋_GB2312" w:cs="仿宋_GB2312"/>
          <w:sz w:val="30"/>
          <w:szCs w:val="30"/>
        </w:rPr>
        <w:t>、名词解释</w:t>
      </w:r>
    </w:p>
    <w:p w14:paraId="0B62B84A">
      <w:pPr>
        <w:autoSpaceDE w:val="0"/>
        <w:autoSpaceDN w:val="0"/>
        <w:adjustRightInd w:val="0"/>
        <w:jc w:val="left"/>
        <w:rPr>
          <w:rFonts w:cs="Times New Roman"/>
        </w:rPr>
      </w:pPr>
      <w:r>
        <w:rPr>
          <w:rFonts w:ascii="仿宋_GB2312" w:hAnsi="仿宋_GB2312" w:eastAsia="仿宋_GB2312" w:cs="仿宋_GB2312"/>
          <w:sz w:val="30"/>
          <w:szCs w:val="30"/>
        </w:rPr>
        <w:t xml:space="preserve">    9</w:t>
      </w:r>
      <w:r>
        <w:rPr>
          <w:rFonts w:hint="eastAsia" w:ascii="仿宋_GB2312" w:hAnsi="仿宋_GB2312" w:eastAsia="仿宋_GB2312" w:cs="仿宋_GB2312"/>
          <w:sz w:val="30"/>
          <w:szCs w:val="30"/>
        </w:rPr>
        <w:t>、其他需要说明的事项</w:t>
      </w:r>
    </w:p>
    <w:p w14:paraId="1A01C7A0">
      <w:pPr>
        <w:jc w:val="center"/>
        <w:rPr>
          <w:rFonts w:ascii="Times New Roman" w:hAnsi="Times New Roman" w:eastAsia="方正小标宋_GBK" w:cs="Times New Roman"/>
          <w:sz w:val="44"/>
          <w:szCs w:val="44"/>
        </w:rPr>
      </w:pPr>
    </w:p>
    <w:p w14:paraId="2B3F021C">
      <w:pPr>
        <w:jc w:val="center"/>
        <w:rPr>
          <w:rFonts w:ascii="Times New Roman" w:hAnsi="Times New Roman" w:eastAsia="方正小标宋_GBK" w:cs="Times New Roman"/>
          <w:sz w:val="44"/>
          <w:szCs w:val="44"/>
        </w:rPr>
      </w:pPr>
    </w:p>
    <w:p w14:paraId="4AD1A81B">
      <w:pPr>
        <w:jc w:val="center"/>
        <w:rPr>
          <w:rFonts w:ascii="Times New Roman" w:hAnsi="Times New Roman" w:eastAsia="方正小标宋_GBK" w:cs="Times New Roman"/>
          <w:sz w:val="44"/>
          <w:szCs w:val="44"/>
        </w:rPr>
      </w:pPr>
    </w:p>
    <w:p w14:paraId="73F0B6D4">
      <w:pPr>
        <w:jc w:val="center"/>
        <w:rPr>
          <w:rFonts w:ascii="Times New Roman" w:hAnsi="Times New Roman" w:eastAsia="方正小标宋_GBK" w:cs="Times New Roman"/>
          <w:sz w:val="44"/>
          <w:szCs w:val="44"/>
        </w:rPr>
      </w:pPr>
      <w:r>
        <w:rPr>
          <w:rFonts w:hint="eastAsia" w:ascii="Times New Roman" w:hAnsi="Times New Roman" w:eastAsia="方正小标宋_GBK" w:cs="方正小标宋_GBK"/>
          <w:sz w:val="44"/>
          <w:szCs w:val="44"/>
        </w:rPr>
        <w:t>宁晋县纪昌庄镇人民政府</w:t>
      </w:r>
      <w:r>
        <w:rPr>
          <w:rFonts w:ascii="Times New Roman" w:hAnsi="Times New Roman" w:eastAsia="方正小标宋_GBK" w:cs="Times New Roman"/>
          <w:sz w:val="44"/>
          <w:szCs w:val="44"/>
        </w:rPr>
        <w:t>2022</w:t>
      </w:r>
      <w:r>
        <w:rPr>
          <w:rFonts w:hint="eastAsia" w:ascii="Times New Roman" w:hAnsi="Times New Roman" w:eastAsia="方正小标宋_GBK" w:cs="方正小标宋_GBK"/>
          <w:sz w:val="44"/>
          <w:szCs w:val="44"/>
        </w:rPr>
        <w:t>年部门预算信息公开</w:t>
      </w:r>
    </w:p>
    <w:p w14:paraId="652B2D40">
      <w:pPr>
        <w:ind w:firstLine="640" w:firstLineChars="200"/>
        <w:rPr>
          <w:rFonts w:ascii="仿宋" w:hAnsi="仿宋" w:eastAsia="仿宋" w:cs="Times New Roman"/>
          <w:sz w:val="32"/>
          <w:szCs w:val="32"/>
        </w:rPr>
      </w:pPr>
      <w:r>
        <w:rPr>
          <w:rFonts w:hint="eastAsia" w:ascii="仿宋" w:hAnsi="仿宋" w:eastAsia="仿宋" w:cs="仿宋"/>
          <w:sz w:val="32"/>
          <w:szCs w:val="32"/>
        </w:rPr>
        <w:t>按照</w:t>
      </w:r>
      <w:r>
        <w:rPr>
          <w:rFonts w:hint="eastAsia" w:ascii="仿宋" w:hAnsi="仿宋" w:eastAsia="仿宋" w:cs="仿宋"/>
          <w:sz w:val="32"/>
          <w:szCs w:val="32"/>
          <w:lang w:eastAsia="zh-CN"/>
        </w:rPr>
        <w:t>《中华人民共和国预算法》</w:t>
      </w:r>
      <w:r>
        <w:rPr>
          <w:rFonts w:hint="eastAsia" w:ascii="仿宋" w:hAnsi="仿宋" w:eastAsia="仿宋" w:cs="仿宋"/>
          <w:sz w:val="32"/>
          <w:szCs w:val="32"/>
        </w:rPr>
        <w:t>、《地方预决算公开操作规程》和《河北省省级预算公开办法》规定，现将</w:t>
      </w:r>
      <w:r>
        <w:rPr>
          <w:rFonts w:ascii="仿宋" w:hAnsi="仿宋" w:eastAsia="仿宋" w:cs="仿宋"/>
          <w:sz w:val="32"/>
          <w:szCs w:val="32"/>
        </w:rPr>
        <w:t>2022</w:t>
      </w:r>
      <w:r>
        <w:rPr>
          <w:rFonts w:hint="eastAsia" w:ascii="仿宋" w:hAnsi="仿宋" w:eastAsia="仿宋" w:cs="仿宋"/>
          <w:sz w:val="32"/>
          <w:szCs w:val="32"/>
        </w:rPr>
        <w:t>年部门预算公开如下：</w:t>
      </w:r>
    </w:p>
    <w:p w14:paraId="5D899D21">
      <w:pPr>
        <w:ind w:firstLine="640"/>
        <w:rPr>
          <w:rFonts w:ascii="黑体" w:hAnsi="黑体" w:eastAsia="黑体" w:cs="Times New Roman"/>
          <w:sz w:val="32"/>
          <w:szCs w:val="32"/>
        </w:rPr>
      </w:pPr>
      <w:r>
        <w:rPr>
          <w:rFonts w:hint="eastAsia" w:ascii="黑体" w:hAnsi="黑体" w:eastAsia="黑体" w:cs="黑体"/>
          <w:sz w:val="32"/>
          <w:szCs w:val="32"/>
        </w:rPr>
        <w:t>一、部门职责、机构设置及人员编制情况</w:t>
      </w:r>
    </w:p>
    <w:p w14:paraId="4CF3BB98">
      <w:pPr>
        <w:jc w:val="left"/>
        <w:rPr>
          <w:rFonts w:ascii="方正楷体_GBK" w:eastAsia="方正楷体_GBK" w:cs="Times New Roman"/>
          <w:b/>
          <w:bCs/>
          <w:sz w:val="28"/>
          <w:szCs w:val="28"/>
        </w:rPr>
      </w:pPr>
      <w:r>
        <w:rPr>
          <w:rFonts w:hint="eastAsia" w:ascii="方正楷体_GBK" w:eastAsia="方正楷体_GBK" w:cs="方正楷体_GBK"/>
          <w:b/>
          <w:bCs/>
          <w:sz w:val="28"/>
          <w:szCs w:val="28"/>
        </w:rPr>
        <w:t>总体目标：</w:t>
      </w:r>
    </w:p>
    <w:p w14:paraId="32B0559A">
      <w:pPr>
        <w:ind w:firstLine="640" w:firstLineChars="200"/>
        <w:rPr>
          <w:rFonts w:ascii="仿宋" w:hAnsi="仿宋" w:eastAsia="仿宋" w:cs="Times New Roman"/>
          <w:b/>
          <w:bCs/>
          <w:sz w:val="32"/>
          <w:szCs w:val="32"/>
        </w:rPr>
      </w:pPr>
      <w:r>
        <w:rPr>
          <w:rFonts w:hint="eastAsia" w:ascii="仿宋" w:hAnsi="仿宋" w:eastAsia="仿宋" w:cs="仿宋"/>
          <w:sz w:val="32"/>
          <w:szCs w:val="32"/>
        </w:rPr>
        <w:t>围绕加强党的领导、夯实基层政权、促进经济发展、增加农民收入、优化公共服务、着力改善民生、强化社会治理、维护社会稳定、推进基层民主、促进农村和谐、改善生态环境、提升乡风文明等方面履行职能。</w:t>
      </w:r>
    </w:p>
    <w:p w14:paraId="0F610684">
      <w:pPr>
        <w:ind w:firstLine="640" w:firstLineChars="200"/>
        <w:rPr>
          <w:rFonts w:ascii="仿宋" w:hAnsi="仿宋" w:eastAsia="仿宋" w:cs="Times New Roman"/>
          <w:b/>
          <w:bCs/>
          <w:sz w:val="32"/>
          <w:szCs w:val="32"/>
        </w:rPr>
      </w:pPr>
      <w:r>
        <w:rPr>
          <w:rFonts w:hint="eastAsia" w:ascii="仿宋" w:hAnsi="仿宋" w:eastAsia="仿宋" w:cs="仿宋"/>
          <w:sz w:val="32"/>
          <w:szCs w:val="32"/>
        </w:rPr>
        <w:t>部门职责分类绩效目标情况说明</w:t>
      </w:r>
    </w:p>
    <w:p w14:paraId="5B58428B">
      <w:pPr>
        <w:ind w:firstLine="560"/>
        <w:rPr>
          <w:rFonts w:ascii="仿宋" w:hAnsi="仿宋" w:eastAsia="仿宋" w:cs="Times New Roman"/>
          <w:sz w:val="32"/>
          <w:szCs w:val="32"/>
        </w:rPr>
      </w:pPr>
      <w:r>
        <w:rPr>
          <w:rFonts w:hint="eastAsia" w:ascii="仿宋" w:hAnsi="仿宋" w:eastAsia="仿宋" w:cs="仿宋"/>
          <w:sz w:val="32"/>
          <w:szCs w:val="32"/>
        </w:rPr>
        <w:t>纪昌庄镇党委是党的农村基层组织，是党在本乡农村全部工作和战斗力的基础，全面领导本乡的工作和基层社会治理，支持和保障行政组织、经济组织和群众自治组织充分行使职权。纪昌庄人大是基层地方国家权力机关，加强基层政权、推进基层民主法治建设和整治文明建设。纪昌庄镇政府是本级人民代表大会的执行机关，是本级国家行政机关，依法行使行政职权。</w:t>
      </w:r>
    </w:p>
    <w:p w14:paraId="70B10390">
      <w:pPr>
        <w:jc w:val="left"/>
        <w:rPr>
          <w:rFonts w:ascii="仿宋" w:hAnsi="仿宋" w:eastAsia="仿宋" w:cs="Times New Roman"/>
          <w:sz w:val="32"/>
          <w:szCs w:val="32"/>
        </w:rPr>
      </w:pPr>
      <w:r>
        <w:rPr>
          <w:rFonts w:ascii="仿宋" w:hAnsi="仿宋" w:eastAsia="仿宋" w:cs="仿宋"/>
          <w:sz w:val="32"/>
          <w:szCs w:val="32"/>
        </w:rPr>
        <w:t xml:space="preserve">    </w:t>
      </w:r>
      <w:r>
        <w:rPr>
          <w:rFonts w:hint="eastAsia" w:ascii="仿宋" w:hAnsi="仿宋" w:eastAsia="仿宋" w:cs="仿宋"/>
          <w:sz w:val="32"/>
          <w:szCs w:val="32"/>
        </w:rPr>
        <w:t>二、实现年度发展规划目标的保障措施</w:t>
      </w:r>
    </w:p>
    <w:p w14:paraId="6D613489">
      <w:pPr>
        <w:ind w:firstLine="640" w:firstLineChars="200"/>
        <w:rPr>
          <w:rFonts w:ascii="仿宋" w:hAnsi="仿宋" w:eastAsia="仿宋" w:cs="Times New Roman"/>
          <w:sz w:val="32"/>
          <w:szCs w:val="32"/>
        </w:rPr>
      </w:pPr>
      <w:r>
        <w:rPr>
          <w:rFonts w:hint="eastAsia" w:ascii="仿宋" w:hAnsi="仿宋" w:eastAsia="仿宋" w:cs="仿宋"/>
          <w:sz w:val="32"/>
          <w:szCs w:val="32"/>
        </w:rPr>
        <w:t>实现本年度发展规划目标的保障措施</w:t>
      </w:r>
    </w:p>
    <w:p w14:paraId="2F8EE8DF">
      <w:pPr>
        <w:ind w:firstLine="560"/>
        <w:rPr>
          <w:rFonts w:ascii="仿宋" w:hAnsi="仿宋" w:eastAsia="仿宋" w:cs="Times New Roman"/>
          <w:b/>
          <w:bCs/>
          <w:sz w:val="32"/>
          <w:szCs w:val="32"/>
        </w:rPr>
      </w:pPr>
      <w:r>
        <w:rPr>
          <w:rFonts w:hint="eastAsia" w:ascii="仿宋" w:hAnsi="仿宋" w:eastAsia="仿宋" w:cs="仿宋"/>
          <w:sz w:val="32"/>
          <w:szCs w:val="32"/>
        </w:rPr>
        <w:t>实现年度发展规划主要依照宪法和监督法、代表法、组织法等法律法规，围绕县委重大决策战略部署和人民代表大会决议决策为依据和保障。其资金配置全部为县财政拨款方式。</w:t>
      </w:r>
    </w:p>
    <w:p w14:paraId="32D2C2FB">
      <w:pPr>
        <w:autoSpaceDE w:val="0"/>
        <w:autoSpaceDN w:val="0"/>
        <w:adjustRightInd w:val="0"/>
        <w:ind w:firstLine="643" w:firstLineChars="200"/>
        <w:jc w:val="left"/>
        <w:rPr>
          <w:rFonts w:ascii="方正仿宋_GBK" w:hAnsi="Times New Roman" w:eastAsia="方正仿宋_GBK" w:cs="Times New Roman"/>
          <w:b/>
          <w:bCs/>
          <w:sz w:val="32"/>
          <w:szCs w:val="32"/>
        </w:rPr>
      </w:pPr>
      <w:r>
        <w:rPr>
          <w:rFonts w:hint="eastAsia" w:ascii="方正仿宋_GBK" w:hAnsi="Times New Roman" w:eastAsia="方正仿宋_GBK" w:cs="方正仿宋_GBK"/>
          <w:b/>
          <w:bCs/>
          <w:sz w:val="32"/>
          <w:szCs w:val="32"/>
        </w:rPr>
        <w:t>机构设置：</w:t>
      </w:r>
    </w:p>
    <w:p w14:paraId="77A48D56">
      <w:pPr>
        <w:jc w:val="center"/>
        <w:outlineLvl w:val="0"/>
        <w:rPr>
          <w:rFonts w:ascii="仿宋" w:hAnsi="仿宋" w:eastAsia="仿宋" w:cs="Times New Roman"/>
          <w:sz w:val="32"/>
          <w:szCs w:val="32"/>
        </w:rPr>
      </w:pPr>
      <w:r>
        <w:rPr>
          <w:rFonts w:hint="eastAsia" w:ascii="仿宋" w:hAnsi="仿宋" w:eastAsia="仿宋" w:cs="仿宋"/>
          <w:sz w:val="32"/>
          <w:szCs w:val="32"/>
        </w:rPr>
        <w:t>部门机构设置情况</w:t>
      </w:r>
    </w:p>
    <w:tbl>
      <w:tblPr>
        <w:tblStyle w:val="7"/>
        <w:tblW w:w="97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17"/>
        <w:gridCol w:w="1134"/>
        <w:gridCol w:w="1276"/>
        <w:gridCol w:w="2902"/>
      </w:tblGrid>
      <w:tr w14:paraId="5C892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restart"/>
            <w:vAlign w:val="center"/>
          </w:tcPr>
          <w:p w14:paraId="2ECD4FA3">
            <w:pPr>
              <w:spacing w:line="300" w:lineRule="exact"/>
              <w:jc w:val="center"/>
              <w:rPr>
                <w:rFonts w:ascii="仿宋" w:hAnsi="仿宋" w:eastAsia="仿宋" w:cs="Times New Roman"/>
                <w:b/>
                <w:bCs/>
                <w:sz w:val="32"/>
                <w:szCs w:val="32"/>
              </w:rPr>
            </w:pPr>
            <w:r>
              <w:rPr>
                <w:rFonts w:hint="eastAsia" w:ascii="仿宋" w:hAnsi="仿宋" w:eastAsia="仿宋" w:cs="仿宋"/>
                <w:b/>
                <w:bCs/>
                <w:sz w:val="32"/>
                <w:szCs w:val="32"/>
              </w:rPr>
              <w:t>单位名称</w:t>
            </w:r>
          </w:p>
        </w:tc>
        <w:tc>
          <w:tcPr>
            <w:tcW w:w="1134" w:type="dxa"/>
            <w:vMerge w:val="restart"/>
            <w:vAlign w:val="center"/>
          </w:tcPr>
          <w:p w14:paraId="563181B9">
            <w:pPr>
              <w:spacing w:line="300" w:lineRule="exact"/>
              <w:jc w:val="center"/>
              <w:rPr>
                <w:rFonts w:ascii="仿宋" w:hAnsi="仿宋" w:eastAsia="仿宋" w:cs="Times New Roman"/>
                <w:b/>
                <w:bCs/>
                <w:sz w:val="32"/>
                <w:szCs w:val="32"/>
              </w:rPr>
            </w:pPr>
            <w:r>
              <w:rPr>
                <w:rFonts w:hint="eastAsia" w:ascii="仿宋" w:hAnsi="仿宋" w:eastAsia="仿宋" w:cs="仿宋"/>
                <w:b/>
                <w:bCs/>
                <w:sz w:val="32"/>
                <w:szCs w:val="32"/>
              </w:rPr>
              <w:t>单位性质</w:t>
            </w:r>
          </w:p>
        </w:tc>
        <w:tc>
          <w:tcPr>
            <w:tcW w:w="1276" w:type="dxa"/>
            <w:vMerge w:val="restart"/>
            <w:vAlign w:val="center"/>
          </w:tcPr>
          <w:p w14:paraId="37DFE286">
            <w:pPr>
              <w:spacing w:line="300" w:lineRule="exact"/>
              <w:jc w:val="center"/>
              <w:rPr>
                <w:rFonts w:ascii="仿宋" w:hAnsi="仿宋" w:eastAsia="仿宋" w:cs="Times New Roman"/>
                <w:b/>
                <w:bCs/>
                <w:sz w:val="32"/>
                <w:szCs w:val="32"/>
              </w:rPr>
            </w:pPr>
            <w:r>
              <w:rPr>
                <w:rFonts w:hint="eastAsia" w:ascii="仿宋" w:hAnsi="仿宋" w:eastAsia="仿宋" w:cs="仿宋"/>
                <w:b/>
                <w:bCs/>
                <w:sz w:val="32"/>
                <w:szCs w:val="32"/>
              </w:rPr>
              <w:t>单位</w:t>
            </w:r>
          </w:p>
          <w:p w14:paraId="37299709">
            <w:pPr>
              <w:spacing w:line="300" w:lineRule="exact"/>
              <w:jc w:val="center"/>
              <w:rPr>
                <w:rFonts w:ascii="仿宋" w:hAnsi="仿宋" w:eastAsia="仿宋" w:cs="Times New Roman"/>
                <w:b/>
                <w:bCs/>
                <w:sz w:val="32"/>
                <w:szCs w:val="32"/>
              </w:rPr>
            </w:pPr>
            <w:r>
              <w:rPr>
                <w:rFonts w:hint="eastAsia" w:ascii="仿宋" w:hAnsi="仿宋" w:eastAsia="仿宋" w:cs="仿宋"/>
                <w:b/>
                <w:bCs/>
                <w:sz w:val="32"/>
                <w:szCs w:val="32"/>
              </w:rPr>
              <w:t>规格</w:t>
            </w:r>
          </w:p>
        </w:tc>
        <w:tc>
          <w:tcPr>
            <w:tcW w:w="2902" w:type="dxa"/>
            <w:vMerge w:val="restart"/>
            <w:vAlign w:val="center"/>
          </w:tcPr>
          <w:p w14:paraId="5F879ADF">
            <w:pPr>
              <w:spacing w:line="300" w:lineRule="exact"/>
              <w:jc w:val="center"/>
              <w:rPr>
                <w:rFonts w:ascii="仿宋" w:hAnsi="仿宋" w:eastAsia="仿宋" w:cs="Times New Roman"/>
                <w:b/>
                <w:bCs/>
                <w:sz w:val="32"/>
                <w:szCs w:val="32"/>
              </w:rPr>
            </w:pPr>
            <w:r>
              <w:rPr>
                <w:rFonts w:hint="eastAsia" w:ascii="仿宋" w:hAnsi="仿宋" w:eastAsia="仿宋" w:cs="仿宋"/>
                <w:b/>
                <w:bCs/>
                <w:sz w:val="32"/>
                <w:szCs w:val="32"/>
              </w:rPr>
              <w:t>经费保障形式</w:t>
            </w:r>
          </w:p>
        </w:tc>
      </w:tr>
      <w:tr w14:paraId="79029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continue"/>
            <w:vAlign w:val="center"/>
          </w:tcPr>
          <w:p w14:paraId="2DEF14A5">
            <w:pPr>
              <w:spacing w:line="300" w:lineRule="exact"/>
              <w:jc w:val="left"/>
              <w:outlineLvl w:val="0"/>
              <w:rPr>
                <w:rFonts w:ascii="仿宋" w:hAnsi="仿宋" w:eastAsia="仿宋" w:cs="Times New Roman"/>
                <w:sz w:val="32"/>
                <w:szCs w:val="32"/>
              </w:rPr>
            </w:pPr>
          </w:p>
        </w:tc>
        <w:tc>
          <w:tcPr>
            <w:tcW w:w="1134" w:type="dxa"/>
            <w:vMerge w:val="continue"/>
            <w:vAlign w:val="center"/>
          </w:tcPr>
          <w:p w14:paraId="3A3CE1D4">
            <w:pPr>
              <w:spacing w:line="300" w:lineRule="exact"/>
              <w:jc w:val="left"/>
              <w:outlineLvl w:val="0"/>
              <w:rPr>
                <w:rFonts w:ascii="仿宋" w:hAnsi="仿宋" w:eastAsia="仿宋" w:cs="Times New Roman"/>
                <w:sz w:val="32"/>
                <w:szCs w:val="32"/>
              </w:rPr>
            </w:pPr>
          </w:p>
        </w:tc>
        <w:tc>
          <w:tcPr>
            <w:tcW w:w="1276" w:type="dxa"/>
            <w:vMerge w:val="continue"/>
            <w:vAlign w:val="center"/>
          </w:tcPr>
          <w:p w14:paraId="071D32D4">
            <w:pPr>
              <w:spacing w:line="300" w:lineRule="exact"/>
              <w:jc w:val="left"/>
              <w:outlineLvl w:val="0"/>
              <w:rPr>
                <w:rFonts w:ascii="仿宋" w:hAnsi="仿宋" w:eastAsia="仿宋" w:cs="Times New Roman"/>
                <w:sz w:val="32"/>
                <w:szCs w:val="32"/>
              </w:rPr>
            </w:pPr>
          </w:p>
        </w:tc>
        <w:tc>
          <w:tcPr>
            <w:tcW w:w="2902" w:type="dxa"/>
            <w:vMerge w:val="continue"/>
            <w:vAlign w:val="center"/>
          </w:tcPr>
          <w:p w14:paraId="0266E65F">
            <w:pPr>
              <w:spacing w:line="300" w:lineRule="exact"/>
              <w:jc w:val="left"/>
              <w:outlineLvl w:val="0"/>
              <w:rPr>
                <w:rFonts w:ascii="仿宋" w:hAnsi="仿宋" w:eastAsia="仿宋" w:cs="Times New Roman"/>
                <w:sz w:val="32"/>
                <w:szCs w:val="32"/>
              </w:rPr>
            </w:pPr>
          </w:p>
        </w:tc>
      </w:tr>
      <w:tr w14:paraId="3EDDD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4417" w:type="dxa"/>
            <w:vAlign w:val="center"/>
          </w:tcPr>
          <w:p w14:paraId="5B0B64C8">
            <w:pPr>
              <w:spacing w:line="300" w:lineRule="exact"/>
              <w:jc w:val="left"/>
              <w:rPr>
                <w:rFonts w:ascii="仿宋" w:hAnsi="仿宋" w:eastAsia="仿宋" w:cs="Times New Roman"/>
                <w:sz w:val="32"/>
                <w:szCs w:val="32"/>
              </w:rPr>
            </w:pPr>
            <w:r>
              <w:rPr>
                <w:rFonts w:hint="eastAsia" w:ascii="仿宋" w:hAnsi="仿宋" w:eastAsia="仿宋" w:cs="仿宋"/>
                <w:sz w:val="32"/>
                <w:szCs w:val="32"/>
              </w:rPr>
              <w:t>宁晋县纪昌庄镇人民政府</w:t>
            </w:r>
          </w:p>
        </w:tc>
        <w:tc>
          <w:tcPr>
            <w:tcW w:w="1134" w:type="dxa"/>
            <w:vAlign w:val="center"/>
          </w:tcPr>
          <w:p w14:paraId="18E8D24E">
            <w:pPr>
              <w:spacing w:line="300" w:lineRule="exact"/>
              <w:jc w:val="center"/>
              <w:rPr>
                <w:rFonts w:ascii="仿宋" w:hAnsi="仿宋" w:eastAsia="仿宋" w:cs="Times New Roman"/>
                <w:sz w:val="32"/>
                <w:szCs w:val="32"/>
              </w:rPr>
            </w:pPr>
            <w:r>
              <w:rPr>
                <w:rFonts w:hint="eastAsia" w:ascii="仿宋" w:hAnsi="仿宋" w:eastAsia="仿宋" w:cs="仿宋"/>
                <w:sz w:val="32"/>
                <w:szCs w:val="32"/>
              </w:rPr>
              <w:t>行政</w:t>
            </w:r>
          </w:p>
        </w:tc>
        <w:tc>
          <w:tcPr>
            <w:tcW w:w="1276" w:type="dxa"/>
            <w:vAlign w:val="center"/>
          </w:tcPr>
          <w:p w14:paraId="6DC2900F">
            <w:pPr>
              <w:spacing w:line="300" w:lineRule="exact"/>
              <w:jc w:val="center"/>
              <w:rPr>
                <w:rFonts w:ascii="仿宋" w:hAnsi="仿宋" w:eastAsia="仿宋" w:cs="Times New Roman"/>
                <w:sz w:val="32"/>
                <w:szCs w:val="32"/>
              </w:rPr>
            </w:pPr>
            <w:r>
              <w:rPr>
                <w:rFonts w:hint="eastAsia" w:ascii="仿宋" w:hAnsi="仿宋" w:eastAsia="仿宋" w:cs="仿宋"/>
                <w:sz w:val="32"/>
                <w:szCs w:val="32"/>
              </w:rPr>
              <w:t>正科级</w:t>
            </w:r>
          </w:p>
        </w:tc>
        <w:tc>
          <w:tcPr>
            <w:tcW w:w="2902" w:type="dxa"/>
            <w:vAlign w:val="center"/>
          </w:tcPr>
          <w:p w14:paraId="317C4AFC">
            <w:pPr>
              <w:spacing w:line="300" w:lineRule="exact"/>
              <w:jc w:val="center"/>
              <w:rPr>
                <w:rFonts w:ascii="仿宋" w:hAnsi="仿宋" w:eastAsia="仿宋" w:cs="Times New Roman"/>
                <w:sz w:val="32"/>
                <w:szCs w:val="32"/>
              </w:rPr>
            </w:pPr>
            <w:r>
              <w:rPr>
                <w:rFonts w:hint="eastAsia" w:ascii="仿宋" w:hAnsi="仿宋" w:eastAsia="仿宋" w:cs="仿宋"/>
                <w:sz w:val="32"/>
                <w:szCs w:val="32"/>
              </w:rPr>
              <w:t>财政拨款</w:t>
            </w:r>
          </w:p>
        </w:tc>
      </w:tr>
    </w:tbl>
    <w:p w14:paraId="5D6DCF98">
      <w:pPr>
        <w:autoSpaceDE w:val="0"/>
        <w:autoSpaceDN w:val="0"/>
        <w:adjustRightInd w:val="0"/>
        <w:ind w:firstLine="643" w:firstLineChars="200"/>
        <w:jc w:val="left"/>
        <w:rPr>
          <w:rFonts w:ascii="方正仿宋_GBK" w:hAnsi="Times New Roman" w:eastAsia="方正仿宋_GBK" w:cs="Times New Roman"/>
          <w:b/>
          <w:bCs/>
          <w:sz w:val="32"/>
          <w:szCs w:val="32"/>
        </w:rPr>
      </w:pPr>
      <w:r>
        <w:rPr>
          <w:rFonts w:hint="eastAsia" w:ascii="方正仿宋_GBK" w:hAnsi="Times New Roman" w:eastAsia="方正仿宋_GBK" w:cs="方正仿宋_GBK"/>
          <w:b/>
          <w:bCs/>
          <w:sz w:val="32"/>
          <w:szCs w:val="32"/>
        </w:rPr>
        <w:t>人员编制情况：</w:t>
      </w:r>
    </w:p>
    <w:p w14:paraId="7EC01FC7">
      <w:pPr>
        <w:autoSpaceDE w:val="0"/>
        <w:autoSpaceDN w:val="0"/>
        <w:adjustRightInd w:val="0"/>
        <w:ind w:firstLine="640" w:firstLineChars="200"/>
        <w:jc w:val="left"/>
        <w:rPr>
          <w:rFonts w:ascii="仿宋" w:hAnsi="仿宋" w:eastAsia="仿宋" w:cs="Times New Roman"/>
          <w:sz w:val="32"/>
          <w:szCs w:val="32"/>
        </w:rPr>
      </w:pPr>
      <w:r>
        <w:rPr>
          <w:rFonts w:hint="eastAsia" w:ascii="仿宋" w:hAnsi="仿宋" w:eastAsia="仿宋" w:cs="仿宋"/>
          <w:sz w:val="32"/>
          <w:szCs w:val="32"/>
        </w:rPr>
        <w:t>我镇行政编制</w:t>
      </w:r>
      <w:r>
        <w:rPr>
          <w:rFonts w:ascii="仿宋" w:hAnsi="仿宋" w:eastAsia="仿宋" w:cs="仿宋"/>
          <w:sz w:val="32"/>
          <w:szCs w:val="32"/>
        </w:rPr>
        <w:t>25</w:t>
      </w:r>
      <w:r>
        <w:rPr>
          <w:rFonts w:hint="eastAsia" w:ascii="仿宋" w:hAnsi="仿宋" w:eastAsia="仿宋" w:cs="仿宋"/>
          <w:sz w:val="32"/>
          <w:szCs w:val="32"/>
        </w:rPr>
        <w:t>名，全额拨款事业编制</w:t>
      </w:r>
      <w:r>
        <w:rPr>
          <w:rFonts w:ascii="仿宋" w:hAnsi="仿宋" w:eastAsia="仿宋" w:cs="仿宋"/>
          <w:sz w:val="32"/>
          <w:szCs w:val="32"/>
        </w:rPr>
        <w:t>25</w:t>
      </w:r>
      <w:r>
        <w:rPr>
          <w:rFonts w:hint="eastAsia" w:ascii="仿宋" w:hAnsi="仿宋" w:eastAsia="仿宋" w:cs="仿宋"/>
          <w:sz w:val="32"/>
          <w:szCs w:val="32"/>
        </w:rPr>
        <w:t>名。</w:t>
      </w:r>
    </w:p>
    <w:p w14:paraId="3CB06F74">
      <w:pPr>
        <w:ind w:firstLine="640"/>
        <w:rPr>
          <w:rFonts w:ascii="黑体" w:hAnsi="黑体" w:eastAsia="黑体" w:cs="Times New Roman"/>
          <w:sz w:val="32"/>
          <w:szCs w:val="32"/>
        </w:rPr>
      </w:pPr>
      <w:r>
        <w:rPr>
          <w:rFonts w:hint="eastAsia" w:ascii="黑体" w:hAnsi="黑体" w:eastAsia="黑体" w:cs="黑体"/>
          <w:sz w:val="32"/>
          <w:szCs w:val="32"/>
        </w:rPr>
        <w:t>二、部门预算安排的总体情况</w:t>
      </w:r>
    </w:p>
    <w:p w14:paraId="162BB4DF">
      <w:pPr>
        <w:ind w:firstLine="640"/>
        <w:rPr>
          <w:rFonts w:ascii="仿宋" w:hAnsi="仿宋" w:eastAsia="仿宋" w:cs="Times New Roman"/>
          <w:sz w:val="32"/>
          <w:szCs w:val="32"/>
        </w:rPr>
      </w:pPr>
      <w:r>
        <w:rPr>
          <w:rFonts w:hint="eastAsia" w:ascii="仿宋" w:hAnsi="仿宋" w:eastAsia="仿宋" w:cs="仿宋"/>
          <w:sz w:val="32"/>
          <w:szCs w:val="32"/>
        </w:rPr>
        <w:t>按照预算管理有关规定，目前我乡的全部收入和支出都反映的预算中。所属</w:t>
      </w:r>
      <w:r>
        <w:rPr>
          <w:rFonts w:ascii="仿宋" w:hAnsi="仿宋" w:eastAsia="仿宋" w:cs="仿宋"/>
          <w:sz w:val="32"/>
          <w:szCs w:val="32"/>
        </w:rPr>
        <w:t>6</w:t>
      </w:r>
      <w:r>
        <w:rPr>
          <w:rFonts w:hint="eastAsia" w:ascii="仿宋" w:hAnsi="仿宋" w:eastAsia="仿宋" w:cs="仿宋"/>
          <w:sz w:val="32"/>
          <w:szCs w:val="32"/>
        </w:rPr>
        <w:t>个办公室非独立核算单位，是纪昌庄镇政府的职能部门，人员及经费全部在纪昌庄镇政府机关内核算。</w:t>
      </w:r>
    </w:p>
    <w:p w14:paraId="17B0BF8D">
      <w:pPr>
        <w:ind w:firstLine="640" w:firstLineChars="200"/>
        <w:rPr>
          <w:rFonts w:ascii="仿宋" w:hAnsi="仿宋" w:eastAsia="仿宋" w:cs="Times New Roman"/>
          <w:sz w:val="32"/>
          <w:szCs w:val="32"/>
        </w:rPr>
      </w:pPr>
      <w:r>
        <w:rPr>
          <w:rFonts w:ascii="仿宋" w:hAnsi="仿宋" w:eastAsia="仿宋" w:cs="仿宋"/>
          <w:sz w:val="32"/>
          <w:szCs w:val="32"/>
        </w:rPr>
        <w:t>1</w:t>
      </w:r>
      <w:r>
        <w:rPr>
          <w:rFonts w:hint="eastAsia" w:ascii="仿宋" w:hAnsi="仿宋" w:eastAsia="仿宋" w:cs="仿宋"/>
          <w:sz w:val="32"/>
          <w:szCs w:val="32"/>
        </w:rPr>
        <w:t>、收入说明</w:t>
      </w:r>
    </w:p>
    <w:p w14:paraId="5843862B">
      <w:pPr>
        <w:ind w:firstLine="640" w:firstLineChars="200"/>
        <w:rPr>
          <w:rFonts w:ascii="仿宋" w:hAnsi="仿宋" w:eastAsia="仿宋" w:cs="Times New Roman"/>
          <w:sz w:val="32"/>
          <w:szCs w:val="32"/>
        </w:rPr>
      </w:pPr>
      <w:r>
        <w:rPr>
          <w:rFonts w:ascii="仿宋" w:hAnsi="仿宋" w:eastAsia="仿宋" w:cs="仿宋"/>
          <w:sz w:val="32"/>
          <w:szCs w:val="32"/>
        </w:rPr>
        <w:t>2022</w:t>
      </w:r>
      <w:r>
        <w:rPr>
          <w:rFonts w:hint="eastAsia" w:ascii="仿宋" w:hAnsi="仿宋" w:eastAsia="仿宋" w:cs="仿宋"/>
          <w:sz w:val="32"/>
          <w:szCs w:val="32"/>
        </w:rPr>
        <w:t>年预算收入</w:t>
      </w:r>
      <w:r>
        <w:rPr>
          <w:rFonts w:ascii="仿宋" w:hAnsi="仿宋" w:eastAsia="仿宋" w:cs="仿宋"/>
          <w:sz w:val="32"/>
          <w:szCs w:val="32"/>
        </w:rPr>
        <w:t>5606.53</w:t>
      </w:r>
      <w:r>
        <w:rPr>
          <w:rFonts w:hint="eastAsia" w:ascii="仿宋" w:hAnsi="仿宋" w:eastAsia="仿宋" w:cs="仿宋"/>
          <w:sz w:val="32"/>
          <w:szCs w:val="32"/>
        </w:rPr>
        <w:t>万元，其中：本年财政拨款收入</w:t>
      </w:r>
      <w:r>
        <w:rPr>
          <w:rFonts w:ascii="仿宋" w:hAnsi="仿宋" w:eastAsia="仿宋" w:cs="仿宋"/>
          <w:sz w:val="32"/>
          <w:szCs w:val="32"/>
        </w:rPr>
        <w:t>5606.53</w:t>
      </w:r>
      <w:r>
        <w:rPr>
          <w:rFonts w:hint="eastAsia" w:ascii="仿宋" w:hAnsi="仿宋" w:eastAsia="仿宋" w:cs="仿宋"/>
          <w:sz w:val="32"/>
          <w:szCs w:val="32"/>
        </w:rPr>
        <w:t>万元。</w:t>
      </w:r>
    </w:p>
    <w:p w14:paraId="776E61D2">
      <w:pPr>
        <w:numPr>
          <w:ilvl w:val="0"/>
          <w:numId w:val="3"/>
        </w:numPr>
        <w:ind w:firstLine="640"/>
        <w:rPr>
          <w:rFonts w:ascii="仿宋" w:hAnsi="仿宋" w:eastAsia="仿宋" w:cs="Times New Roman"/>
          <w:sz w:val="32"/>
          <w:szCs w:val="32"/>
        </w:rPr>
      </w:pPr>
      <w:r>
        <w:rPr>
          <w:rFonts w:hint="eastAsia" w:ascii="仿宋" w:hAnsi="仿宋" w:eastAsia="仿宋" w:cs="仿宋"/>
          <w:sz w:val="32"/>
          <w:szCs w:val="32"/>
        </w:rPr>
        <w:t>支出说明</w:t>
      </w:r>
    </w:p>
    <w:p w14:paraId="7EE4D5C9">
      <w:pPr>
        <w:ind w:firstLine="640" w:firstLineChars="200"/>
        <w:rPr>
          <w:rFonts w:ascii="仿宋" w:hAnsi="仿宋" w:eastAsia="仿宋" w:cs="Times New Roman"/>
          <w:sz w:val="32"/>
          <w:szCs w:val="32"/>
        </w:rPr>
      </w:pPr>
      <w:r>
        <w:rPr>
          <w:rFonts w:hint="eastAsia" w:ascii="仿宋" w:hAnsi="仿宋" w:eastAsia="仿宋" w:cs="仿宋"/>
          <w:sz w:val="32"/>
          <w:szCs w:val="32"/>
        </w:rPr>
        <w:t>收支预算总表支出栏、基本支出表、项目支出表按经济分类和支出功能分类科目编制，反映宁晋县纪昌庄镇人民政府年度部门预算中支出预算的总体情况。</w:t>
      </w:r>
      <w:r>
        <w:rPr>
          <w:rFonts w:ascii="仿宋" w:hAnsi="仿宋" w:eastAsia="仿宋" w:cs="仿宋"/>
          <w:sz w:val="32"/>
          <w:szCs w:val="32"/>
        </w:rPr>
        <w:t>2022</w:t>
      </w:r>
      <w:r>
        <w:rPr>
          <w:rFonts w:hint="eastAsia" w:ascii="仿宋" w:hAnsi="仿宋" w:eastAsia="仿宋" w:cs="仿宋"/>
          <w:sz w:val="32"/>
          <w:szCs w:val="32"/>
        </w:rPr>
        <w:t>年部门支出预算为</w:t>
      </w:r>
      <w:r>
        <w:rPr>
          <w:rFonts w:ascii="仿宋" w:hAnsi="仿宋" w:eastAsia="仿宋" w:cs="仿宋"/>
          <w:sz w:val="32"/>
          <w:szCs w:val="32"/>
        </w:rPr>
        <w:t>5606.53</w:t>
      </w:r>
      <w:r>
        <w:rPr>
          <w:rFonts w:hint="eastAsia" w:ascii="仿宋" w:hAnsi="仿宋" w:eastAsia="仿宋" w:cs="仿宋"/>
          <w:sz w:val="32"/>
          <w:szCs w:val="32"/>
        </w:rPr>
        <w:t>万元，其中基本支出</w:t>
      </w:r>
      <w:r>
        <w:rPr>
          <w:rFonts w:ascii="仿宋" w:hAnsi="仿宋" w:eastAsia="仿宋" w:cs="仿宋"/>
          <w:sz w:val="32"/>
          <w:szCs w:val="32"/>
        </w:rPr>
        <w:t>427.22</w:t>
      </w:r>
      <w:r>
        <w:rPr>
          <w:rFonts w:hint="eastAsia" w:ascii="仿宋" w:hAnsi="仿宋" w:eastAsia="仿宋" w:cs="仿宋"/>
          <w:sz w:val="32"/>
          <w:szCs w:val="32"/>
        </w:rPr>
        <w:t>万元，包括人员经费</w:t>
      </w:r>
      <w:r>
        <w:rPr>
          <w:rFonts w:ascii="仿宋" w:hAnsi="仿宋" w:eastAsia="仿宋" w:cs="仿宋"/>
          <w:sz w:val="32"/>
          <w:szCs w:val="32"/>
        </w:rPr>
        <w:t>383.7</w:t>
      </w:r>
      <w:r>
        <w:rPr>
          <w:rFonts w:hint="eastAsia" w:ascii="仿宋" w:hAnsi="仿宋" w:eastAsia="仿宋" w:cs="仿宋"/>
          <w:sz w:val="32"/>
          <w:szCs w:val="32"/>
        </w:rPr>
        <w:t>万元和日常公用经费</w:t>
      </w:r>
      <w:r>
        <w:rPr>
          <w:rFonts w:ascii="仿宋" w:hAnsi="仿宋" w:eastAsia="仿宋" w:cs="仿宋"/>
          <w:sz w:val="32"/>
          <w:szCs w:val="32"/>
        </w:rPr>
        <w:t>43.52</w:t>
      </w:r>
      <w:r>
        <w:rPr>
          <w:rFonts w:hint="eastAsia" w:ascii="仿宋" w:hAnsi="仿宋" w:eastAsia="仿宋" w:cs="仿宋"/>
          <w:sz w:val="32"/>
          <w:szCs w:val="32"/>
        </w:rPr>
        <w:t>万元；项目支出</w:t>
      </w:r>
      <w:r>
        <w:rPr>
          <w:rFonts w:ascii="仿宋" w:hAnsi="仿宋" w:eastAsia="仿宋" w:cs="仿宋"/>
          <w:sz w:val="32"/>
          <w:szCs w:val="32"/>
        </w:rPr>
        <w:t>5179.31</w:t>
      </w:r>
      <w:r>
        <w:rPr>
          <w:rFonts w:hint="eastAsia" w:ascii="仿宋" w:hAnsi="仿宋" w:eastAsia="仿宋" w:cs="仿宋"/>
          <w:sz w:val="32"/>
          <w:szCs w:val="32"/>
        </w:rPr>
        <w:t>万元，全部为本级支出。</w:t>
      </w:r>
    </w:p>
    <w:p w14:paraId="55682D93">
      <w:pPr>
        <w:numPr>
          <w:ilvl w:val="0"/>
          <w:numId w:val="3"/>
        </w:numPr>
        <w:ind w:firstLine="640"/>
        <w:rPr>
          <w:rFonts w:ascii="仿宋" w:hAnsi="仿宋" w:eastAsia="仿宋" w:cs="Times New Roman"/>
          <w:sz w:val="32"/>
          <w:szCs w:val="32"/>
        </w:rPr>
      </w:pPr>
      <w:r>
        <w:rPr>
          <w:rFonts w:hint="eastAsia" w:ascii="仿宋" w:hAnsi="仿宋" w:eastAsia="仿宋" w:cs="仿宋"/>
          <w:sz w:val="32"/>
          <w:szCs w:val="32"/>
        </w:rPr>
        <w:t>比上年增减情况</w:t>
      </w:r>
    </w:p>
    <w:p w14:paraId="06290E8F">
      <w:pPr>
        <w:ind w:firstLine="480" w:firstLineChars="150"/>
        <w:rPr>
          <w:rFonts w:ascii="仿宋" w:hAnsi="仿宋" w:eastAsia="仿宋" w:cs="Times New Roman"/>
          <w:sz w:val="32"/>
          <w:szCs w:val="32"/>
        </w:rPr>
      </w:pP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年部门</w:t>
      </w:r>
      <w:r>
        <w:rPr>
          <w:rFonts w:hint="eastAsia" w:ascii="仿宋" w:hAnsi="仿宋" w:eastAsia="仿宋" w:cs="仿宋"/>
          <w:sz w:val="32"/>
          <w:szCs w:val="32"/>
        </w:rPr>
        <w:t>预算较</w:t>
      </w:r>
      <w:r>
        <w:rPr>
          <w:rFonts w:ascii="仿宋" w:hAnsi="仿宋" w:eastAsia="仿宋" w:cs="仿宋"/>
          <w:sz w:val="32"/>
          <w:szCs w:val="32"/>
        </w:rPr>
        <w:t>2021</w:t>
      </w:r>
      <w:r>
        <w:rPr>
          <w:rFonts w:hint="eastAsia" w:ascii="仿宋" w:hAnsi="仿宋" w:eastAsia="仿宋" w:cs="仿宋"/>
          <w:sz w:val="32"/>
          <w:szCs w:val="32"/>
        </w:rPr>
        <w:t>年支出增加</w:t>
      </w:r>
      <w:r>
        <w:rPr>
          <w:rFonts w:ascii="仿宋" w:hAnsi="仿宋" w:eastAsia="仿宋" w:cs="仿宋"/>
          <w:sz w:val="32"/>
          <w:szCs w:val="32"/>
        </w:rPr>
        <w:t>4785.53</w:t>
      </w:r>
      <w:r>
        <w:rPr>
          <w:rFonts w:hint="eastAsia" w:ascii="仿宋" w:hAnsi="仿宋" w:eastAsia="仿宋" w:cs="仿宋"/>
          <w:sz w:val="32"/>
          <w:szCs w:val="32"/>
        </w:rPr>
        <w:t>万元，其中：基本支出增加</w:t>
      </w:r>
      <w:r>
        <w:rPr>
          <w:rFonts w:ascii="仿宋" w:hAnsi="仿宋" w:eastAsia="仿宋" w:cs="仿宋"/>
          <w:sz w:val="32"/>
          <w:szCs w:val="32"/>
        </w:rPr>
        <w:t>4.35</w:t>
      </w:r>
      <w:r>
        <w:rPr>
          <w:rFonts w:hint="eastAsia" w:ascii="仿宋" w:hAnsi="仿宋" w:eastAsia="仿宋" w:cs="仿宋"/>
          <w:sz w:val="32"/>
          <w:szCs w:val="32"/>
        </w:rPr>
        <w:t>万元，主要是人员经费增加形成；项目支出增加</w:t>
      </w:r>
      <w:r>
        <w:rPr>
          <w:rFonts w:ascii="仿宋" w:hAnsi="仿宋" w:eastAsia="仿宋" w:cs="仿宋"/>
          <w:sz w:val="32"/>
          <w:szCs w:val="32"/>
        </w:rPr>
        <w:t>4781.18</w:t>
      </w:r>
      <w:r>
        <w:rPr>
          <w:rFonts w:hint="eastAsia" w:ascii="仿宋" w:hAnsi="仿宋" w:eastAsia="仿宋" w:cs="仿宋"/>
          <w:sz w:val="32"/>
          <w:szCs w:val="32"/>
        </w:rPr>
        <w:t>万元，主要是项目支出增加村庄街道硬化项目。</w:t>
      </w:r>
    </w:p>
    <w:p w14:paraId="15FEFEAA">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黑体"/>
          <w:sz w:val="32"/>
          <w:szCs w:val="32"/>
        </w:rPr>
        <w:t>三、机关运行经费安排情况</w:t>
      </w:r>
    </w:p>
    <w:p w14:paraId="48F2CB93">
      <w:pPr>
        <w:autoSpaceDE w:val="0"/>
        <w:autoSpaceDN w:val="0"/>
        <w:adjustRightInd w:val="0"/>
        <w:ind w:left="198" w:firstLine="640" w:firstLineChars="2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机关运行经费共计安排</w:t>
      </w:r>
      <w:r>
        <w:rPr>
          <w:rFonts w:ascii="仿宋_GB2312" w:hAnsi="仿宋_GB2312" w:eastAsia="仿宋_GB2312" w:cs="仿宋_GB2312"/>
          <w:sz w:val="32"/>
          <w:szCs w:val="32"/>
        </w:rPr>
        <w:t>43.52</w:t>
      </w:r>
      <w:r>
        <w:rPr>
          <w:rFonts w:hint="eastAsia" w:ascii="仿宋_GB2312" w:hAnsi="仿宋_GB2312" w:eastAsia="仿宋_GB2312" w:cs="仿宋_GB2312"/>
          <w:sz w:val="32"/>
          <w:szCs w:val="32"/>
        </w:rPr>
        <w:t>万元，主要用于保证机关正常运转的办公及印刷费、邮电费、差旅费、会议费、接待费、交通费、工会经费、通讯费、专用材料及一般设备购置费、办公用房水电费、办公用房取暖费、日常维修费、办公楼物业管理费、公务车运行维护费等支出。</w:t>
      </w:r>
    </w:p>
    <w:p w14:paraId="0083E761">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黑体"/>
          <w:sz w:val="32"/>
          <w:szCs w:val="32"/>
        </w:rPr>
        <w:t>四、财政拨款“三公”经费预算情况及增减变化原因</w:t>
      </w:r>
    </w:p>
    <w:p w14:paraId="2F310774">
      <w:pPr>
        <w:autoSpaceDE w:val="0"/>
        <w:autoSpaceDN w:val="0"/>
        <w:adjustRightInd w:val="0"/>
        <w:ind w:left="198" w:firstLine="640" w:firstLineChars="200"/>
        <w:jc w:val="left"/>
        <w:rPr>
          <w:rFonts w:ascii="仿宋_GB2312" w:hAnsi="仿宋_GB2312" w:eastAsia="仿宋_GB2312" w:cs="Times New Roman"/>
          <w:sz w:val="32"/>
          <w:szCs w:val="32"/>
        </w:rPr>
      </w:pP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年，财政拨款“三公”经费预算安排</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元，其中：因公出国（境）费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万元；公务用车购置</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万元及公务用车运行维护费</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万元（其中：公务用车购置费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万元，公务用车运行费</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；公务接待费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万元；会议费</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万元。“三公”经费与上年减少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万元，公务用车运行费与上年持平，公务接待减少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w:t>
      </w:r>
    </w:p>
    <w:p w14:paraId="172D7001">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黑体"/>
          <w:sz w:val="32"/>
          <w:szCs w:val="32"/>
        </w:rPr>
        <w:t>五、绩效预算信息</w:t>
      </w:r>
    </w:p>
    <w:p w14:paraId="712625AC">
      <w:pPr>
        <w:ind w:firstLine="643" w:firstLineChars="200"/>
        <w:jc w:val="left"/>
        <w:rPr>
          <w:rFonts w:ascii="Times New Roman" w:hAnsi="Times New Roman" w:eastAsia="方正仿宋_GBK" w:cs="Times New Roman"/>
          <w:b/>
          <w:bCs/>
          <w:sz w:val="32"/>
          <w:szCs w:val="32"/>
        </w:rPr>
      </w:pPr>
      <w:bookmarkStart w:id="0" w:name="_Toc471398463"/>
      <w:r>
        <w:rPr>
          <w:rFonts w:hint="eastAsia" w:ascii="Times New Roman" w:hAnsi="Times New Roman" w:eastAsia="方正仿宋_GBK" w:cs="方正仿宋_GBK"/>
          <w:b/>
          <w:bCs/>
          <w:sz w:val="32"/>
          <w:szCs w:val="32"/>
        </w:rPr>
        <w:t>总体绩效目标：</w:t>
      </w:r>
    </w:p>
    <w:p w14:paraId="68A67E93">
      <w:pPr>
        <w:ind w:firstLine="640" w:firstLineChars="200"/>
        <w:jc w:val="left"/>
        <w:rPr>
          <w:rFonts w:ascii="Times New Roman" w:hAnsi="Times New Roman" w:eastAsia="方正仿宋_GBK" w:cs="Times New Roman"/>
          <w:b/>
          <w:bCs/>
          <w:sz w:val="32"/>
          <w:szCs w:val="32"/>
        </w:rPr>
      </w:pPr>
      <w:r>
        <w:rPr>
          <w:rFonts w:hint="eastAsia" w:ascii="仿宋_GB2312" w:hAnsi="仿宋_GB2312" w:eastAsia="仿宋_GB2312" w:cs="仿宋_GB2312"/>
          <w:sz w:val="32"/>
          <w:szCs w:val="32"/>
        </w:rPr>
        <w:t>根据纪昌庄镇第一届人民代表大会第一次会议通过的工作报告，深入贯彻依法治国方略，全面履行法定职责，努力推进宁晋建设进程。</w:t>
      </w:r>
    </w:p>
    <w:p w14:paraId="08EC04A0">
      <w:pPr>
        <w:ind w:firstLine="640" w:firstLineChars="200"/>
        <w:rPr>
          <w:rFonts w:ascii="仿宋" w:hAnsi="仿宋" w:eastAsia="仿宋" w:cs="Times New Roman"/>
          <w:sz w:val="32"/>
          <w:szCs w:val="32"/>
        </w:rPr>
      </w:pPr>
      <w:r>
        <w:rPr>
          <w:rFonts w:hint="eastAsia" w:ascii="仿宋" w:hAnsi="仿宋" w:eastAsia="仿宋" w:cs="仿宋"/>
          <w:sz w:val="32"/>
          <w:szCs w:val="32"/>
        </w:rPr>
        <w:t>部门职责分类绩效目标情况说明</w:t>
      </w:r>
    </w:p>
    <w:p w14:paraId="2CBEFC17">
      <w:pPr>
        <w:ind w:firstLine="560"/>
        <w:rPr>
          <w:rFonts w:ascii="仿宋" w:hAnsi="仿宋" w:eastAsia="仿宋" w:cs="Times New Roman"/>
          <w:sz w:val="32"/>
          <w:szCs w:val="32"/>
        </w:rPr>
      </w:pPr>
      <w:r>
        <w:rPr>
          <w:rFonts w:hint="eastAsia" w:ascii="仿宋" w:hAnsi="仿宋" w:eastAsia="仿宋" w:cs="仿宋"/>
          <w:sz w:val="32"/>
          <w:szCs w:val="32"/>
        </w:rPr>
        <w:t>加强和改进代表工作；加强常委会及机关自身建设；完成县委招商引资、党建、涉法涉诉来信来访、计生、精神文明及县委交办的</w:t>
      </w:r>
      <w:r>
        <w:rPr>
          <w:rFonts w:hint="eastAsia" w:ascii="仿宋" w:hAnsi="仿宋" w:eastAsia="仿宋" w:cs="仿宋"/>
          <w:sz w:val="32"/>
          <w:szCs w:val="32"/>
          <w:lang w:eastAsia="zh-CN"/>
        </w:rPr>
        <w:t>其他各项工作</w:t>
      </w:r>
      <w:r>
        <w:rPr>
          <w:rFonts w:hint="eastAsia" w:ascii="仿宋" w:hAnsi="仿宋" w:eastAsia="仿宋" w:cs="仿宋"/>
          <w:sz w:val="32"/>
          <w:szCs w:val="32"/>
        </w:rPr>
        <w:t>；实现职责目标的主要措施：依法组织召开“三会”；适时组织开展调研、视察和执法检查，听取并审议专项工作、询问等。</w:t>
      </w:r>
    </w:p>
    <w:p w14:paraId="239C7390">
      <w:pPr>
        <w:ind w:firstLine="560"/>
        <w:rPr>
          <w:rFonts w:ascii="仿宋" w:hAnsi="仿宋" w:eastAsia="仿宋" w:cs="Times New Roman"/>
          <w:sz w:val="32"/>
          <w:szCs w:val="32"/>
        </w:rPr>
      </w:pPr>
      <w:r>
        <w:rPr>
          <w:rFonts w:hint="eastAsia" w:ascii="仿宋" w:hAnsi="仿宋" w:eastAsia="仿宋" w:cs="仿宋"/>
          <w:sz w:val="32"/>
          <w:szCs w:val="32"/>
        </w:rPr>
        <w:t>实现年度发展规划目标的保障措施</w:t>
      </w:r>
    </w:p>
    <w:p w14:paraId="75650F95">
      <w:pPr>
        <w:ind w:firstLine="560"/>
        <w:rPr>
          <w:rFonts w:ascii="仿宋" w:hAnsi="仿宋" w:eastAsia="仿宋" w:cs="Times New Roman"/>
          <w:sz w:val="32"/>
          <w:szCs w:val="32"/>
        </w:rPr>
      </w:pPr>
      <w:r>
        <w:rPr>
          <w:rFonts w:hint="eastAsia" w:ascii="仿宋" w:hAnsi="仿宋" w:eastAsia="仿宋" w:cs="仿宋"/>
          <w:sz w:val="32"/>
          <w:szCs w:val="32"/>
        </w:rPr>
        <w:t>实现本年度发展规划目标的保障措施</w:t>
      </w:r>
    </w:p>
    <w:p w14:paraId="5661EC67">
      <w:pPr>
        <w:ind w:firstLine="560"/>
        <w:rPr>
          <w:rFonts w:ascii="仿宋" w:hAnsi="仿宋" w:eastAsia="仿宋" w:cs="Times New Roman"/>
          <w:sz w:val="32"/>
          <w:szCs w:val="32"/>
        </w:rPr>
      </w:pPr>
      <w:r>
        <w:rPr>
          <w:rFonts w:hint="eastAsia" w:ascii="仿宋" w:hAnsi="仿宋" w:eastAsia="仿宋" w:cs="仿宋"/>
          <w:sz w:val="32"/>
          <w:szCs w:val="32"/>
        </w:rPr>
        <w:t>实现年度发展规划主要依照宪法和监督法、代表法、组织法等法律法规，围绕县委重大决策战略部署和人民代表大会决议决策为依据和保障。其资金配置全部为县财政拨款方式。</w:t>
      </w:r>
    </w:p>
    <w:p w14:paraId="56995E35">
      <w:pPr>
        <w:ind w:firstLine="560"/>
        <w:rPr>
          <w:rFonts w:ascii="宋体" w:cs="Times New Roman"/>
          <w:b/>
          <w:bCs/>
          <w:sz w:val="32"/>
          <w:szCs w:val="32"/>
        </w:rPr>
      </w:pPr>
      <w:r>
        <w:rPr>
          <w:rFonts w:hint="eastAsia" w:ascii="宋体" w:hAnsi="宋体" w:cs="宋体"/>
          <w:b/>
          <w:bCs/>
          <w:sz w:val="32"/>
          <w:szCs w:val="32"/>
        </w:rPr>
        <w:t>部门职责及工作活动绩效目标指标：</w:t>
      </w:r>
    </w:p>
    <w:p w14:paraId="03952013">
      <w:pPr>
        <w:jc w:val="center"/>
        <w:outlineLvl w:val="0"/>
        <w:rPr>
          <w:rFonts w:ascii="仿宋" w:hAnsi="仿宋" w:eastAsia="仿宋" w:cs="Times New Roman"/>
          <w:b/>
          <w:bCs/>
          <w:sz w:val="32"/>
          <w:szCs w:val="32"/>
        </w:rPr>
      </w:pPr>
    </w:p>
    <w:p w14:paraId="61B34023">
      <w:pPr>
        <w:jc w:val="center"/>
        <w:outlineLvl w:val="0"/>
        <w:rPr>
          <w:rFonts w:ascii="仿宋" w:hAnsi="仿宋" w:eastAsia="仿宋" w:cs="Times New Roman"/>
          <w:sz w:val="32"/>
          <w:szCs w:val="32"/>
        </w:rPr>
      </w:pPr>
      <w:r>
        <w:rPr>
          <w:rFonts w:hint="eastAsia" w:ascii="仿宋" w:hAnsi="仿宋" w:eastAsia="仿宋" w:cs="仿宋"/>
          <w:sz w:val="32"/>
          <w:szCs w:val="32"/>
        </w:rPr>
        <w:t>部门职责</w:t>
      </w:r>
      <w:r>
        <w:rPr>
          <w:rFonts w:ascii="仿宋" w:hAnsi="仿宋" w:eastAsia="仿宋" w:cs="仿宋"/>
          <w:sz w:val="32"/>
          <w:szCs w:val="32"/>
        </w:rPr>
        <w:t>-</w:t>
      </w:r>
      <w:r>
        <w:rPr>
          <w:rFonts w:hint="eastAsia" w:ascii="仿宋" w:hAnsi="仿宋" w:eastAsia="仿宋" w:cs="仿宋"/>
          <w:sz w:val="32"/>
          <w:szCs w:val="32"/>
        </w:rPr>
        <w:t>工作活动绩效目标</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69"/>
        <w:gridCol w:w="929"/>
        <w:gridCol w:w="3040"/>
        <w:gridCol w:w="2835"/>
        <w:gridCol w:w="2914"/>
        <w:gridCol w:w="708"/>
        <w:gridCol w:w="709"/>
        <w:gridCol w:w="709"/>
        <w:gridCol w:w="621"/>
      </w:tblGrid>
      <w:tr w14:paraId="5C37E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3934" w:type="dxa"/>
            <w:gridSpan w:val="9"/>
            <w:tcBorders>
              <w:top w:val="single" w:color="FFFFFF" w:sz="6" w:space="0"/>
              <w:left w:val="single" w:color="FFFFFF" w:sz="6" w:space="0"/>
              <w:right w:val="single" w:color="FFFFFF" w:sz="6" w:space="0"/>
            </w:tcBorders>
            <w:vAlign w:val="center"/>
          </w:tcPr>
          <w:p w14:paraId="38BED213">
            <w:pPr>
              <w:spacing w:line="300" w:lineRule="exact"/>
              <w:jc w:val="left"/>
              <w:rPr>
                <w:rFonts w:ascii="仿宋" w:hAnsi="仿宋" w:eastAsia="仿宋" w:cs="Times New Roman"/>
                <w:sz w:val="24"/>
                <w:szCs w:val="24"/>
              </w:rPr>
            </w:pPr>
            <w:r>
              <w:rPr>
                <w:rFonts w:ascii="仿宋" w:hAnsi="仿宋" w:eastAsia="仿宋" w:cs="仿宋"/>
                <w:sz w:val="24"/>
                <w:szCs w:val="24"/>
              </w:rPr>
              <w:t>967</w:t>
            </w:r>
            <w:r>
              <w:rPr>
                <w:rFonts w:hint="eastAsia" w:ascii="仿宋" w:hAnsi="仿宋" w:eastAsia="仿宋" w:cs="仿宋"/>
                <w:sz w:val="24"/>
                <w:szCs w:val="24"/>
              </w:rPr>
              <w:t>宁晋县纪昌庄镇人民政府</w:t>
            </w:r>
          </w:p>
        </w:tc>
      </w:tr>
      <w:tr w14:paraId="18F84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469" w:type="dxa"/>
            <w:vMerge w:val="restart"/>
            <w:vAlign w:val="center"/>
          </w:tcPr>
          <w:p w14:paraId="35B33C93">
            <w:pPr>
              <w:spacing w:line="300" w:lineRule="exact"/>
              <w:jc w:val="center"/>
              <w:rPr>
                <w:rFonts w:ascii="仿宋" w:hAnsi="仿宋" w:eastAsia="仿宋" w:cs="Times New Roman"/>
                <w:b/>
                <w:bCs/>
              </w:rPr>
            </w:pPr>
            <w:r>
              <w:rPr>
                <w:rFonts w:hint="eastAsia" w:ascii="仿宋" w:hAnsi="仿宋" w:eastAsia="仿宋" w:cs="仿宋"/>
                <w:b/>
                <w:bCs/>
              </w:rPr>
              <w:t>职责活动</w:t>
            </w:r>
          </w:p>
        </w:tc>
        <w:tc>
          <w:tcPr>
            <w:tcW w:w="929" w:type="dxa"/>
            <w:vMerge w:val="restart"/>
            <w:vAlign w:val="center"/>
          </w:tcPr>
          <w:p w14:paraId="38FE2CC2">
            <w:pPr>
              <w:spacing w:line="300" w:lineRule="exact"/>
              <w:jc w:val="center"/>
              <w:rPr>
                <w:rFonts w:ascii="仿宋" w:hAnsi="仿宋" w:eastAsia="仿宋" w:cs="Times New Roman"/>
                <w:b/>
                <w:bCs/>
              </w:rPr>
            </w:pPr>
            <w:r>
              <w:rPr>
                <w:rFonts w:hint="eastAsia" w:ascii="仿宋" w:hAnsi="仿宋" w:eastAsia="仿宋" w:cs="仿宋"/>
                <w:b/>
                <w:bCs/>
              </w:rPr>
              <w:t>年度预算数</w:t>
            </w:r>
          </w:p>
        </w:tc>
        <w:tc>
          <w:tcPr>
            <w:tcW w:w="3040" w:type="dxa"/>
            <w:vMerge w:val="restart"/>
            <w:vAlign w:val="center"/>
          </w:tcPr>
          <w:p w14:paraId="6F46AFE5">
            <w:pPr>
              <w:spacing w:line="300" w:lineRule="exact"/>
              <w:jc w:val="center"/>
              <w:rPr>
                <w:rFonts w:ascii="仿宋" w:hAnsi="仿宋" w:eastAsia="仿宋" w:cs="Times New Roman"/>
                <w:b/>
                <w:bCs/>
              </w:rPr>
            </w:pPr>
            <w:r>
              <w:rPr>
                <w:rFonts w:hint="eastAsia" w:ascii="仿宋" w:hAnsi="仿宋" w:eastAsia="仿宋" w:cs="仿宋"/>
                <w:b/>
                <w:bCs/>
              </w:rPr>
              <w:t>内容描述</w:t>
            </w:r>
          </w:p>
        </w:tc>
        <w:tc>
          <w:tcPr>
            <w:tcW w:w="2835" w:type="dxa"/>
            <w:vMerge w:val="restart"/>
            <w:vAlign w:val="center"/>
          </w:tcPr>
          <w:p w14:paraId="488D4C04">
            <w:pPr>
              <w:spacing w:line="300" w:lineRule="exact"/>
              <w:jc w:val="center"/>
              <w:rPr>
                <w:rFonts w:ascii="仿宋" w:hAnsi="仿宋" w:eastAsia="仿宋" w:cs="Times New Roman"/>
                <w:b/>
                <w:bCs/>
              </w:rPr>
            </w:pPr>
            <w:r>
              <w:rPr>
                <w:rFonts w:hint="eastAsia" w:ascii="仿宋" w:hAnsi="仿宋" w:eastAsia="仿宋" w:cs="仿宋"/>
                <w:b/>
                <w:bCs/>
              </w:rPr>
              <w:t>绩效目标</w:t>
            </w:r>
          </w:p>
        </w:tc>
        <w:tc>
          <w:tcPr>
            <w:tcW w:w="2914" w:type="dxa"/>
            <w:vMerge w:val="restart"/>
            <w:vAlign w:val="center"/>
          </w:tcPr>
          <w:p w14:paraId="685BB215">
            <w:pPr>
              <w:spacing w:line="300" w:lineRule="exact"/>
              <w:jc w:val="center"/>
              <w:rPr>
                <w:rFonts w:ascii="仿宋" w:hAnsi="仿宋" w:eastAsia="仿宋" w:cs="Times New Roman"/>
                <w:b/>
                <w:bCs/>
              </w:rPr>
            </w:pPr>
            <w:r>
              <w:rPr>
                <w:rFonts w:hint="eastAsia" w:ascii="仿宋" w:hAnsi="仿宋" w:eastAsia="仿宋" w:cs="仿宋"/>
                <w:b/>
                <w:bCs/>
              </w:rPr>
              <w:t>绩效指标</w:t>
            </w:r>
          </w:p>
        </w:tc>
        <w:tc>
          <w:tcPr>
            <w:tcW w:w="2747" w:type="dxa"/>
            <w:gridSpan w:val="4"/>
            <w:vAlign w:val="center"/>
          </w:tcPr>
          <w:p w14:paraId="42305642">
            <w:pPr>
              <w:spacing w:line="300" w:lineRule="exact"/>
              <w:jc w:val="center"/>
              <w:rPr>
                <w:rFonts w:ascii="仿宋" w:hAnsi="仿宋" w:eastAsia="仿宋" w:cs="Times New Roman"/>
                <w:b/>
                <w:bCs/>
              </w:rPr>
            </w:pPr>
            <w:r>
              <w:rPr>
                <w:rFonts w:hint="eastAsia" w:ascii="仿宋" w:hAnsi="仿宋" w:eastAsia="仿宋" w:cs="仿宋"/>
                <w:b/>
                <w:bCs/>
              </w:rPr>
              <w:t>评价标准</w:t>
            </w:r>
          </w:p>
        </w:tc>
      </w:tr>
      <w:tr w14:paraId="0CDC7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469" w:type="dxa"/>
            <w:vMerge w:val="continue"/>
            <w:vAlign w:val="center"/>
          </w:tcPr>
          <w:p w14:paraId="12B65C16">
            <w:pPr>
              <w:spacing w:line="300" w:lineRule="exact"/>
              <w:jc w:val="left"/>
              <w:outlineLvl w:val="0"/>
              <w:rPr>
                <w:rFonts w:ascii="仿宋" w:hAnsi="仿宋" w:eastAsia="仿宋" w:cs="Times New Roman"/>
              </w:rPr>
            </w:pPr>
          </w:p>
        </w:tc>
        <w:tc>
          <w:tcPr>
            <w:tcW w:w="929" w:type="dxa"/>
            <w:vMerge w:val="continue"/>
            <w:vAlign w:val="center"/>
          </w:tcPr>
          <w:p w14:paraId="365A0A56">
            <w:pPr>
              <w:spacing w:line="300" w:lineRule="exact"/>
              <w:jc w:val="left"/>
              <w:outlineLvl w:val="0"/>
              <w:rPr>
                <w:rFonts w:ascii="仿宋" w:hAnsi="仿宋" w:eastAsia="仿宋" w:cs="Times New Roman"/>
              </w:rPr>
            </w:pPr>
          </w:p>
        </w:tc>
        <w:tc>
          <w:tcPr>
            <w:tcW w:w="3040" w:type="dxa"/>
            <w:vMerge w:val="continue"/>
            <w:vAlign w:val="center"/>
          </w:tcPr>
          <w:p w14:paraId="4DCDFFCE">
            <w:pPr>
              <w:spacing w:line="300" w:lineRule="exact"/>
              <w:jc w:val="left"/>
              <w:outlineLvl w:val="0"/>
              <w:rPr>
                <w:rFonts w:ascii="仿宋" w:hAnsi="仿宋" w:eastAsia="仿宋" w:cs="Times New Roman"/>
              </w:rPr>
            </w:pPr>
          </w:p>
        </w:tc>
        <w:tc>
          <w:tcPr>
            <w:tcW w:w="2835" w:type="dxa"/>
            <w:vMerge w:val="continue"/>
            <w:vAlign w:val="center"/>
          </w:tcPr>
          <w:p w14:paraId="317188C5">
            <w:pPr>
              <w:spacing w:line="300" w:lineRule="exact"/>
              <w:jc w:val="left"/>
              <w:outlineLvl w:val="0"/>
              <w:rPr>
                <w:rFonts w:ascii="仿宋" w:hAnsi="仿宋" w:eastAsia="仿宋" w:cs="Times New Roman"/>
              </w:rPr>
            </w:pPr>
          </w:p>
        </w:tc>
        <w:tc>
          <w:tcPr>
            <w:tcW w:w="2914" w:type="dxa"/>
            <w:vMerge w:val="continue"/>
            <w:vAlign w:val="center"/>
          </w:tcPr>
          <w:p w14:paraId="3B8F8F39">
            <w:pPr>
              <w:spacing w:line="300" w:lineRule="exact"/>
              <w:jc w:val="left"/>
              <w:outlineLvl w:val="0"/>
              <w:rPr>
                <w:rFonts w:ascii="仿宋" w:hAnsi="仿宋" w:eastAsia="仿宋" w:cs="Times New Roman"/>
              </w:rPr>
            </w:pPr>
          </w:p>
        </w:tc>
        <w:tc>
          <w:tcPr>
            <w:tcW w:w="708" w:type="dxa"/>
            <w:vAlign w:val="center"/>
          </w:tcPr>
          <w:p w14:paraId="0D848BB6">
            <w:pPr>
              <w:spacing w:line="300" w:lineRule="exact"/>
              <w:jc w:val="center"/>
              <w:rPr>
                <w:rFonts w:ascii="仿宋" w:hAnsi="仿宋" w:eastAsia="仿宋" w:cs="Times New Roman"/>
                <w:b/>
                <w:bCs/>
              </w:rPr>
            </w:pPr>
            <w:r>
              <w:rPr>
                <w:rFonts w:hint="eastAsia" w:ascii="仿宋" w:hAnsi="仿宋" w:eastAsia="仿宋" w:cs="仿宋"/>
                <w:b/>
                <w:bCs/>
              </w:rPr>
              <w:t>优</w:t>
            </w:r>
          </w:p>
        </w:tc>
        <w:tc>
          <w:tcPr>
            <w:tcW w:w="709" w:type="dxa"/>
            <w:vAlign w:val="center"/>
          </w:tcPr>
          <w:p w14:paraId="7304A54E">
            <w:pPr>
              <w:spacing w:line="300" w:lineRule="exact"/>
              <w:jc w:val="center"/>
              <w:rPr>
                <w:rFonts w:ascii="仿宋" w:hAnsi="仿宋" w:eastAsia="仿宋" w:cs="Times New Roman"/>
                <w:b/>
                <w:bCs/>
              </w:rPr>
            </w:pPr>
            <w:r>
              <w:rPr>
                <w:rFonts w:hint="eastAsia" w:ascii="仿宋" w:hAnsi="仿宋" w:eastAsia="仿宋" w:cs="仿宋"/>
                <w:b/>
                <w:bCs/>
              </w:rPr>
              <w:t>良</w:t>
            </w:r>
          </w:p>
        </w:tc>
        <w:tc>
          <w:tcPr>
            <w:tcW w:w="709" w:type="dxa"/>
            <w:vAlign w:val="center"/>
          </w:tcPr>
          <w:p w14:paraId="544A1F14">
            <w:pPr>
              <w:spacing w:line="300" w:lineRule="exact"/>
              <w:jc w:val="center"/>
              <w:rPr>
                <w:rFonts w:ascii="仿宋" w:hAnsi="仿宋" w:eastAsia="仿宋" w:cs="Times New Roman"/>
                <w:b/>
                <w:bCs/>
              </w:rPr>
            </w:pPr>
            <w:r>
              <w:rPr>
                <w:rFonts w:hint="eastAsia" w:ascii="仿宋" w:hAnsi="仿宋" w:eastAsia="仿宋" w:cs="仿宋"/>
                <w:b/>
                <w:bCs/>
              </w:rPr>
              <w:t>中</w:t>
            </w:r>
          </w:p>
        </w:tc>
        <w:tc>
          <w:tcPr>
            <w:tcW w:w="621" w:type="dxa"/>
            <w:vAlign w:val="center"/>
          </w:tcPr>
          <w:p w14:paraId="7CCEDBBF">
            <w:pPr>
              <w:spacing w:line="300" w:lineRule="exact"/>
              <w:jc w:val="center"/>
              <w:rPr>
                <w:rFonts w:ascii="仿宋" w:hAnsi="仿宋" w:eastAsia="仿宋" w:cs="Times New Roman"/>
                <w:b/>
                <w:bCs/>
              </w:rPr>
            </w:pPr>
            <w:r>
              <w:rPr>
                <w:rFonts w:hint="eastAsia" w:ascii="仿宋" w:hAnsi="仿宋" w:eastAsia="仿宋" w:cs="仿宋"/>
                <w:b/>
                <w:bCs/>
              </w:rPr>
              <w:t>差</w:t>
            </w:r>
          </w:p>
        </w:tc>
      </w:tr>
      <w:tr w14:paraId="7BA39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036F9728">
            <w:pPr>
              <w:spacing w:line="300" w:lineRule="exact"/>
              <w:jc w:val="left"/>
              <w:rPr>
                <w:rFonts w:ascii="仿宋" w:hAnsi="仿宋" w:eastAsia="仿宋" w:cs="Times New Roman"/>
                <w:b/>
                <w:bCs/>
              </w:rPr>
            </w:pPr>
            <w:r>
              <w:rPr>
                <w:rFonts w:hint="eastAsia" w:ascii="仿宋" w:hAnsi="仿宋" w:eastAsia="仿宋" w:cs="仿宋"/>
                <w:b/>
                <w:bCs/>
              </w:rPr>
              <w:t>党政综合</w:t>
            </w:r>
          </w:p>
          <w:p w14:paraId="5D5CBE6D">
            <w:pPr>
              <w:spacing w:line="300" w:lineRule="exact"/>
              <w:jc w:val="left"/>
              <w:rPr>
                <w:rFonts w:ascii="仿宋" w:hAnsi="仿宋" w:eastAsia="仿宋" w:cs="Times New Roman"/>
                <w:b/>
                <w:bCs/>
              </w:rPr>
            </w:pPr>
            <w:r>
              <w:rPr>
                <w:rFonts w:hint="eastAsia" w:ascii="仿宋" w:hAnsi="仿宋" w:eastAsia="仿宋" w:cs="仿宋"/>
                <w:b/>
                <w:bCs/>
              </w:rPr>
              <w:t>办公室</w:t>
            </w:r>
          </w:p>
        </w:tc>
        <w:tc>
          <w:tcPr>
            <w:tcW w:w="929" w:type="dxa"/>
            <w:vAlign w:val="center"/>
          </w:tcPr>
          <w:p w14:paraId="3689A928">
            <w:pPr>
              <w:spacing w:line="300" w:lineRule="exact"/>
              <w:jc w:val="left"/>
              <w:rPr>
                <w:rFonts w:ascii="仿宋" w:hAnsi="仿宋" w:eastAsia="仿宋" w:cs="Times New Roman"/>
              </w:rPr>
            </w:pPr>
          </w:p>
        </w:tc>
        <w:tc>
          <w:tcPr>
            <w:tcW w:w="3040" w:type="dxa"/>
            <w:vAlign w:val="center"/>
          </w:tcPr>
          <w:p w14:paraId="68CE2A94">
            <w:pPr>
              <w:spacing w:line="300" w:lineRule="exact"/>
              <w:jc w:val="left"/>
              <w:rPr>
                <w:rFonts w:ascii="仿宋" w:hAnsi="仿宋" w:eastAsia="仿宋" w:cs="Times New Roman"/>
              </w:rPr>
            </w:pPr>
            <w:r>
              <w:rPr>
                <w:rFonts w:hint="eastAsia" w:ascii="仿宋" w:hAnsi="仿宋" w:eastAsia="仿宋" w:cs="仿宋"/>
              </w:rPr>
              <w:t>协助党委、政府处理日常工作；负责文秘、综合协调、上呈下达、会议组织等工作；做好机关后勤服务工作；负责本行政区域内村务公开工作的指导、监督；承办镇党委、政府交办的其他事项。</w:t>
            </w:r>
          </w:p>
        </w:tc>
        <w:tc>
          <w:tcPr>
            <w:tcW w:w="2835" w:type="dxa"/>
            <w:vAlign w:val="center"/>
          </w:tcPr>
          <w:p w14:paraId="3912EE25">
            <w:pPr>
              <w:spacing w:line="300" w:lineRule="exact"/>
              <w:jc w:val="left"/>
              <w:rPr>
                <w:rFonts w:ascii="仿宋" w:hAnsi="仿宋" w:eastAsia="仿宋" w:cs="Times New Roman"/>
              </w:rPr>
            </w:pPr>
            <w:r>
              <w:rPr>
                <w:rFonts w:hint="eastAsia" w:ascii="仿宋" w:hAnsi="仿宋" w:eastAsia="仿宋" w:cs="仿宋"/>
              </w:rPr>
              <w:t>协助党委、政府处理日常工作；负责文秘、综合协调、上呈下达、会议组织等工作；做好机关后勤服务工作；负责本行政区域内村务公开工作的指导、监督；承办镇党委、政府交办的其他事项。</w:t>
            </w:r>
          </w:p>
        </w:tc>
        <w:tc>
          <w:tcPr>
            <w:tcW w:w="2914" w:type="dxa"/>
            <w:vAlign w:val="center"/>
          </w:tcPr>
          <w:p w14:paraId="2236FF55">
            <w:pPr>
              <w:spacing w:line="300" w:lineRule="exact"/>
              <w:jc w:val="left"/>
              <w:rPr>
                <w:rFonts w:ascii="仿宋" w:hAnsi="仿宋" w:eastAsia="仿宋" w:cs="Times New Roman"/>
              </w:rPr>
            </w:pPr>
            <w:r>
              <w:rPr>
                <w:rFonts w:hint="eastAsia" w:ascii="仿宋" w:hAnsi="仿宋" w:eastAsia="仿宋" w:cs="仿宋"/>
              </w:rPr>
              <w:t>协助党委、政府处理日常工作；负责文秘、综合协调、上呈下达、会议组织等工作；做好机关后勤服务工作；负责本行政区域内村务公开工作的指导、监督；承办镇党委、政府交办的其他事项。</w:t>
            </w:r>
          </w:p>
        </w:tc>
        <w:tc>
          <w:tcPr>
            <w:tcW w:w="708" w:type="dxa"/>
            <w:vAlign w:val="center"/>
          </w:tcPr>
          <w:p w14:paraId="11507D96">
            <w:pPr>
              <w:spacing w:line="300" w:lineRule="exact"/>
              <w:jc w:val="center"/>
              <w:rPr>
                <w:rFonts w:ascii="仿宋" w:hAnsi="仿宋" w:eastAsia="仿宋" w:cs="仿宋"/>
              </w:rPr>
            </w:pPr>
            <w:r>
              <w:rPr>
                <w:rFonts w:ascii="仿宋" w:hAnsi="仿宋" w:eastAsia="仿宋" w:cs="仿宋"/>
              </w:rPr>
              <w:t>100%</w:t>
            </w:r>
          </w:p>
        </w:tc>
        <w:tc>
          <w:tcPr>
            <w:tcW w:w="709" w:type="dxa"/>
            <w:vAlign w:val="center"/>
          </w:tcPr>
          <w:p w14:paraId="647B6A05">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95%</w:t>
            </w:r>
          </w:p>
        </w:tc>
        <w:tc>
          <w:tcPr>
            <w:tcW w:w="709" w:type="dxa"/>
            <w:vAlign w:val="center"/>
          </w:tcPr>
          <w:p w14:paraId="4694C5AC">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c>
          <w:tcPr>
            <w:tcW w:w="621" w:type="dxa"/>
            <w:vAlign w:val="center"/>
          </w:tcPr>
          <w:p w14:paraId="03514809">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r>
      <w:tr w14:paraId="0849C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25149CE6">
            <w:pPr>
              <w:spacing w:line="300" w:lineRule="exact"/>
              <w:jc w:val="left"/>
              <w:rPr>
                <w:rFonts w:ascii="仿宋" w:hAnsi="仿宋" w:eastAsia="仿宋" w:cs="Times New Roman"/>
                <w:b/>
                <w:bCs/>
              </w:rPr>
            </w:pPr>
            <w:r>
              <w:rPr>
                <w:rFonts w:hint="eastAsia" w:ascii="仿宋" w:hAnsi="仿宋" w:eastAsia="仿宋" w:cs="仿宋"/>
                <w:b/>
                <w:bCs/>
              </w:rPr>
              <w:t>党建工作</w:t>
            </w:r>
            <w:r>
              <w:rPr>
                <w:rFonts w:ascii="仿宋" w:hAnsi="仿宋" w:eastAsia="仿宋" w:cs="Times New Roman"/>
                <w:b/>
                <w:bCs/>
              </w:rPr>
              <w:br w:type="textWrapping"/>
            </w:r>
            <w:r>
              <w:rPr>
                <w:rFonts w:hint="eastAsia" w:ascii="仿宋" w:hAnsi="仿宋" w:eastAsia="仿宋" w:cs="仿宋"/>
                <w:b/>
                <w:bCs/>
              </w:rPr>
              <w:t>办公室</w:t>
            </w:r>
          </w:p>
        </w:tc>
        <w:tc>
          <w:tcPr>
            <w:tcW w:w="929" w:type="dxa"/>
            <w:vAlign w:val="center"/>
          </w:tcPr>
          <w:p w14:paraId="7820B50B">
            <w:pPr>
              <w:spacing w:line="300" w:lineRule="exact"/>
              <w:jc w:val="left"/>
              <w:rPr>
                <w:rFonts w:ascii="仿宋" w:hAnsi="仿宋" w:eastAsia="仿宋" w:cs="Times New Roman"/>
              </w:rPr>
            </w:pPr>
          </w:p>
        </w:tc>
        <w:tc>
          <w:tcPr>
            <w:tcW w:w="3040" w:type="dxa"/>
            <w:vAlign w:val="center"/>
          </w:tcPr>
          <w:p w14:paraId="2D3A8C6A">
            <w:pPr>
              <w:jc w:val="left"/>
              <w:rPr>
                <w:rFonts w:ascii="仿宋" w:hAnsi="仿宋" w:eastAsia="仿宋" w:cs="Times New Roman"/>
              </w:rPr>
            </w:pPr>
            <w:r>
              <w:rPr>
                <w:rFonts w:hint="eastAsia" w:ascii="仿宋" w:hAnsi="仿宋" w:eastAsia="仿宋" w:cs="仿宋"/>
              </w:rPr>
              <w:t>宣传和执行党的路线、方针、政策，宣传和执行党中央、上级党组织和本级党组织的决议，团结、组织党内外的干部和群众，努力完成本单位所担负的任务；维护和执行党的纪律；负责镇党委自身建设和基层党组织建设；加强党员队伍建设；承办镇党委、政府交办的其他事项。</w:t>
            </w:r>
          </w:p>
        </w:tc>
        <w:tc>
          <w:tcPr>
            <w:tcW w:w="2835" w:type="dxa"/>
            <w:vAlign w:val="center"/>
          </w:tcPr>
          <w:p w14:paraId="7CD7718A">
            <w:pPr>
              <w:jc w:val="left"/>
              <w:rPr>
                <w:rFonts w:ascii="仿宋" w:hAnsi="仿宋" w:eastAsia="仿宋" w:cs="Times New Roman"/>
              </w:rPr>
            </w:pPr>
            <w:r>
              <w:rPr>
                <w:rFonts w:hint="eastAsia" w:ascii="仿宋" w:hAnsi="仿宋" w:eastAsia="仿宋" w:cs="仿宋"/>
              </w:rPr>
              <w:t>宣传和执行党的路线、方针、政策，宣传和执行党中央、上级党组织和本级党组织的决议，团结、组织党内外的干部和群众，努力完成本单位所担负的任务；维护和执行党的纪律；负责镇党委自身建设和基层党组织建设；加强党员队伍建设；承办镇党委、政府交办的其他事项。</w:t>
            </w:r>
          </w:p>
        </w:tc>
        <w:tc>
          <w:tcPr>
            <w:tcW w:w="2914" w:type="dxa"/>
            <w:vAlign w:val="center"/>
          </w:tcPr>
          <w:p w14:paraId="1625E9CA">
            <w:pPr>
              <w:jc w:val="left"/>
              <w:rPr>
                <w:rFonts w:ascii="仿宋" w:hAnsi="仿宋" w:eastAsia="仿宋" w:cs="Times New Roman"/>
              </w:rPr>
            </w:pPr>
            <w:r>
              <w:rPr>
                <w:rFonts w:hint="eastAsia" w:ascii="仿宋" w:hAnsi="仿宋" w:eastAsia="仿宋" w:cs="仿宋"/>
              </w:rPr>
              <w:t>宣传和执行党的路线、方针、政策，宣传和执行党中央、上级党组织和本级党组织的决议，团结、组织党内外的干部和群众，努力完成本单位所担负的任务；维护和执行党的纪律；负责镇党委自身建设和基层党组织建设；加强党员队伍建设；承办镇党委、政府交办的其他事项。</w:t>
            </w:r>
          </w:p>
        </w:tc>
        <w:tc>
          <w:tcPr>
            <w:tcW w:w="708" w:type="dxa"/>
            <w:vAlign w:val="center"/>
          </w:tcPr>
          <w:p w14:paraId="507B6D6E">
            <w:pPr>
              <w:spacing w:line="300" w:lineRule="exact"/>
              <w:jc w:val="center"/>
              <w:rPr>
                <w:rFonts w:ascii="仿宋" w:hAnsi="仿宋" w:eastAsia="仿宋" w:cs="仿宋"/>
              </w:rPr>
            </w:pPr>
            <w:r>
              <w:rPr>
                <w:rFonts w:ascii="仿宋" w:hAnsi="仿宋" w:eastAsia="仿宋" w:cs="仿宋"/>
              </w:rPr>
              <w:t>100%</w:t>
            </w:r>
          </w:p>
        </w:tc>
        <w:tc>
          <w:tcPr>
            <w:tcW w:w="709" w:type="dxa"/>
            <w:vAlign w:val="center"/>
          </w:tcPr>
          <w:p w14:paraId="0CF7E32A">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95%</w:t>
            </w:r>
          </w:p>
        </w:tc>
        <w:tc>
          <w:tcPr>
            <w:tcW w:w="709" w:type="dxa"/>
            <w:vAlign w:val="center"/>
          </w:tcPr>
          <w:p w14:paraId="20DE003A">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c>
          <w:tcPr>
            <w:tcW w:w="621" w:type="dxa"/>
            <w:vAlign w:val="center"/>
          </w:tcPr>
          <w:p w14:paraId="433CA05E">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r>
      <w:tr w14:paraId="10235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18C49239">
            <w:pPr>
              <w:spacing w:line="300" w:lineRule="exact"/>
              <w:jc w:val="left"/>
              <w:rPr>
                <w:rFonts w:ascii="仿宋" w:hAnsi="仿宋" w:eastAsia="仿宋" w:cs="Times New Roman"/>
                <w:b/>
                <w:bCs/>
              </w:rPr>
            </w:pPr>
            <w:r>
              <w:rPr>
                <w:rFonts w:hint="eastAsia" w:ascii="仿宋" w:hAnsi="仿宋" w:eastAsia="仿宋" w:cs="仿宋"/>
                <w:b/>
                <w:bCs/>
              </w:rPr>
              <w:t>应急管理</w:t>
            </w:r>
            <w:r>
              <w:rPr>
                <w:rFonts w:ascii="仿宋" w:hAnsi="仿宋" w:eastAsia="仿宋" w:cs="Times New Roman"/>
                <w:b/>
                <w:bCs/>
              </w:rPr>
              <w:br w:type="textWrapping"/>
            </w:r>
            <w:r>
              <w:rPr>
                <w:rFonts w:hint="eastAsia" w:ascii="仿宋" w:hAnsi="仿宋" w:eastAsia="仿宋" w:cs="仿宋"/>
                <w:b/>
                <w:bCs/>
              </w:rPr>
              <w:t>办公室</w:t>
            </w:r>
          </w:p>
        </w:tc>
        <w:tc>
          <w:tcPr>
            <w:tcW w:w="929" w:type="dxa"/>
            <w:vAlign w:val="center"/>
          </w:tcPr>
          <w:p w14:paraId="38F0DF8C">
            <w:pPr>
              <w:spacing w:line="300" w:lineRule="exact"/>
              <w:jc w:val="left"/>
              <w:rPr>
                <w:rFonts w:ascii="仿宋" w:hAnsi="仿宋" w:eastAsia="仿宋" w:cs="Times New Roman"/>
              </w:rPr>
            </w:pPr>
          </w:p>
        </w:tc>
        <w:tc>
          <w:tcPr>
            <w:tcW w:w="3040" w:type="dxa"/>
            <w:vAlign w:val="center"/>
          </w:tcPr>
          <w:p w14:paraId="05ED300C">
            <w:pPr>
              <w:jc w:val="left"/>
              <w:rPr>
                <w:rFonts w:ascii="仿宋" w:hAnsi="仿宋" w:eastAsia="仿宋" w:cs="Times New Roman"/>
              </w:rPr>
            </w:pPr>
            <w:r>
              <w:rPr>
                <w:rFonts w:hint="eastAsia" w:ascii="仿宋" w:hAnsi="仿宋" w:eastAsia="仿宋" w:cs="仿宋"/>
              </w:rPr>
              <w:t>加强本辖区内生产经营单位安全生产状况的监督检查，协助上级有关部门依法履行安全生产监督管理职责；依法做好本辖区的突发事件应对工作，制定本级突发事件应急预案；负责辖区应急管理工作，做好自然风险排查等工作；承办镇党委、政府交办的其他事项。</w:t>
            </w:r>
          </w:p>
        </w:tc>
        <w:tc>
          <w:tcPr>
            <w:tcW w:w="2835" w:type="dxa"/>
            <w:vAlign w:val="center"/>
          </w:tcPr>
          <w:p w14:paraId="551A6928">
            <w:pPr>
              <w:jc w:val="left"/>
              <w:rPr>
                <w:rFonts w:ascii="仿宋" w:hAnsi="仿宋" w:eastAsia="仿宋" w:cs="Times New Roman"/>
              </w:rPr>
            </w:pPr>
            <w:r>
              <w:rPr>
                <w:rFonts w:hint="eastAsia" w:ascii="仿宋" w:hAnsi="仿宋" w:eastAsia="仿宋" w:cs="仿宋"/>
              </w:rPr>
              <w:t>加强本辖区内生产经营单位安全生产状况的监督检查，协助上级有关部门依法履行安全生产监督管理职责；依法做好本辖区的突发事件应对工作，制定本级突发事件应急预案；负责辖区应急管理工作，做好自然风险排查等工作；承办镇党委、政府交办的其他事项。</w:t>
            </w:r>
          </w:p>
        </w:tc>
        <w:tc>
          <w:tcPr>
            <w:tcW w:w="2914" w:type="dxa"/>
            <w:vAlign w:val="center"/>
          </w:tcPr>
          <w:p w14:paraId="70FBDA3A">
            <w:pPr>
              <w:jc w:val="left"/>
              <w:rPr>
                <w:rFonts w:ascii="仿宋" w:hAnsi="仿宋" w:eastAsia="仿宋" w:cs="Times New Roman"/>
              </w:rPr>
            </w:pPr>
            <w:r>
              <w:rPr>
                <w:rFonts w:hint="eastAsia" w:ascii="仿宋" w:hAnsi="仿宋" w:eastAsia="仿宋" w:cs="仿宋"/>
              </w:rPr>
              <w:t>加强本辖区内生产经营单位安全生产状况的监督检查，协助上级有关部门依法履行安全生产监督管理职责；依法做好本辖区的突发事件应对工作，制定本级突发事件应急预案；负责辖区应急管理工作，做好自然风险排查等工作；承办镇党委、政府交办的其他事项。</w:t>
            </w:r>
          </w:p>
        </w:tc>
        <w:tc>
          <w:tcPr>
            <w:tcW w:w="708" w:type="dxa"/>
            <w:vAlign w:val="center"/>
          </w:tcPr>
          <w:p w14:paraId="484B659A">
            <w:pPr>
              <w:spacing w:line="300" w:lineRule="exact"/>
              <w:jc w:val="center"/>
              <w:rPr>
                <w:rFonts w:ascii="仿宋" w:hAnsi="仿宋" w:eastAsia="仿宋" w:cs="仿宋"/>
              </w:rPr>
            </w:pPr>
            <w:r>
              <w:rPr>
                <w:rFonts w:ascii="仿宋" w:hAnsi="仿宋" w:eastAsia="仿宋" w:cs="仿宋"/>
              </w:rPr>
              <w:t>100%</w:t>
            </w:r>
          </w:p>
        </w:tc>
        <w:tc>
          <w:tcPr>
            <w:tcW w:w="709" w:type="dxa"/>
            <w:vAlign w:val="center"/>
          </w:tcPr>
          <w:p w14:paraId="5930C772">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95%</w:t>
            </w:r>
          </w:p>
        </w:tc>
        <w:tc>
          <w:tcPr>
            <w:tcW w:w="709" w:type="dxa"/>
            <w:vAlign w:val="center"/>
          </w:tcPr>
          <w:p w14:paraId="1C11EEE3">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c>
          <w:tcPr>
            <w:tcW w:w="621" w:type="dxa"/>
            <w:vAlign w:val="center"/>
          </w:tcPr>
          <w:p w14:paraId="5B736C03">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r>
      <w:tr w14:paraId="6E8EA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9" w:hRule="atLeast"/>
          <w:jc w:val="center"/>
        </w:trPr>
        <w:tc>
          <w:tcPr>
            <w:tcW w:w="1469" w:type="dxa"/>
            <w:vAlign w:val="center"/>
          </w:tcPr>
          <w:p w14:paraId="54BC4A84">
            <w:pPr>
              <w:spacing w:line="300" w:lineRule="exact"/>
              <w:jc w:val="left"/>
              <w:rPr>
                <w:rFonts w:ascii="仿宋" w:hAnsi="仿宋" w:eastAsia="仿宋" w:cs="Times New Roman"/>
                <w:b/>
                <w:bCs/>
              </w:rPr>
            </w:pPr>
          </w:p>
          <w:p w14:paraId="552F164B">
            <w:pPr>
              <w:spacing w:line="300" w:lineRule="exact"/>
              <w:jc w:val="left"/>
              <w:rPr>
                <w:rFonts w:ascii="仿宋" w:hAnsi="仿宋" w:eastAsia="仿宋" w:cs="Times New Roman"/>
                <w:b/>
                <w:bCs/>
              </w:rPr>
            </w:pPr>
          </w:p>
          <w:p w14:paraId="47C88A61">
            <w:pPr>
              <w:spacing w:line="300" w:lineRule="exact"/>
              <w:jc w:val="left"/>
              <w:rPr>
                <w:rFonts w:ascii="仿宋" w:hAnsi="仿宋" w:eastAsia="仿宋" w:cs="Times New Roman"/>
                <w:b/>
                <w:bCs/>
              </w:rPr>
            </w:pPr>
          </w:p>
          <w:p w14:paraId="68DD4AAC">
            <w:pPr>
              <w:spacing w:line="300" w:lineRule="exact"/>
              <w:jc w:val="left"/>
              <w:rPr>
                <w:rFonts w:ascii="仿宋" w:hAnsi="仿宋" w:eastAsia="仿宋" w:cs="Times New Roman"/>
                <w:b/>
                <w:bCs/>
              </w:rPr>
            </w:pPr>
          </w:p>
          <w:p w14:paraId="04CDF297">
            <w:pPr>
              <w:spacing w:line="300" w:lineRule="exact"/>
              <w:jc w:val="left"/>
              <w:rPr>
                <w:rFonts w:ascii="仿宋" w:hAnsi="仿宋" w:eastAsia="仿宋" w:cs="Times New Roman"/>
                <w:b/>
                <w:bCs/>
              </w:rPr>
            </w:pPr>
            <w:r>
              <w:rPr>
                <w:rFonts w:hint="eastAsia" w:ascii="仿宋" w:hAnsi="仿宋" w:eastAsia="仿宋" w:cs="仿宋"/>
                <w:b/>
                <w:bCs/>
              </w:rPr>
              <w:t>自然资源和生态环境办公室</w:t>
            </w:r>
          </w:p>
        </w:tc>
        <w:tc>
          <w:tcPr>
            <w:tcW w:w="929" w:type="dxa"/>
            <w:vAlign w:val="center"/>
          </w:tcPr>
          <w:p w14:paraId="7EEADC76">
            <w:pPr>
              <w:spacing w:line="300" w:lineRule="exact"/>
              <w:jc w:val="left"/>
              <w:rPr>
                <w:rFonts w:ascii="仿宋" w:hAnsi="仿宋" w:eastAsia="仿宋" w:cs="Times New Roman"/>
              </w:rPr>
            </w:pPr>
          </w:p>
        </w:tc>
        <w:tc>
          <w:tcPr>
            <w:tcW w:w="3040" w:type="dxa"/>
            <w:vAlign w:val="center"/>
          </w:tcPr>
          <w:p w14:paraId="573A76E9">
            <w:pPr>
              <w:jc w:val="left"/>
              <w:rPr>
                <w:rFonts w:ascii="仿宋" w:hAnsi="仿宋" w:eastAsia="仿宋" w:cs="Times New Roman"/>
              </w:rPr>
            </w:pPr>
            <w:r>
              <w:rPr>
                <w:rFonts w:hint="eastAsia" w:ascii="仿宋" w:hAnsi="仿宋" w:eastAsia="仿宋" w:cs="仿宋"/>
              </w:rPr>
              <w:t>负责辖区基本农田保护管理工作；负责本辖区乡道、村道建设管理工作；负责本辖区内的村镇规划建设管理工作；负责辖区镇容、村容和环境卫生、农村生活污水管理责任；负责本辖区水资源保护、水污染防治等工作；组织开展大气污染防治、扬尘污染防治等工作；做好“散乱污”企业综合整治工作；承办镇党委、政府交办的其他事项。</w:t>
            </w:r>
          </w:p>
        </w:tc>
        <w:tc>
          <w:tcPr>
            <w:tcW w:w="2835" w:type="dxa"/>
            <w:vAlign w:val="center"/>
          </w:tcPr>
          <w:p w14:paraId="7CA5BCD0">
            <w:pPr>
              <w:jc w:val="left"/>
              <w:rPr>
                <w:rFonts w:ascii="仿宋" w:hAnsi="仿宋" w:eastAsia="仿宋" w:cs="Times New Roman"/>
              </w:rPr>
            </w:pPr>
            <w:r>
              <w:rPr>
                <w:rFonts w:hint="eastAsia" w:ascii="仿宋" w:hAnsi="仿宋" w:eastAsia="仿宋" w:cs="仿宋"/>
              </w:rPr>
              <w:t>负责辖区基本农田保护管理工作；负责本辖区乡道、村道建设管理工作；负责本辖区内的村镇规划建设管理工作；负责辖区镇容、村容和环境卫生、农村生活污水管理责任；负责本辖区水资源保护、水污染防治等工作；组织开展大气污染防治、扬尘污染防治等工作；做好“散乱污”企业综合整治工作；承办镇党委、政府交办的其他事项。</w:t>
            </w:r>
          </w:p>
        </w:tc>
        <w:tc>
          <w:tcPr>
            <w:tcW w:w="2914" w:type="dxa"/>
            <w:vAlign w:val="center"/>
          </w:tcPr>
          <w:p w14:paraId="3BCE80C6">
            <w:pPr>
              <w:jc w:val="left"/>
              <w:rPr>
                <w:rFonts w:ascii="仿宋" w:hAnsi="仿宋" w:eastAsia="仿宋" w:cs="Times New Roman"/>
              </w:rPr>
            </w:pPr>
            <w:r>
              <w:rPr>
                <w:rFonts w:hint="eastAsia" w:ascii="仿宋" w:hAnsi="仿宋" w:eastAsia="仿宋" w:cs="仿宋"/>
              </w:rPr>
              <w:t>负责辖区基本农田保护管理工作；负责本辖区乡道、村道建设管理工作；负责本辖区内的村镇规划建设管理工作；负责辖区镇容、村容和环境卫生、农村生活污水管理责任；负责本辖区水资源保护、水污染防治等工作；组织开展大气污染防治、扬尘污染防治等工作；做好“散乱污”企业综合整治工作；承办镇党委、政府交办的其他事项。</w:t>
            </w:r>
          </w:p>
        </w:tc>
        <w:tc>
          <w:tcPr>
            <w:tcW w:w="708" w:type="dxa"/>
            <w:vAlign w:val="center"/>
          </w:tcPr>
          <w:p w14:paraId="564B5EDE">
            <w:pPr>
              <w:spacing w:line="300" w:lineRule="exact"/>
              <w:jc w:val="center"/>
              <w:rPr>
                <w:rFonts w:ascii="仿宋" w:hAnsi="仿宋" w:eastAsia="仿宋" w:cs="Times New Roman"/>
              </w:rPr>
            </w:pPr>
          </w:p>
          <w:p w14:paraId="211FE16A">
            <w:pPr>
              <w:spacing w:line="300" w:lineRule="exact"/>
              <w:jc w:val="center"/>
              <w:rPr>
                <w:rFonts w:ascii="仿宋" w:hAnsi="仿宋" w:eastAsia="仿宋" w:cs="仿宋"/>
              </w:rPr>
            </w:pPr>
            <w:r>
              <w:rPr>
                <w:rFonts w:ascii="仿宋" w:hAnsi="仿宋" w:eastAsia="仿宋" w:cs="仿宋"/>
              </w:rPr>
              <w:t>100%</w:t>
            </w:r>
          </w:p>
        </w:tc>
        <w:tc>
          <w:tcPr>
            <w:tcW w:w="709" w:type="dxa"/>
            <w:vAlign w:val="center"/>
          </w:tcPr>
          <w:p w14:paraId="4A85C115">
            <w:pPr>
              <w:spacing w:line="300" w:lineRule="exact"/>
              <w:jc w:val="center"/>
              <w:rPr>
                <w:rFonts w:ascii="仿宋" w:hAnsi="仿宋" w:eastAsia="仿宋" w:cs="Times New Roman"/>
              </w:rPr>
            </w:pPr>
          </w:p>
          <w:p w14:paraId="184DD736">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95%</w:t>
            </w:r>
          </w:p>
        </w:tc>
        <w:tc>
          <w:tcPr>
            <w:tcW w:w="709" w:type="dxa"/>
            <w:vAlign w:val="center"/>
          </w:tcPr>
          <w:p w14:paraId="38DE6D0D">
            <w:pPr>
              <w:spacing w:line="300" w:lineRule="exact"/>
              <w:jc w:val="center"/>
              <w:rPr>
                <w:rFonts w:ascii="仿宋" w:hAnsi="仿宋" w:eastAsia="仿宋" w:cs="Times New Roman"/>
              </w:rPr>
            </w:pPr>
          </w:p>
          <w:p w14:paraId="05B62A92">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c>
          <w:tcPr>
            <w:tcW w:w="621" w:type="dxa"/>
            <w:vAlign w:val="center"/>
          </w:tcPr>
          <w:p w14:paraId="454B7E79">
            <w:pPr>
              <w:spacing w:line="300" w:lineRule="exact"/>
              <w:rPr>
                <w:rFonts w:ascii="仿宋" w:hAnsi="仿宋" w:eastAsia="仿宋" w:cs="Times New Roman"/>
              </w:rPr>
            </w:pPr>
          </w:p>
          <w:p w14:paraId="1B303FE9">
            <w:pPr>
              <w:spacing w:line="300" w:lineRule="exact"/>
              <w:rPr>
                <w:rFonts w:ascii="仿宋" w:hAnsi="仿宋" w:eastAsia="仿宋" w:cs="仿宋"/>
              </w:rPr>
            </w:pPr>
            <w:r>
              <w:rPr>
                <w:rFonts w:hint="eastAsia" w:ascii="仿宋" w:hAnsi="仿宋" w:eastAsia="仿宋" w:cs="仿宋"/>
              </w:rPr>
              <w:t>＜</w:t>
            </w:r>
            <w:r>
              <w:rPr>
                <w:rFonts w:ascii="仿宋" w:hAnsi="仿宋" w:eastAsia="仿宋" w:cs="仿宋"/>
              </w:rPr>
              <w:t>90%</w:t>
            </w:r>
          </w:p>
        </w:tc>
      </w:tr>
      <w:tr w14:paraId="5871B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26F9A76E">
            <w:pPr>
              <w:spacing w:line="300" w:lineRule="exact"/>
              <w:jc w:val="left"/>
              <w:rPr>
                <w:rFonts w:ascii="仿宋" w:hAnsi="仿宋" w:eastAsia="仿宋" w:cs="Times New Roman"/>
                <w:b/>
                <w:bCs/>
              </w:rPr>
            </w:pPr>
            <w:r>
              <w:rPr>
                <w:rFonts w:hint="eastAsia" w:ascii="仿宋" w:hAnsi="仿宋" w:eastAsia="仿宋" w:cs="仿宋"/>
                <w:b/>
                <w:bCs/>
              </w:rPr>
              <w:t>综合行政执法队</w:t>
            </w:r>
          </w:p>
        </w:tc>
        <w:tc>
          <w:tcPr>
            <w:tcW w:w="929" w:type="dxa"/>
            <w:vAlign w:val="center"/>
          </w:tcPr>
          <w:p w14:paraId="79FAB996">
            <w:pPr>
              <w:spacing w:line="300" w:lineRule="exact"/>
              <w:jc w:val="left"/>
              <w:rPr>
                <w:rFonts w:ascii="仿宋" w:hAnsi="仿宋" w:eastAsia="仿宋" w:cs="Times New Roman"/>
              </w:rPr>
            </w:pPr>
          </w:p>
        </w:tc>
        <w:tc>
          <w:tcPr>
            <w:tcW w:w="3040" w:type="dxa"/>
            <w:vAlign w:val="center"/>
          </w:tcPr>
          <w:p w14:paraId="58389F23">
            <w:pPr>
              <w:jc w:val="left"/>
              <w:rPr>
                <w:rFonts w:ascii="仿宋" w:hAnsi="仿宋" w:eastAsia="仿宋" w:cs="Times New Roman"/>
              </w:rPr>
            </w:pPr>
            <w:r>
              <w:rPr>
                <w:rFonts w:hint="eastAsia" w:ascii="仿宋" w:hAnsi="仿宋" w:eastAsia="仿宋" w:cs="仿宋"/>
              </w:rPr>
              <w:t>根据法律法规和县政府授权，承担综合行政执法工作；负责辖区内的食品安全隐患排查、信息报告、协助执法和宣传教育等工作，做好本行政区域内小作坊、小餐饮、小摊点的监督管理工作，协助有关部门查处传销行为；承办镇党委、政府交办的其他事项。</w:t>
            </w:r>
          </w:p>
        </w:tc>
        <w:tc>
          <w:tcPr>
            <w:tcW w:w="2835" w:type="dxa"/>
            <w:vAlign w:val="center"/>
          </w:tcPr>
          <w:p w14:paraId="3077096C">
            <w:pPr>
              <w:jc w:val="left"/>
              <w:rPr>
                <w:rFonts w:ascii="仿宋" w:hAnsi="仿宋" w:eastAsia="仿宋" w:cs="Times New Roman"/>
              </w:rPr>
            </w:pPr>
            <w:r>
              <w:rPr>
                <w:rFonts w:hint="eastAsia" w:ascii="仿宋" w:hAnsi="仿宋" w:eastAsia="仿宋" w:cs="仿宋"/>
              </w:rPr>
              <w:t>根据法律法规和县政府授权，承担综合行政执法工作；负责辖区内的食品安全隐患排查、信息报告、协助执法和宣传教育等工作，做好本行政区域内小作坊、小餐饮、小摊点的监督管理工作，协助有关部门查处传销行为；承办镇党委、政府交办的其他事项。</w:t>
            </w:r>
          </w:p>
        </w:tc>
        <w:tc>
          <w:tcPr>
            <w:tcW w:w="2914" w:type="dxa"/>
            <w:vAlign w:val="center"/>
          </w:tcPr>
          <w:p w14:paraId="32450BCC">
            <w:pPr>
              <w:jc w:val="left"/>
              <w:rPr>
                <w:rFonts w:ascii="仿宋" w:hAnsi="仿宋" w:eastAsia="仿宋" w:cs="Times New Roman"/>
              </w:rPr>
            </w:pPr>
            <w:r>
              <w:rPr>
                <w:rFonts w:hint="eastAsia" w:ascii="仿宋" w:hAnsi="仿宋" w:eastAsia="仿宋" w:cs="仿宋"/>
              </w:rPr>
              <w:t>根据法律法规和县政府授权，承担综合行政执法工作；负责辖区内的食品安全隐患排查、信息报告、协助执法和宣传教育等工作，做好本行政区域内小作坊、小餐饮、小摊点的监督管理工作，协助有关部门查处传销行为；承办镇党委、政府交办的其他事项。</w:t>
            </w:r>
          </w:p>
        </w:tc>
        <w:tc>
          <w:tcPr>
            <w:tcW w:w="708" w:type="dxa"/>
            <w:vAlign w:val="center"/>
          </w:tcPr>
          <w:p w14:paraId="4F6E9FC9">
            <w:pPr>
              <w:spacing w:line="300" w:lineRule="exact"/>
              <w:jc w:val="center"/>
              <w:rPr>
                <w:rFonts w:ascii="仿宋" w:hAnsi="仿宋" w:eastAsia="仿宋" w:cs="仿宋"/>
              </w:rPr>
            </w:pPr>
            <w:r>
              <w:rPr>
                <w:rFonts w:ascii="仿宋" w:hAnsi="仿宋" w:eastAsia="仿宋" w:cs="仿宋"/>
              </w:rPr>
              <w:t>100%</w:t>
            </w:r>
          </w:p>
        </w:tc>
        <w:tc>
          <w:tcPr>
            <w:tcW w:w="709" w:type="dxa"/>
            <w:vAlign w:val="center"/>
          </w:tcPr>
          <w:p w14:paraId="2E42C617">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95%</w:t>
            </w:r>
          </w:p>
        </w:tc>
        <w:tc>
          <w:tcPr>
            <w:tcW w:w="709" w:type="dxa"/>
            <w:vAlign w:val="center"/>
          </w:tcPr>
          <w:p w14:paraId="080B039D">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c>
          <w:tcPr>
            <w:tcW w:w="621" w:type="dxa"/>
            <w:vAlign w:val="center"/>
          </w:tcPr>
          <w:p w14:paraId="214C6E64">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r>
      <w:tr w14:paraId="77B38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0B02C66D">
            <w:pPr>
              <w:spacing w:line="300" w:lineRule="exact"/>
              <w:jc w:val="left"/>
              <w:rPr>
                <w:rFonts w:ascii="仿宋" w:hAnsi="仿宋" w:eastAsia="仿宋" w:cs="Times New Roman"/>
                <w:b/>
                <w:bCs/>
              </w:rPr>
            </w:pPr>
          </w:p>
        </w:tc>
        <w:tc>
          <w:tcPr>
            <w:tcW w:w="929" w:type="dxa"/>
            <w:vAlign w:val="center"/>
          </w:tcPr>
          <w:p w14:paraId="4CDCF2F1">
            <w:pPr>
              <w:spacing w:line="300" w:lineRule="exact"/>
              <w:jc w:val="left"/>
              <w:rPr>
                <w:rFonts w:ascii="仿宋" w:hAnsi="仿宋" w:eastAsia="仿宋" w:cs="Times New Roman"/>
              </w:rPr>
            </w:pPr>
          </w:p>
        </w:tc>
        <w:tc>
          <w:tcPr>
            <w:tcW w:w="3040" w:type="dxa"/>
            <w:vAlign w:val="center"/>
          </w:tcPr>
          <w:p w14:paraId="43784961">
            <w:pPr>
              <w:spacing w:line="300" w:lineRule="exact"/>
              <w:jc w:val="left"/>
              <w:rPr>
                <w:rFonts w:ascii="仿宋" w:hAnsi="仿宋" w:eastAsia="仿宋" w:cs="Times New Roman"/>
              </w:rPr>
            </w:pPr>
            <w:r>
              <w:rPr>
                <w:rFonts w:hint="eastAsia" w:ascii="仿宋" w:hAnsi="仿宋" w:eastAsia="仿宋" w:cs="仿宋"/>
              </w:rPr>
              <w:t>根据法律法规和县政府授权，承担行政审批服务工作；开展就业政策宣传、就业援助等就业服务工作；负责辖区内人口与计划生育工作；协调有关部门做好未成年人保护工作；组织开展本辖区科普活动；承办镇党委、政府交办的其他事项。</w:t>
            </w:r>
          </w:p>
        </w:tc>
        <w:tc>
          <w:tcPr>
            <w:tcW w:w="2835" w:type="dxa"/>
            <w:vAlign w:val="center"/>
          </w:tcPr>
          <w:p w14:paraId="0D73DEC8">
            <w:pPr>
              <w:spacing w:line="300" w:lineRule="exact"/>
              <w:jc w:val="left"/>
              <w:rPr>
                <w:rFonts w:ascii="仿宋" w:hAnsi="仿宋" w:eastAsia="仿宋" w:cs="Times New Roman"/>
              </w:rPr>
            </w:pPr>
            <w:r>
              <w:rPr>
                <w:rFonts w:hint="eastAsia" w:ascii="仿宋" w:hAnsi="仿宋" w:eastAsia="仿宋" w:cs="仿宋"/>
              </w:rPr>
              <w:t>根据法律法规和县政府授权，承担行政审批服务工作；开展就业政策宣传、就业援助等就业服务工作；负责辖区内人口与计划生育工作；协调有关部门做好未成年人保护工作；组织开展本辖区科普活动；承办镇党委、政府交办的其他事项。</w:t>
            </w:r>
          </w:p>
        </w:tc>
        <w:tc>
          <w:tcPr>
            <w:tcW w:w="2914" w:type="dxa"/>
            <w:vAlign w:val="center"/>
          </w:tcPr>
          <w:p w14:paraId="3DEF561C">
            <w:pPr>
              <w:jc w:val="left"/>
              <w:rPr>
                <w:rFonts w:ascii="仿宋" w:hAnsi="仿宋" w:eastAsia="仿宋" w:cs="Times New Roman"/>
              </w:rPr>
            </w:pPr>
            <w:r>
              <w:rPr>
                <w:rFonts w:hint="eastAsia" w:ascii="仿宋" w:hAnsi="仿宋" w:eastAsia="仿宋" w:cs="仿宋"/>
              </w:rPr>
              <w:t>根据法律法规和县政府授权，承担行政审批服务工作；开展就业政策宣传、就业援助等就业服务工作；负责辖区内人口与计划生育工作；协调有关部门做好未成年人保护工作；组织开展本辖区科普活动；承办镇党委、政府交办的其他事项。</w:t>
            </w:r>
          </w:p>
        </w:tc>
        <w:tc>
          <w:tcPr>
            <w:tcW w:w="708" w:type="dxa"/>
            <w:vAlign w:val="center"/>
          </w:tcPr>
          <w:p w14:paraId="15C86E8C">
            <w:pPr>
              <w:spacing w:line="300" w:lineRule="exact"/>
              <w:jc w:val="center"/>
              <w:rPr>
                <w:rFonts w:ascii="仿宋" w:hAnsi="仿宋" w:eastAsia="仿宋" w:cs="Times New Roman"/>
              </w:rPr>
            </w:pPr>
          </w:p>
          <w:p w14:paraId="32AC4767">
            <w:pPr>
              <w:spacing w:line="300" w:lineRule="exact"/>
              <w:jc w:val="center"/>
              <w:rPr>
                <w:rFonts w:ascii="仿宋" w:hAnsi="仿宋" w:eastAsia="仿宋" w:cs="仿宋"/>
              </w:rPr>
            </w:pPr>
            <w:r>
              <w:rPr>
                <w:rFonts w:ascii="仿宋" w:hAnsi="仿宋" w:eastAsia="仿宋" w:cs="仿宋"/>
              </w:rPr>
              <w:t>100%</w:t>
            </w:r>
          </w:p>
        </w:tc>
        <w:tc>
          <w:tcPr>
            <w:tcW w:w="709" w:type="dxa"/>
            <w:vAlign w:val="center"/>
          </w:tcPr>
          <w:p w14:paraId="4AF77638">
            <w:pPr>
              <w:spacing w:line="300" w:lineRule="exact"/>
              <w:jc w:val="center"/>
              <w:rPr>
                <w:rFonts w:ascii="仿宋" w:hAnsi="仿宋" w:eastAsia="仿宋" w:cs="Times New Roman"/>
              </w:rPr>
            </w:pPr>
          </w:p>
          <w:p w14:paraId="0DF1FE2B">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95%</w:t>
            </w:r>
          </w:p>
        </w:tc>
        <w:tc>
          <w:tcPr>
            <w:tcW w:w="709" w:type="dxa"/>
            <w:vAlign w:val="center"/>
          </w:tcPr>
          <w:p w14:paraId="7FCE650C">
            <w:pPr>
              <w:spacing w:line="300" w:lineRule="exact"/>
              <w:jc w:val="center"/>
              <w:rPr>
                <w:rFonts w:ascii="仿宋" w:hAnsi="仿宋" w:eastAsia="仿宋" w:cs="Times New Roman"/>
              </w:rPr>
            </w:pPr>
          </w:p>
          <w:p w14:paraId="05D4545A">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c>
          <w:tcPr>
            <w:tcW w:w="621" w:type="dxa"/>
            <w:vAlign w:val="center"/>
          </w:tcPr>
          <w:p w14:paraId="1D68B58F">
            <w:pPr>
              <w:spacing w:line="300" w:lineRule="exact"/>
              <w:jc w:val="center"/>
              <w:rPr>
                <w:rFonts w:ascii="仿宋" w:hAnsi="仿宋" w:eastAsia="仿宋" w:cs="Times New Roman"/>
              </w:rPr>
            </w:pPr>
          </w:p>
          <w:p w14:paraId="15FEBBA8">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r>
      <w:tr w14:paraId="54B52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633612A3">
            <w:pPr>
              <w:spacing w:line="300" w:lineRule="exact"/>
              <w:jc w:val="left"/>
              <w:rPr>
                <w:rFonts w:ascii="仿宋" w:hAnsi="仿宋" w:eastAsia="仿宋" w:cs="Times New Roman"/>
                <w:b/>
                <w:bCs/>
              </w:rPr>
            </w:pPr>
            <w:r>
              <w:rPr>
                <w:rFonts w:hint="eastAsia" w:ascii="仿宋" w:hAnsi="仿宋" w:eastAsia="仿宋" w:cs="仿宋"/>
                <w:b/>
                <w:bCs/>
              </w:rPr>
              <w:t>农业综合服务中心</w:t>
            </w:r>
          </w:p>
        </w:tc>
        <w:tc>
          <w:tcPr>
            <w:tcW w:w="929" w:type="dxa"/>
            <w:vAlign w:val="center"/>
          </w:tcPr>
          <w:p w14:paraId="6F48C3F5">
            <w:pPr>
              <w:spacing w:line="300" w:lineRule="exact"/>
              <w:jc w:val="left"/>
              <w:rPr>
                <w:rFonts w:ascii="仿宋" w:hAnsi="仿宋" w:eastAsia="仿宋" w:cs="Times New Roman"/>
              </w:rPr>
            </w:pPr>
          </w:p>
        </w:tc>
        <w:tc>
          <w:tcPr>
            <w:tcW w:w="3040" w:type="dxa"/>
            <w:vAlign w:val="center"/>
          </w:tcPr>
          <w:p w14:paraId="06A8CDBC">
            <w:pPr>
              <w:jc w:val="left"/>
              <w:rPr>
                <w:rFonts w:ascii="仿宋" w:hAnsi="仿宋" w:eastAsia="仿宋" w:cs="Times New Roman"/>
                <w:sz w:val="18"/>
                <w:szCs w:val="18"/>
              </w:rPr>
            </w:pPr>
            <w:r>
              <w:rPr>
                <w:rFonts w:hint="eastAsia" w:ascii="仿宋" w:hAnsi="仿宋" w:eastAsia="仿宋" w:cs="仿宋"/>
              </w:rPr>
              <w:t>负责农产品质量安全监管工作，加强农产品质量安全知识的宣传；依法组织群众协助做好本辖区的动物疫病预防与控制工作；引导和扶持农业机械服务组织的发展；负责组织当地农业生产经营组织和农业生产者对有害生物实施综合治理；承办镇党委、政府交办的其他事项。</w:t>
            </w:r>
          </w:p>
        </w:tc>
        <w:tc>
          <w:tcPr>
            <w:tcW w:w="2835" w:type="dxa"/>
            <w:vAlign w:val="center"/>
          </w:tcPr>
          <w:p w14:paraId="73F001B0">
            <w:pPr>
              <w:jc w:val="left"/>
              <w:rPr>
                <w:rFonts w:ascii="仿宋" w:hAnsi="仿宋" w:eastAsia="仿宋" w:cs="Times New Roman"/>
                <w:sz w:val="18"/>
                <w:szCs w:val="18"/>
              </w:rPr>
            </w:pPr>
            <w:r>
              <w:rPr>
                <w:rFonts w:hint="eastAsia" w:ascii="仿宋" w:hAnsi="仿宋" w:eastAsia="仿宋" w:cs="仿宋"/>
              </w:rPr>
              <w:t>负责农产品质量安全监管工作，加强农产品质量安全知识的宣传；依法组织群众协助做好本辖区的动物疫病预防与控制工作；引导和扶持农业机械服务组织的发展；负责组织当地农业生产经营组织和农业生产者对有害生物实施综合治理；承办镇党委、政府交办的其他事项。</w:t>
            </w:r>
          </w:p>
        </w:tc>
        <w:tc>
          <w:tcPr>
            <w:tcW w:w="2914" w:type="dxa"/>
            <w:vAlign w:val="center"/>
          </w:tcPr>
          <w:p w14:paraId="65C987E9">
            <w:pPr>
              <w:jc w:val="left"/>
              <w:rPr>
                <w:rFonts w:ascii="仿宋" w:hAnsi="仿宋" w:eastAsia="仿宋" w:cs="Times New Roman"/>
                <w:sz w:val="18"/>
                <w:szCs w:val="18"/>
              </w:rPr>
            </w:pPr>
            <w:r>
              <w:rPr>
                <w:rFonts w:hint="eastAsia" w:ascii="仿宋" w:hAnsi="仿宋" w:eastAsia="仿宋" w:cs="仿宋"/>
              </w:rPr>
              <w:t>负责农产品质量安全监管工作，加强农产品质量安全知识的宣传；依法组织群众协助做好本辖区的动物疫病预防与控制工作；引导和扶持农业机械服务组织的发展；负责组织当地农业生产经营组织和农业生产者对有害生物实施综合治理；承办镇党委、政府交办的其他事项。</w:t>
            </w:r>
          </w:p>
        </w:tc>
        <w:tc>
          <w:tcPr>
            <w:tcW w:w="708" w:type="dxa"/>
            <w:vAlign w:val="center"/>
          </w:tcPr>
          <w:p w14:paraId="170832D9">
            <w:pPr>
              <w:spacing w:line="300" w:lineRule="exact"/>
              <w:jc w:val="center"/>
              <w:rPr>
                <w:rFonts w:ascii="仿宋" w:hAnsi="仿宋" w:eastAsia="仿宋" w:cs="仿宋"/>
              </w:rPr>
            </w:pPr>
            <w:r>
              <w:rPr>
                <w:rFonts w:ascii="仿宋" w:hAnsi="仿宋" w:eastAsia="仿宋" w:cs="仿宋"/>
              </w:rPr>
              <w:t>100%</w:t>
            </w:r>
          </w:p>
        </w:tc>
        <w:tc>
          <w:tcPr>
            <w:tcW w:w="709" w:type="dxa"/>
            <w:vAlign w:val="center"/>
          </w:tcPr>
          <w:p w14:paraId="32C9F15C">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95%</w:t>
            </w:r>
          </w:p>
        </w:tc>
        <w:tc>
          <w:tcPr>
            <w:tcW w:w="709" w:type="dxa"/>
            <w:vAlign w:val="center"/>
          </w:tcPr>
          <w:p w14:paraId="02C1A3B5">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c>
          <w:tcPr>
            <w:tcW w:w="621" w:type="dxa"/>
            <w:vAlign w:val="center"/>
          </w:tcPr>
          <w:p w14:paraId="6455EFDF">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r>
      <w:tr w14:paraId="6640A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69A65218">
            <w:pPr>
              <w:spacing w:line="300" w:lineRule="exact"/>
              <w:jc w:val="left"/>
              <w:rPr>
                <w:rFonts w:ascii="仿宋" w:hAnsi="仿宋" w:eastAsia="仿宋" w:cs="Times New Roman"/>
                <w:b/>
                <w:bCs/>
              </w:rPr>
            </w:pPr>
            <w:r>
              <w:rPr>
                <w:rFonts w:hint="eastAsia" w:ascii="仿宋" w:hAnsi="仿宋" w:eastAsia="仿宋" w:cs="仿宋"/>
                <w:b/>
                <w:bCs/>
              </w:rPr>
              <w:t>退役军人服务站</w:t>
            </w:r>
          </w:p>
        </w:tc>
        <w:tc>
          <w:tcPr>
            <w:tcW w:w="929" w:type="dxa"/>
            <w:vAlign w:val="center"/>
          </w:tcPr>
          <w:p w14:paraId="622FD9C6">
            <w:pPr>
              <w:spacing w:line="300" w:lineRule="exact"/>
              <w:jc w:val="left"/>
              <w:rPr>
                <w:rFonts w:ascii="仿宋" w:hAnsi="仿宋" w:eastAsia="仿宋" w:cs="Times New Roman"/>
              </w:rPr>
            </w:pPr>
          </w:p>
        </w:tc>
        <w:tc>
          <w:tcPr>
            <w:tcW w:w="3040" w:type="dxa"/>
            <w:vAlign w:val="center"/>
          </w:tcPr>
          <w:p w14:paraId="2D2F3C31">
            <w:pPr>
              <w:jc w:val="left"/>
              <w:rPr>
                <w:rFonts w:ascii="仿宋" w:hAnsi="仿宋" w:eastAsia="仿宋" w:cs="Times New Roman"/>
                <w:sz w:val="18"/>
                <w:szCs w:val="18"/>
              </w:rPr>
            </w:pPr>
            <w:r>
              <w:rPr>
                <w:rFonts w:hint="eastAsia" w:ascii="仿宋" w:hAnsi="仿宋" w:eastAsia="仿宋" w:cs="仿宋"/>
              </w:rPr>
              <w:t>依照法定权限，做好本辖区的征兵、民兵、预备役、国防教育、国民经济动员、人民防空、国防交通、国防设施保护、拥军优属、退役军人服务等工作；承办镇党委、政府交办的其他事项。</w:t>
            </w:r>
          </w:p>
        </w:tc>
        <w:tc>
          <w:tcPr>
            <w:tcW w:w="2835" w:type="dxa"/>
            <w:vAlign w:val="center"/>
          </w:tcPr>
          <w:p w14:paraId="47031DF2">
            <w:pPr>
              <w:jc w:val="left"/>
              <w:rPr>
                <w:rFonts w:ascii="仿宋" w:hAnsi="仿宋" w:eastAsia="仿宋" w:cs="Times New Roman"/>
                <w:sz w:val="18"/>
                <w:szCs w:val="18"/>
              </w:rPr>
            </w:pPr>
            <w:r>
              <w:rPr>
                <w:rFonts w:hint="eastAsia" w:ascii="仿宋" w:hAnsi="仿宋" w:eastAsia="仿宋" w:cs="仿宋"/>
              </w:rPr>
              <w:t>依照法定权限，做好本辖区的征兵、民兵、预备役、国防教育、国民经济动员、人民防空、国防交通、国防设施保护、拥军优属、退役军人服务等工作；承办镇党委、政府交办的其他事项。</w:t>
            </w:r>
          </w:p>
        </w:tc>
        <w:tc>
          <w:tcPr>
            <w:tcW w:w="2914" w:type="dxa"/>
            <w:vAlign w:val="center"/>
          </w:tcPr>
          <w:p w14:paraId="1FCEC02A">
            <w:pPr>
              <w:jc w:val="left"/>
              <w:rPr>
                <w:rFonts w:ascii="仿宋" w:hAnsi="仿宋" w:eastAsia="仿宋" w:cs="Times New Roman"/>
                <w:sz w:val="18"/>
                <w:szCs w:val="18"/>
              </w:rPr>
            </w:pPr>
            <w:r>
              <w:rPr>
                <w:rFonts w:hint="eastAsia" w:ascii="仿宋" w:hAnsi="仿宋" w:eastAsia="仿宋" w:cs="仿宋"/>
              </w:rPr>
              <w:t>依照法定权限，做好本辖区的征兵、民兵、预备役、国防教育、国民经济动员、人民防空、国防交通、国防设施保护、拥军优属、退役军人服务等工作；承办镇党委、政府交办的其他事项。</w:t>
            </w:r>
          </w:p>
        </w:tc>
        <w:tc>
          <w:tcPr>
            <w:tcW w:w="708" w:type="dxa"/>
            <w:vAlign w:val="center"/>
          </w:tcPr>
          <w:p w14:paraId="77A58254">
            <w:pPr>
              <w:spacing w:line="300" w:lineRule="exact"/>
              <w:jc w:val="center"/>
              <w:rPr>
                <w:rFonts w:ascii="仿宋" w:hAnsi="仿宋" w:eastAsia="仿宋" w:cs="仿宋"/>
              </w:rPr>
            </w:pPr>
            <w:r>
              <w:rPr>
                <w:rFonts w:ascii="仿宋" w:hAnsi="仿宋" w:eastAsia="仿宋" w:cs="仿宋"/>
              </w:rPr>
              <w:t>100%</w:t>
            </w:r>
          </w:p>
        </w:tc>
        <w:tc>
          <w:tcPr>
            <w:tcW w:w="709" w:type="dxa"/>
            <w:vAlign w:val="center"/>
          </w:tcPr>
          <w:p w14:paraId="71F2E439">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95%</w:t>
            </w:r>
          </w:p>
        </w:tc>
        <w:tc>
          <w:tcPr>
            <w:tcW w:w="709" w:type="dxa"/>
            <w:vAlign w:val="center"/>
          </w:tcPr>
          <w:p w14:paraId="62F11213">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c>
          <w:tcPr>
            <w:tcW w:w="621" w:type="dxa"/>
            <w:vAlign w:val="center"/>
          </w:tcPr>
          <w:p w14:paraId="1FC504C3">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r>
      <w:tr w14:paraId="26C98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469" w:type="dxa"/>
            <w:vAlign w:val="center"/>
          </w:tcPr>
          <w:p w14:paraId="720BC252">
            <w:pPr>
              <w:spacing w:line="300" w:lineRule="exact"/>
              <w:jc w:val="left"/>
              <w:rPr>
                <w:rFonts w:ascii="仿宋" w:hAnsi="仿宋" w:eastAsia="仿宋" w:cs="Times New Roman"/>
                <w:b/>
                <w:bCs/>
              </w:rPr>
            </w:pPr>
            <w:r>
              <w:rPr>
                <w:rFonts w:hint="eastAsia" w:ascii="仿宋" w:hAnsi="仿宋" w:eastAsia="仿宋" w:cs="仿宋"/>
                <w:b/>
                <w:bCs/>
              </w:rPr>
              <w:t>综合指挥和信息化网络中心</w:t>
            </w:r>
          </w:p>
        </w:tc>
        <w:tc>
          <w:tcPr>
            <w:tcW w:w="929" w:type="dxa"/>
            <w:vAlign w:val="center"/>
          </w:tcPr>
          <w:p w14:paraId="29B714A7">
            <w:pPr>
              <w:spacing w:line="300" w:lineRule="exact"/>
              <w:jc w:val="left"/>
              <w:rPr>
                <w:rFonts w:ascii="仿宋" w:hAnsi="仿宋" w:eastAsia="仿宋" w:cs="Times New Roman"/>
              </w:rPr>
            </w:pPr>
          </w:p>
        </w:tc>
        <w:tc>
          <w:tcPr>
            <w:tcW w:w="3040" w:type="dxa"/>
            <w:vAlign w:val="center"/>
          </w:tcPr>
          <w:p w14:paraId="50E22AD1">
            <w:pPr>
              <w:jc w:val="left"/>
              <w:rPr>
                <w:rFonts w:ascii="仿宋" w:hAnsi="仿宋" w:eastAsia="仿宋" w:cs="Times New Roman"/>
                <w:sz w:val="18"/>
                <w:szCs w:val="18"/>
              </w:rPr>
            </w:pPr>
            <w:r>
              <w:rPr>
                <w:rFonts w:hint="eastAsia" w:ascii="仿宋" w:hAnsi="仿宋" w:eastAsia="仿宋" w:cs="仿宋"/>
              </w:rPr>
              <w:t>制定本辖区社会治安综合治理规划，检查、推动社会治安综合治理措施的落实，协调和督促有关部门开展法制宣传教育工作、调解各类纠纷；组织群众开展各种形式的治安防范活动和军民、警民联防活动；做好防范邪教工作；承办镇党委、政府交办的其他事项。</w:t>
            </w:r>
          </w:p>
        </w:tc>
        <w:tc>
          <w:tcPr>
            <w:tcW w:w="2835" w:type="dxa"/>
            <w:vAlign w:val="center"/>
          </w:tcPr>
          <w:p w14:paraId="657C7B98">
            <w:pPr>
              <w:jc w:val="left"/>
              <w:rPr>
                <w:rFonts w:ascii="仿宋" w:hAnsi="仿宋" w:eastAsia="仿宋" w:cs="Times New Roman"/>
                <w:sz w:val="18"/>
                <w:szCs w:val="18"/>
              </w:rPr>
            </w:pPr>
            <w:r>
              <w:rPr>
                <w:rFonts w:hint="eastAsia" w:ascii="仿宋" w:hAnsi="仿宋" w:eastAsia="仿宋" w:cs="仿宋"/>
              </w:rPr>
              <w:t>制定本辖区社会治安综合治理规划，检查、推动社会治安综合治理措施的落实，协调和督促有关部门开展法制宣传教育工作、调解各类纠纷；组织群众开展各种形式的治安防范活动和军民、警民联防活动；做好防范邪教工作；承办镇党委、政府交办的其他事项。</w:t>
            </w:r>
          </w:p>
        </w:tc>
        <w:tc>
          <w:tcPr>
            <w:tcW w:w="2914" w:type="dxa"/>
            <w:vAlign w:val="center"/>
          </w:tcPr>
          <w:p w14:paraId="6237028B">
            <w:pPr>
              <w:jc w:val="left"/>
              <w:rPr>
                <w:rFonts w:ascii="仿宋" w:hAnsi="仿宋" w:eastAsia="仿宋" w:cs="Times New Roman"/>
                <w:sz w:val="18"/>
                <w:szCs w:val="18"/>
              </w:rPr>
            </w:pPr>
            <w:r>
              <w:rPr>
                <w:rFonts w:hint="eastAsia" w:ascii="仿宋" w:hAnsi="仿宋" w:eastAsia="仿宋" w:cs="仿宋"/>
              </w:rPr>
              <w:t>制定本辖区社会治安综合治理规划，检查、推动社会治安综合治理措施的落实，协调和督促有关部门开展法制宣传教育工作、调解各类纠纷；组织群众开展各种形式的治安防范活动和军民、警民联防活动；做好防范邪教工作；承办镇党委、政府交办的其他事项。</w:t>
            </w:r>
          </w:p>
        </w:tc>
        <w:tc>
          <w:tcPr>
            <w:tcW w:w="708" w:type="dxa"/>
            <w:vAlign w:val="center"/>
          </w:tcPr>
          <w:p w14:paraId="006B892E">
            <w:pPr>
              <w:spacing w:line="300" w:lineRule="exact"/>
              <w:jc w:val="center"/>
              <w:rPr>
                <w:rFonts w:ascii="仿宋" w:hAnsi="仿宋" w:eastAsia="仿宋" w:cs="仿宋"/>
              </w:rPr>
            </w:pPr>
            <w:r>
              <w:rPr>
                <w:rFonts w:ascii="仿宋" w:hAnsi="仿宋" w:eastAsia="仿宋" w:cs="仿宋"/>
              </w:rPr>
              <w:t>100%</w:t>
            </w:r>
          </w:p>
        </w:tc>
        <w:tc>
          <w:tcPr>
            <w:tcW w:w="709" w:type="dxa"/>
            <w:vAlign w:val="center"/>
          </w:tcPr>
          <w:p w14:paraId="682B73A1">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95%</w:t>
            </w:r>
          </w:p>
        </w:tc>
        <w:tc>
          <w:tcPr>
            <w:tcW w:w="709" w:type="dxa"/>
            <w:vAlign w:val="center"/>
          </w:tcPr>
          <w:p w14:paraId="50100962">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c>
          <w:tcPr>
            <w:tcW w:w="621" w:type="dxa"/>
            <w:vAlign w:val="center"/>
          </w:tcPr>
          <w:p w14:paraId="7A132AD5">
            <w:pPr>
              <w:spacing w:line="300" w:lineRule="exact"/>
              <w:jc w:val="center"/>
              <w:rPr>
                <w:rFonts w:ascii="仿宋" w:hAnsi="仿宋" w:eastAsia="仿宋" w:cs="仿宋"/>
              </w:rPr>
            </w:pPr>
            <w:r>
              <w:rPr>
                <w:rFonts w:hint="eastAsia" w:ascii="仿宋" w:hAnsi="仿宋" w:eastAsia="仿宋" w:cs="仿宋"/>
              </w:rPr>
              <w:t>＜</w:t>
            </w:r>
            <w:r>
              <w:rPr>
                <w:rFonts w:ascii="仿宋" w:hAnsi="仿宋" w:eastAsia="仿宋" w:cs="仿宋"/>
              </w:rPr>
              <w:t>90%</w:t>
            </w:r>
          </w:p>
        </w:tc>
      </w:tr>
      <w:bookmarkEnd w:id="0"/>
    </w:tbl>
    <w:p w14:paraId="44C5C475">
      <w:pPr>
        <w:autoSpaceDE w:val="0"/>
        <w:autoSpaceDN w:val="0"/>
        <w:adjustRightInd w:val="0"/>
        <w:ind w:firstLine="640" w:firstLineChars="200"/>
        <w:jc w:val="left"/>
        <w:rPr>
          <w:rFonts w:ascii="黑体" w:hAnsi="黑体" w:eastAsia="黑体" w:cs="Times New Roman"/>
          <w:sz w:val="32"/>
          <w:szCs w:val="32"/>
        </w:rPr>
      </w:pPr>
    </w:p>
    <w:p w14:paraId="7BCC9EF5">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黑体"/>
          <w:sz w:val="32"/>
          <w:szCs w:val="32"/>
        </w:rPr>
        <w:t>六、政府采购预算情况</w:t>
      </w:r>
    </w:p>
    <w:p w14:paraId="2BC414D5">
      <w:pPr>
        <w:ind w:firstLine="640" w:firstLineChars="200"/>
        <w:jc w:val="left"/>
        <w:outlineLvl w:val="0"/>
        <w:rPr>
          <w:rFonts w:ascii="黑体" w:hAnsi="黑体" w:eastAsia="黑体" w:cs="Times New Roman"/>
          <w:sz w:val="32"/>
          <w:szCs w:val="32"/>
        </w:rPr>
      </w:pPr>
      <w:r>
        <w:rPr>
          <w:rFonts w:ascii="仿宋" w:hAnsi="仿宋" w:eastAsia="仿宋" w:cs="仿宋"/>
          <w:sz w:val="32"/>
          <w:szCs w:val="32"/>
        </w:rPr>
        <w:t>2022</w:t>
      </w:r>
      <w:r>
        <w:rPr>
          <w:rFonts w:hint="eastAsia" w:ascii="仿宋" w:hAnsi="仿宋" w:eastAsia="仿宋" w:cs="仿宋"/>
          <w:sz w:val="32"/>
          <w:szCs w:val="32"/>
        </w:rPr>
        <w:t>年部门预算政府采购涉及金额</w:t>
      </w:r>
      <w:r>
        <w:rPr>
          <w:rFonts w:ascii="仿宋" w:hAnsi="仿宋" w:eastAsia="仿宋" w:cs="仿宋"/>
          <w:sz w:val="32"/>
          <w:szCs w:val="32"/>
        </w:rPr>
        <w:t>80.2</w:t>
      </w:r>
      <w:r>
        <w:rPr>
          <w:rFonts w:hint="eastAsia" w:ascii="仿宋" w:hAnsi="仿宋" w:eastAsia="仿宋" w:cs="仿宋"/>
          <w:sz w:val="32"/>
          <w:szCs w:val="32"/>
        </w:rPr>
        <w:t>万元。</w:t>
      </w:r>
    </w:p>
    <w:p w14:paraId="730C7CEB">
      <w:pPr>
        <w:jc w:val="center"/>
        <w:outlineLvl w:val="0"/>
        <w:rPr>
          <w:rFonts w:ascii="黑体" w:hAnsi="黑体" w:eastAsia="黑体" w:cs="Times New Roman"/>
          <w:sz w:val="32"/>
          <w:szCs w:val="32"/>
        </w:rPr>
      </w:pPr>
    </w:p>
    <w:p w14:paraId="047FFFF4">
      <w:pPr>
        <w:jc w:val="center"/>
        <w:outlineLvl w:val="0"/>
        <w:rPr>
          <w:rFonts w:ascii="黑体" w:hAnsi="黑体" w:eastAsia="黑体" w:cs="Times New Roman"/>
          <w:sz w:val="32"/>
          <w:szCs w:val="32"/>
        </w:rPr>
      </w:pPr>
    </w:p>
    <w:p w14:paraId="48E53DEF">
      <w:pPr>
        <w:jc w:val="center"/>
        <w:outlineLvl w:val="0"/>
        <w:rPr>
          <w:rFonts w:ascii="黑体" w:hAnsi="黑体" w:eastAsia="黑体" w:cs="Times New Roman"/>
          <w:sz w:val="32"/>
          <w:szCs w:val="32"/>
        </w:rPr>
      </w:pPr>
      <w:r>
        <w:rPr>
          <w:rFonts w:hint="eastAsia" w:ascii="黑体" w:hAnsi="黑体" w:eastAsia="黑体" w:cs="黑体"/>
          <w:sz w:val="32"/>
          <w:szCs w:val="32"/>
        </w:rPr>
        <w:t>部门政府采购预算</w:t>
      </w:r>
    </w:p>
    <w:p w14:paraId="3C5021FF">
      <w:pPr>
        <w:jc w:val="center"/>
        <w:outlineLvl w:val="0"/>
        <w:rPr>
          <w:rFonts w:ascii="黑体" w:hAnsi="黑体" w:eastAsia="黑体" w:cs="Times New Roman"/>
          <w:sz w:val="32"/>
          <w:szCs w:val="32"/>
        </w:rPr>
      </w:pPr>
    </w:p>
    <w:p w14:paraId="749768D5">
      <w:pPr>
        <w:spacing w:line="300" w:lineRule="exact"/>
        <w:ind w:firstLine="120" w:firstLineChars="50"/>
        <w:jc w:val="left"/>
        <w:rPr>
          <w:rFonts w:ascii="Times New Roman" w:eastAsia="方正书宋_GBK" w:cs="Times New Roman"/>
          <w:sz w:val="32"/>
          <w:szCs w:val="32"/>
        </w:rPr>
      </w:pPr>
      <w:r>
        <w:rPr>
          <w:rFonts w:ascii="方正小标宋_GBK" w:eastAsia="方正小标宋_GBK" w:cs="方正小标宋_GBK"/>
          <w:sz w:val="24"/>
          <w:szCs w:val="24"/>
        </w:rPr>
        <w:t xml:space="preserve">967 </w:t>
      </w:r>
      <w:r>
        <w:rPr>
          <w:rFonts w:hint="eastAsia" w:ascii="方正小标宋_GBK" w:eastAsia="方正小标宋_GBK" w:cs="方正小标宋_GBK"/>
          <w:sz w:val="24"/>
          <w:szCs w:val="24"/>
        </w:rPr>
        <w:t>宁晋县纪昌庄镇</w:t>
      </w:r>
      <w:r>
        <w:rPr>
          <w:rFonts w:hint="eastAsia" w:eastAsia="方正书宋_GBK" w:cs="方正书宋_GBK"/>
          <w:sz w:val="24"/>
          <w:szCs w:val="24"/>
        </w:rPr>
        <w:t>单位：万元</w:t>
      </w:r>
    </w:p>
    <w:tbl>
      <w:tblPr>
        <w:tblStyle w:val="7"/>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84"/>
        <w:gridCol w:w="1349"/>
        <w:gridCol w:w="638"/>
        <w:gridCol w:w="680"/>
        <w:gridCol w:w="575"/>
        <w:gridCol w:w="575"/>
        <w:gridCol w:w="935"/>
        <w:gridCol w:w="1896"/>
        <w:gridCol w:w="1417"/>
        <w:gridCol w:w="1656"/>
        <w:gridCol w:w="992"/>
        <w:gridCol w:w="681"/>
        <w:gridCol w:w="579"/>
        <w:gridCol w:w="517"/>
      </w:tblGrid>
      <w:tr w14:paraId="62767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070" w:type="pct"/>
            <w:gridSpan w:val="2"/>
            <w:vAlign w:val="center"/>
          </w:tcPr>
          <w:p w14:paraId="4089046D">
            <w:pPr>
              <w:spacing w:line="300" w:lineRule="exact"/>
              <w:jc w:val="center"/>
              <w:rPr>
                <w:rFonts w:eastAsia="方正书宋_GBK" w:cs="Times New Roman"/>
                <w:b/>
                <w:bCs/>
              </w:rPr>
            </w:pPr>
            <w:r>
              <w:rPr>
                <w:rFonts w:hint="eastAsia" w:eastAsia="方正书宋_GBK" w:cs="方正书宋_GBK"/>
                <w:b/>
                <w:bCs/>
              </w:rPr>
              <w:t>政府采购项目来源</w:t>
            </w:r>
          </w:p>
        </w:tc>
        <w:tc>
          <w:tcPr>
            <w:tcW w:w="225" w:type="pct"/>
            <w:vMerge w:val="restart"/>
            <w:vAlign w:val="center"/>
          </w:tcPr>
          <w:p w14:paraId="791F0468">
            <w:pPr>
              <w:spacing w:line="300" w:lineRule="exact"/>
              <w:jc w:val="center"/>
              <w:rPr>
                <w:rFonts w:eastAsia="方正书宋_GBK" w:cs="Times New Roman"/>
                <w:b/>
                <w:bCs/>
              </w:rPr>
            </w:pPr>
            <w:r>
              <w:rPr>
                <w:rFonts w:hint="eastAsia" w:eastAsia="方正书宋_GBK" w:cs="方正书宋_GBK"/>
                <w:b/>
                <w:bCs/>
              </w:rPr>
              <w:t>采购物品名称</w:t>
            </w:r>
          </w:p>
        </w:tc>
        <w:tc>
          <w:tcPr>
            <w:tcW w:w="240" w:type="pct"/>
            <w:vMerge w:val="restart"/>
            <w:vAlign w:val="center"/>
          </w:tcPr>
          <w:p w14:paraId="710F9D19">
            <w:pPr>
              <w:spacing w:line="300" w:lineRule="exact"/>
              <w:jc w:val="center"/>
              <w:rPr>
                <w:rFonts w:eastAsia="方正书宋_GBK" w:cs="Times New Roman"/>
                <w:b/>
                <w:bCs/>
              </w:rPr>
            </w:pPr>
            <w:r>
              <w:rPr>
                <w:rFonts w:hint="eastAsia" w:eastAsia="方正书宋_GBK" w:cs="方正书宋_GBK"/>
                <w:b/>
                <w:bCs/>
              </w:rPr>
              <w:t>政府采购目录序号</w:t>
            </w:r>
          </w:p>
        </w:tc>
        <w:tc>
          <w:tcPr>
            <w:tcW w:w="203" w:type="pct"/>
            <w:vMerge w:val="restart"/>
            <w:vAlign w:val="center"/>
          </w:tcPr>
          <w:p w14:paraId="695F5203">
            <w:pPr>
              <w:spacing w:line="300" w:lineRule="exact"/>
              <w:jc w:val="center"/>
              <w:rPr>
                <w:rFonts w:eastAsia="方正书宋_GBK" w:cs="Times New Roman"/>
                <w:b/>
                <w:bCs/>
              </w:rPr>
            </w:pPr>
            <w:r>
              <w:rPr>
                <w:rFonts w:hint="eastAsia" w:eastAsia="方正书宋_GBK" w:cs="方正书宋_GBK"/>
                <w:b/>
                <w:bCs/>
              </w:rPr>
              <w:t>数量</w:t>
            </w:r>
          </w:p>
          <w:p w14:paraId="3A533E20">
            <w:pPr>
              <w:spacing w:line="300" w:lineRule="exact"/>
              <w:jc w:val="center"/>
              <w:rPr>
                <w:rFonts w:eastAsia="方正书宋_GBK" w:cs="Times New Roman"/>
                <w:b/>
                <w:bCs/>
              </w:rPr>
            </w:pPr>
            <w:r>
              <w:rPr>
                <w:rFonts w:hint="eastAsia" w:eastAsia="方正书宋_GBK" w:cs="方正书宋_GBK"/>
                <w:b/>
                <w:bCs/>
              </w:rPr>
              <w:t>单位</w:t>
            </w:r>
          </w:p>
        </w:tc>
        <w:tc>
          <w:tcPr>
            <w:tcW w:w="203" w:type="pct"/>
            <w:vMerge w:val="restart"/>
            <w:vAlign w:val="center"/>
          </w:tcPr>
          <w:p w14:paraId="77A1442F">
            <w:pPr>
              <w:spacing w:line="300" w:lineRule="exact"/>
              <w:jc w:val="center"/>
              <w:rPr>
                <w:rFonts w:eastAsia="方正书宋_GBK" w:cs="Times New Roman"/>
                <w:b/>
                <w:bCs/>
              </w:rPr>
            </w:pPr>
            <w:r>
              <w:rPr>
                <w:rFonts w:hint="eastAsia" w:eastAsia="方正书宋_GBK" w:cs="方正书宋_GBK"/>
                <w:b/>
                <w:bCs/>
              </w:rPr>
              <w:t>数量</w:t>
            </w:r>
          </w:p>
        </w:tc>
        <w:tc>
          <w:tcPr>
            <w:tcW w:w="330" w:type="pct"/>
            <w:vMerge w:val="restart"/>
            <w:vAlign w:val="center"/>
          </w:tcPr>
          <w:p w14:paraId="642CA149">
            <w:pPr>
              <w:spacing w:line="300" w:lineRule="exact"/>
              <w:jc w:val="center"/>
              <w:rPr>
                <w:rFonts w:eastAsia="方正书宋_GBK" w:cs="Times New Roman"/>
                <w:b/>
                <w:bCs/>
              </w:rPr>
            </w:pPr>
            <w:r>
              <w:rPr>
                <w:rFonts w:hint="eastAsia" w:eastAsia="方正书宋_GBK" w:cs="方正书宋_GBK"/>
                <w:b/>
                <w:bCs/>
              </w:rPr>
              <w:t>单价</w:t>
            </w:r>
          </w:p>
        </w:tc>
        <w:tc>
          <w:tcPr>
            <w:tcW w:w="2729" w:type="pct"/>
            <w:gridSpan w:val="7"/>
            <w:vAlign w:val="center"/>
          </w:tcPr>
          <w:p w14:paraId="4801AFD9">
            <w:pPr>
              <w:spacing w:line="300" w:lineRule="exact"/>
              <w:jc w:val="center"/>
              <w:rPr>
                <w:rFonts w:eastAsia="方正书宋_GBK" w:cs="Times New Roman"/>
                <w:b/>
                <w:bCs/>
              </w:rPr>
            </w:pPr>
            <w:r>
              <w:rPr>
                <w:rFonts w:hint="eastAsia" w:eastAsia="方正书宋_GBK" w:cs="方正书宋_GBK"/>
                <w:b/>
                <w:bCs/>
              </w:rPr>
              <w:t>政府采购金额</w:t>
            </w:r>
          </w:p>
        </w:tc>
      </w:tr>
      <w:tr w14:paraId="63F1E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594" w:type="pct"/>
            <w:vMerge w:val="restart"/>
            <w:vAlign w:val="center"/>
          </w:tcPr>
          <w:p w14:paraId="79283A23">
            <w:pPr>
              <w:spacing w:line="300" w:lineRule="exact"/>
              <w:jc w:val="center"/>
              <w:rPr>
                <w:rFonts w:eastAsia="方正书宋_GBK" w:cs="Times New Roman"/>
                <w:b/>
                <w:bCs/>
              </w:rPr>
            </w:pPr>
            <w:r>
              <w:rPr>
                <w:rFonts w:hint="eastAsia" w:eastAsia="方正书宋_GBK" w:cs="方正书宋_GBK"/>
                <w:b/>
                <w:bCs/>
              </w:rPr>
              <w:t>项目名称</w:t>
            </w:r>
          </w:p>
        </w:tc>
        <w:tc>
          <w:tcPr>
            <w:tcW w:w="476" w:type="pct"/>
            <w:vMerge w:val="restart"/>
            <w:vAlign w:val="center"/>
          </w:tcPr>
          <w:p w14:paraId="7D2FC5F1">
            <w:pPr>
              <w:spacing w:line="300" w:lineRule="exact"/>
              <w:jc w:val="center"/>
              <w:rPr>
                <w:rFonts w:eastAsia="方正书宋_GBK" w:cs="Times New Roman"/>
                <w:b/>
                <w:bCs/>
              </w:rPr>
            </w:pPr>
            <w:r>
              <w:rPr>
                <w:rFonts w:hint="eastAsia" w:eastAsia="方正书宋_GBK" w:cs="方正书宋_GBK"/>
                <w:b/>
                <w:bCs/>
              </w:rPr>
              <w:t>预算金额</w:t>
            </w:r>
          </w:p>
        </w:tc>
        <w:tc>
          <w:tcPr>
            <w:tcW w:w="0" w:type="auto"/>
            <w:vMerge w:val="continue"/>
            <w:vAlign w:val="center"/>
          </w:tcPr>
          <w:p w14:paraId="2BA7A1F0">
            <w:pPr>
              <w:widowControl/>
              <w:jc w:val="left"/>
              <w:rPr>
                <w:rFonts w:eastAsia="方正书宋_GBK" w:cs="Times New Roman"/>
                <w:b/>
                <w:bCs/>
              </w:rPr>
            </w:pPr>
          </w:p>
        </w:tc>
        <w:tc>
          <w:tcPr>
            <w:tcW w:w="0" w:type="auto"/>
            <w:vMerge w:val="continue"/>
            <w:vAlign w:val="center"/>
          </w:tcPr>
          <w:p w14:paraId="46E51596">
            <w:pPr>
              <w:widowControl/>
              <w:jc w:val="left"/>
              <w:rPr>
                <w:rFonts w:eastAsia="方正书宋_GBK" w:cs="Times New Roman"/>
                <w:b/>
                <w:bCs/>
              </w:rPr>
            </w:pPr>
          </w:p>
        </w:tc>
        <w:tc>
          <w:tcPr>
            <w:tcW w:w="0" w:type="auto"/>
            <w:vMerge w:val="continue"/>
            <w:vAlign w:val="center"/>
          </w:tcPr>
          <w:p w14:paraId="17E3B581">
            <w:pPr>
              <w:widowControl/>
              <w:jc w:val="left"/>
              <w:rPr>
                <w:rFonts w:eastAsia="方正书宋_GBK" w:cs="Times New Roman"/>
                <w:b/>
                <w:bCs/>
              </w:rPr>
            </w:pPr>
          </w:p>
        </w:tc>
        <w:tc>
          <w:tcPr>
            <w:tcW w:w="0" w:type="auto"/>
            <w:vMerge w:val="continue"/>
            <w:vAlign w:val="center"/>
          </w:tcPr>
          <w:p w14:paraId="07D199C2">
            <w:pPr>
              <w:widowControl/>
              <w:jc w:val="left"/>
              <w:rPr>
                <w:rFonts w:eastAsia="方正书宋_GBK" w:cs="Times New Roman"/>
                <w:b/>
                <w:bCs/>
              </w:rPr>
            </w:pPr>
          </w:p>
        </w:tc>
        <w:tc>
          <w:tcPr>
            <w:tcW w:w="0" w:type="auto"/>
            <w:vMerge w:val="continue"/>
            <w:vAlign w:val="center"/>
          </w:tcPr>
          <w:p w14:paraId="1FDA2A75">
            <w:pPr>
              <w:widowControl/>
              <w:jc w:val="left"/>
              <w:rPr>
                <w:rFonts w:eastAsia="方正书宋_GBK" w:cs="Times New Roman"/>
                <w:b/>
                <w:bCs/>
              </w:rPr>
            </w:pPr>
          </w:p>
        </w:tc>
        <w:tc>
          <w:tcPr>
            <w:tcW w:w="669" w:type="pct"/>
            <w:vMerge w:val="restart"/>
            <w:vAlign w:val="center"/>
          </w:tcPr>
          <w:p w14:paraId="26012F35">
            <w:pPr>
              <w:spacing w:line="300" w:lineRule="exact"/>
              <w:jc w:val="center"/>
              <w:rPr>
                <w:rFonts w:eastAsia="方正书宋_GBK" w:cs="Times New Roman"/>
                <w:b/>
                <w:bCs/>
              </w:rPr>
            </w:pPr>
            <w:r>
              <w:rPr>
                <w:rFonts w:hint="eastAsia" w:eastAsia="方正书宋_GBK" w:cs="方正书宋_GBK"/>
                <w:b/>
                <w:bCs/>
              </w:rPr>
              <w:t>总计</w:t>
            </w:r>
          </w:p>
        </w:tc>
        <w:tc>
          <w:tcPr>
            <w:tcW w:w="1878" w:type="pct"/>
            <w:gridSpan w:val="5"/>
            <w:vAlign w:val="center"/>
          </w:tcPr>
          <w:p w14:paraId="55612EF7">
            <w:pPr>
              <w:spacing w:line="300" w:lineRule="exact"/>
              <w:jc w:val="center"/>
              <w:rPr>
                <w:rFonts w:eastAsia="方正书宋_GBK" w:cs="Times New Roman"/>
                <w:b/>
                <w:bCs/>
              </w:rPr>
            </w:pPr>
            <w:r>
              <w:rPr>
                <w:rFonts w:hint="eastAsia" w:eastAsia="方正书宋_GBK" w:cs="方正书宋_GBK"/>
                <w:b/>
                <w:bCs/>
              </w:rPr>
              <w:t>当年部门预算安排资金</w:t>
            </w:r>
          </w:p>
        </w:tc>
        <w:tc>
          <w:tcPr>
            <w:tcW w:w="181" w:type="pct"/>
            <w:vMerge w:val="restart"/>
            <w:vAlign w:val="center"/>
          </w:tcPr>
          <w:p w14:paraId="15DF8955">
            <w:pPr>
              <w:spacing w:line="300" w:lineRule="exact"/>
              <w:jc w:val="center"/>
              <w:rPr>
                <w:rFonts w:eastAsia="方正书宋_GBK" w:cs="Times New Roman"/>
                <w:b/>
                <w:bCs/>
              </w:rPr>
            </w:pPr>
            <w:r>
              <w:rPr>
                <w:rFonts w:hint="eastAsia" w:eastAsia="方正书宋_GBK" w:cs="方正书宋_GBK"/>
                <w:b/>
                <w:bCs/>
              </w:rPr>
              <w:t>其他渠道资金</w:t>
            </w:r>
          </w:p>
        </w:tc>
      </w:tr>
      <w:tr w14:paraId="29EF6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0" w:type="auto"/>
            <w:vMerge w:val="continue"/>
            <w:vAlign w:val="center"/>
          </w:tcPr>
          <w:p w14:paraId="34D054F2">
            <w:pPr>
              <w:widowControl/>
              <w:jc w:val="left"/>
              <w:rPr>
                <w:rFonts w:eastAsia="方正书宋_GBK" w:cs="Times New Roman"/>
                <w:b/>
                <w:bCs/>
              </w:rPr>
            </w:pPr>
          </w:p>
        </w:tc>
        <w:tc>
          <w:tcPr>
            <w:tcW w:w="0" w:type="auto"/>
            <w:vMerge w:val="continue"/>
            <w:vAlign w:val="center"/>
          </w:tcPr>
          <w:p w14:paraId="126C8353">
            <w:pPr>
              <w:widowControl/>
              <w:jc w:val="left"/>
              <w:rPr>
                <w:rFonts w:eastAsia="方正书宋_GBK" w:cs="Times New Roman"/>
                <w:b/>
                <w:bCs/>
              </w:rPr>
            </w:pPr>
          </w:p>
        </w:tc>
        <w:tc>
          <w:tcPr>
            <w:tcW w:w="0" w:type="auto"/>
            <w:vMerge w:val="continue"/>
            <w:vAlign w:val="center"/>
          </w:tcPr>
          <w:p w14:paraId="37C7F8A2">
            <w:pPr>
              <w:widowControl/>
              <w:jc w:val="left"/>
              <w:rPr>
                <w:rFonts w:eastAsia="方正书宋_GBK" w:cs="Times New Roman"/>
                <w:b/>
                <w:bCs/>
              </w:rPr>
            </w:pPr>
          </w:p>
        </w:tc>
        <w:tc>
          <w:tcPr>
            <w:tcW w:w="0" w:type="auto"/>
            <w:vMerge w:val="continue"/>
            <w:vAlign w:val="center"/>
          </w:tcPr>
          <w:p w14:paraId="310661AE">
            <w:pPr>
              <w:widowControl/>
              <w:jc w:val="left"/>
              <w:rPr>
                <w:rFonts w:eastAsia="方正书宋_GBK" w:cs="Times New Roman"/>
                <w:b/>
                <w:bCs/>
              </w:rPr>
            </w:pPr>
          </w:p>
        </w:tc>
        <w:tc>
          <w:tcPr>
            <w:tcW w:w="0" w:type="auto"/>
            <w:vMerge w:val="continue"/>
            <w:vAlign w:val="center"/>
          </w:tcPr>
          <w:p w14:paraId="361E7440">
            <w:pPr>
              <w:widowControl/>
              <w:jc w:val="left"/>
              <w:rPr>
                <w:rFonts w:eastAsia="方正书宋_GBK" w:cs="Times New Roman"/>
                <w:b/>
                <w:bCs/>
              </w:rPr>
            </w:pPr>
          </w:p>
        </w:tc>
        <w:tc>
          <w:tcPr>
            <w:tcW w:w="0" w:type="auto"/>
            <w:vMerge w:val="continue"/>
            <w:vAlign w:val="center"/>
          </w:tcPr>
          <w:p w14:paraId="0246F8A1">
            <w:pPr>
              <w:widowControl/>
              <w:jc w:val="left"/>
              <w:rPr>
                <w:rFonts w:eastAsia="方正书宋_GBK" w:cs="Times New Roman"/>
                <w:b/>
                <w:bCs/>
              </w:rPr>
            </w:pPr>
          </w:p>
        </w:tc>
        <w:tc>
          <w:tcPr>
            <w:tcW w:w="0" w:type="auto"/>
            <w:vMerge w:val="continue"/>
            <w:vAlign w:val="center"/>
          </w:tcPr>
          <w:p w14:paraId="2DE69F2E">
            <w:pPr>
              <w:widowControl/>
              <w:jc w:val="left"/>
              <w:rPr>
                <w:rFonts w:eastAsia="方正书宋_GBK" w:cs="Times New Roman"/>
                <w:b/>
                <w:bCs/>
              </w:rPr>
            </w:pPr>
          </w:p>
        </w:tc>
        <w:tc>
          <w:tcPr>
            <w:tcW w:w="0" w:type="auto"/>
            <w:vMerge w:val="continue"/>
            <w:vAlign w:val="center"/>
          </w:tcPr>
          <w:p w14:paraId="5964587D">
            <w:pPr>
              <w:widowControl/>
              <w:jc w:val="left"/>
              <w:rPr>
                <w:rFonts w:eastAsia="方正书宋_GBK" w:cs="Times New Roman"/>
                <w:b/>
                <w:bCs/>
              </w:rPr>
            </w:pPr>
          </w:p>
        </w:tc>
        <w:tc>
          <w:tcPr>
            <w:tcW w:w="500" w:type="pct"/>
            <w:vAlign w:val="center"/>
          </w:tcPr>
          <w:p w14:paraId="647C4D3A">
            <w:pPr>
              <w:spacing w:line="300" w:lineRule="exact"/>
              <w:jc w:val="center"/>
              <w:rPr>
                <w:rFonts w:eastAsia="方正书宋_GBK" w:cs="Times New Roman"/>
                <w:b/>
                <w:bCs/>
              </w:rPr>
            </w:pPr>
            <w:r>
              <w:rPr>
                <w:rFonts w:hint="eastAsia" w:eastAsia="方正书宋_GBK" w:cs="方正书宋_GBK"/>
                <w:b/>
                <w:bCs/>
              </w:rPr>
              <w:t>合计</w:t>
            </w:r>
          </w:p>
        </w:tc>
        <w:tc>
          <w:tcPr>
            <w:tcW w:w="584" w:type="pct"/>
            <w:vAlign w:val="center"/>
          </w:tcPr>
          <w:p w14:paraId="47DF02A4">
            <w:pPr>
              <w:spacing w:line="300" w:lineRule="exact"/>
              <w:jc w:val="center"/>
              <w:rPr>
                <w:rFonts w:eastAsia="方正书宋_GBK" w:cs="Times New Roman"/>
                <w:b/>
                <w:bCs/>
              </w:rPr>
            </w:pPr>
            <w:r>
              <w:rPr>
                <w:rFonts w:hint="eastAsia" w:eastAsia="方正书宋_GBK" w:cs="方正书宋_GBK"/>
                <w:b/>
                <w:bCs/>
              </w:rPr>
              <w:t>一般公共预算拨款</w:t>
            </w:r>
          </w:p>
        </w:tc>
        <w:tc>
          <w:tcPr>
            <w:tcW w:w="350" w:type="pct"/>
            <w:vAlign w:val="center"/>
          </w:tcPr>
          <w:p w14:paraId="122066C9">
            <w:pPr>
              <w:spacing w:line="300" w:lineRule="exact"/>
              <w:jc w:val="center"/>
              <w:rPr>
                <w:rFonts w:eastAsia="方正书宋_GBK" w:cs="Times New Roman"/>
                <w:b/>
                <w:bCs/>
              </w:rPr>
            </w:pPr>
            <w:r>
              <w:rPr>
                <w:rFonts w:hint="eastAsia" w:eastAsia="方正书宋_GBK" w:cs="方正书宋_GBK"/>
                <w:b/>
                <w:bCs/>
              </w:rPr>
              <w:t>基金预算拨款</w:t>
            </w:r>
          </w:p>
        </w:tc>
        <w:tc>
          <w:tcPr>
            <w:tcW w:w="240" w:type="pct"/>
            <w:vAlign w:val="center"/>
          </w:tcPr>
          <w:p w14:paraId="4A6C2F38">
            <w:pPr>
              <w:spacing w:line="300" w:lineRule="exact"/>
              <w:jc w:val="center"/>
              <w:rPr>
                <w:rFonts w:eastAsia="方正书宋_GBK" w:cs="Times New Roman"/>
                <w:b/>
                <w:bCs/>
              </w:rPr>
            </w:pPr>
            <w:r>
              <w:rPr>
                <w:rFonts w:hint="eastAsia" w:eastAsia="方正书宋_GBK" w:cs="方正书宋_GBK"/>
                <w:b/>
                <w:bCs/>
              </w:rPr>
              <w:t>财政专户核拨</w:t>
            </w:r>
          </w:p>
        </w:tc>
        <w:tc>
          <w:tcPr>
            <w:tcW w:w="204" w:type="pct"/>
            <w:vAlign w:val="center"/>
          </w:tcPr>
          <w:p w14:paraId="0B2CF354">
            <w:pPr>
              <w:spacing w:line="300" w:lineRule="exact"/>
              <w:jc w:val="center"/>
              <w:rPr>
                <w:rFonts w:eastAsia="方正书宋_GBK" w:cs="Times New Roman"/>
                <w:b/>
                <w:bCs/>
              </w:rPr>
            </w:pPr>
            <w:r>
              <w:rPr>
                <w:rFonts w:hint="eastAsia" w:eastAsia="方正书宋_GBK" w:cs="方正书宋_GBK"/>
                <w:b/>
                <w:bCs/>
              </w:rPr>
              <w:t>其他来源收入</w:t>
            </w:r>
          </w:p>
        </w:tc>
        <w:tc>
          <w:tcPr>
            <w:tcW w:w="0" w:type="auto"/>
            <w:vMerge w:val="continue"/>
            <w:vAlign w:val="center"/>
          </w:tcPr>
          <w:p w14:paraId="70BA88C5">
            <w:pPr>
              <w:widowControl/>
              <w:jc w:val="left"/>
              <w:rPr>
                <w:rFonts w:eastAsia="方正书宋_GBK" w:cs="Times New Roman"/>
                <w:b/>
                <w:bCs/>
              </w:rPr>
            </w:pPr>
          </w:p>
        </w:tc>
      </w:tr>
      <w:tr w14:paraId="4DE26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02" w:hRule="atLeast"/>
          <w:jc w:val="center"/>
        </w:trPr>
        <w:tc>
          <w:tcPr>
            <w:tcW w:w="594" w:type="pct"/>
            <w:vAlign w:val="center"/>
          </w:tcPr>
          <w:p w14:paraId="4F7E5E7E">
            <w:pPr>
              <w:spacing w:line="300" w:lineRule="exact"/>
              <w:jc w:val="center"/>
              <w:rPr>
                <w:rFonts w:eastAsia="方正书宋_GBK" w:cs="Times New Roman"/>
                <w:b/>
                <w:bCs/>
              </w:rPr>
            </w:pPr>
            <w:r>
              <w:rPr>
                <w:rFonts w:hint="eastAsia" w:eastAsia="方正书宋_GBK" w:cs="方正书宋_GBK"/>
                <w:b/>
                <w:bCs/>
              </w:rPr>
              <w:t>合计</w:t>
            </w:r>
          </w:p>
        </w:tc>
        <w:tc>
          <w:tcPr>
            <w:tcW w:w="476" w:type="pct"/>
            <w:vAlign w:val="center"/>
          </w:tcPr>
          <w:p w14:paraId="7F5BAF64">
            <w:pPr>
              <w:rPr>
                <w:rFonts w:ascii="仿宋" w:hAnsi="仿宋" w:eastAsia="仿宋" w:cs="Times New Roman"/>
                <w:sz w:val="24"/>
                <w:szCs w:val="24"/>
              </w:rPr>
            </w:pPr>
            <w:r>
              <w:rPr>
                <w:rFonts w:ascii="仿宋" w:hAnsi="仿宋" w:eastAsia="仿宋" w:cs="仿宋"/>
                <w:sz w:val="24"/>
                <w:szCs w:val="24"/>
              </w:rPr>
              <w:t>80.2</w:t>
            </w:r>
          </w:p>
        </w:tc>
        <w:tc>
          <w:tcPr>
            <w:tcW w:w="225" w:type="pct"/>
            <w:vAlign w:val="center"/>
          </w:tcPr>
          <w:p w14:paraId="291AF3FD">
            <w:pPr>
              <w:spacing w:line="300" w:lineRule="exact"/>
              <w:rPr>
                <w:rFonts w:ascii="仿宋" w:hAnsi="仿宋" w:eastAsia="仿宋" w:cs="Times New Roman"/>
                <w:sz w:val="24"/>
                <w:szCs w:val="24"/>
              </w:rPr>
            </w:pPr>
            <w:r>
              <w:rPr>
                <w:rFonts w:hint="eastAsia" w:ascii="仿宋" w:hAnsi="仿宋" w:eastAsia="仿宋" w:cs="仿宋"/>
                <w:sz w:val="24"/>
                <w:szCs w:val="24"/>
              </w:rPr>
              <w:t>服务</w:t>
            </w:r>
          </w:p>
        </w:tc>
        <w:tc>
          <w:tcPr>
            <w:tcW w:w="240" w:type="pct"/>
            <w:vAlign w:val="center"/>
          </w:tcPr>
          <w:p w14:paraId="5A81AE52">
            <w:pPr>
              <w:spacing w:line="300" w:lineRule="exact"/>
              <w:rPr>
                <w:rFonts w:ascii="仿宋" w:hAnsi="仿宋" w:eastAsia="仿宋" w:cs="Times New Roman"/>
                <w:sz w:val="24"/>
                <w:szCs w:val="24"/>
              </w:rPr>
            </w:pPr>
          </w:p>
        </w:tc>
        <w:tc>
          <w:tcPr>
            <w:tcW w:w="203" w:type="pct"/>
            <w:vAlign w:val="center"/>
          </w:tcPr>
          <w:p w14:paraId="61FEABAE">
            <w:pPr>
              <w:spacing w:line="300" w:lineRule="exact"/>
              <w:rPr>
                <w:rFonts w:ascii="仿宋" w:hAnsi="仿宋" w:eastAsia="仿宋" w:cs="Times New Roman"/>
                <w:sz w:val="24"/>
                <w:szCs w:val="24"/>
              </w:rPr>
            </w:pPr>
          </w:p>
        </w:tc>
        <w:tc>
          <w:tcPr>
            <w:tcW w:w="203" w:type="pct"/>
            <w:vAlign w:val="center"/>
          </w:tcPr>
          <w:p w14:paraId="40ACB466">
            <w:pPr>
              <w:spacing w:line="300" w:lineRule="exact"/>
              <w:rPr>
                <w:rFonts w:ascii="仿宋" w:hAnsi="仿宋" w:eastAsia="仿宋" w:cs="仿宋"/>
                <w:sz w:val="24"/>
                <w:szCs w:val="24"/>
              </w:rPr>
            </w:pPr>
            <w:r>
              <w:rPr>
                <w:rFonts w:ascii="仿宋" w:hAnsi="仿宋" w:eastAsia="仿宋" w:cs="仿宋"/>
                <w:sz w:val="24"/>
                <w:szCs w:val="24"/>
              </w:rPr>
              <w:t>1</w:t>
            </w:r>
          </w:p>
        </w:tc>
        <w:tc>
          <w:tcPr>
            <w:tcW w:w="330" w:type="pct"/>
            <w:vAlign w:val="center"/>
          </w:tcPr>
          <w:p w14:paraId="40022313">
            <w:pPr>
              <w:spacing w:line="300" w:lineRule="exact"/>
              <w:rPr>
                <w:rFonts w:ascii="仿宋" w:hAnsi="仿宋" w:eastAsia="仿宋" w:cs="Times New Roman"/>
                <w:sz w:val="24"/>
                <w:szCs w:val="24"/>
              </w:rPr>
            </w:pPr>
            <w:r>
              <w:rPr>
                <w:rFonts w:ascii="仿宋" w:hAnsi="仿宋" w:eastAsia="仿宋" w:cs="仿宋"/>
                <w:sz w:val="24"/>
                <w:szCs w:val="24"/>
              </w:rPr>
              <w:t>80.2</w:t>
            </w:r>
          </w:p>
        </w:tc>
        <w:tc>
          <w:tcPr>
            <w:tcW w:w="669" w:type="pct"/>
            <w:vAlign w:val="center"/>
          </w:tcPr>
          <w:p w14:paraId="5918857D">
            <w:pPr>
              <w:ind w:right="960"/>
              <w:rPr>
                <w:rFonts w:ascii="仿宋" w:hAnsi="仿宋" w:eastAsia="仿宋" w:cs="Times New Roman"/>
                <w:sz w:val="24"/>
                <w:szCs w:val="24"/>
              </w:rPr>
            </w:pPr>
            <w:r>
              <w:rPr>
                <w:rFonts w:ascii="仿宋" w:hAnsi="仿宋" w:eastAsia="仿宋" w:cs="仿宋"/>
                <w:sz w:val="24"/>
                <w:szCs w:val="24"/>
              </w:rPr>
              <w:t>80.2</w:t>
            </w:r>
          </w:p>
        </w:tc>
        <w:tc>
          <w:tcPr>
            <w:tcW w:w="500" w:type="pct"/>
            <w:vAlign w:val="center"/>
          </w:tcPr>
          <w:p w14:paraId="0115968B">
            <w:pPr>
              <w:ind w:right="480"/>
              <w:rPr>
                <w:rFonts w:ascii="仿宋" w:hAnsi="仿宋" w:eastAsia="仿宋" w:cs="Times New Roman"/>
                <w:sz w:val="24"/>
                <w:szCs w:val="24"/>
              </w:rPr>
            </w:pPr>
            <w:r>
              <w:rPr>
                <w:rFonts w:ascii="仿宋" w:hAnsi="仿宋" w:eastAsia="仿宋" w:cs="仿宋"/>
                <w:sz w:val="24"/>
                <w:szCs w:val="24"/>
              </w:rPr>
              <w:t>80.2</w:t>
            </w:r>
          </w:p>
        </w:tc>
        <w:tc>
          <w:tcPr>
            <w:tcW w:w="584" w:type="pct"/>
            <w:vAlign w:val="center"/>
          </w:tcPr>
          <w:p w14:paraId="6BE7D928">
            <w:pPr>
              <w:ind w:right="720"/>
              <w:rPr>
                <w:rFonts w:ascii="仿宋" w:hAnsi="仿宋" w:eastAsia="仿宋" w:cs="Times New Roman"/>
                <w:sz w:val="24"/>
                <w:szCs w:val="24"/>
              </w:rPr>
            </w:pPr>
            <w:r>
              <w:rPr>
                <w:rFonts w:ascii="仿宋" w:hAnsi="仿宋" w:eastAsia="仿宋" w:cs="仿宋"/>
                <w:sz w:val="24"/>
                <w:szCs w:val="24"/>
              </w:rPr>
              <w:t>80.2</w:t>
            </w:r>
          </w:p>
        </w:tc>
        <w:tc>
          <w:tcPr>
            <w:tcW w:w="350" w:type="pct"/>
            <w:vAlign w:val="center"/>
          </w:tcPr>
          <w:p w14:paraId="45EBEC30">
            <w:pPr>
              <w:spacing w:line="300" w:lineRule="exact"/>
              <w:ind w:right="840"/>
              <w:rPr>
                <w:rFonts w:eastAsia="方正书宋_GBK" w:cs="Times New Roman"/>
              </w:rPr>
            </w:pPr>
          </w:p>
        </w:tc>
        <w:tc>
          <w:tcPr>
            <w:tcW w:w="240" w:type="pct"/>
            <w:vAlign w:val="center"/>
          </w:tcPr>
          <w:p w14:paraId="296EF42F">
            <w:pPr>
              <w:spacing w:line="300" w:lineRule="exact"/>
              <w:rPr>
                <w:rFonts w:eastAsia="方正书宋_GBK" w:cs="Times New Roman"/>
              </w:rPr>
            </w:pPr>
          </w:p>
        </w:tc>
        <w:tc>
          <w:tcPr>
            <w:tcW w:w="204" w:type="pct"/>
            <w:vAlign w:val="center"/>
          </w:tcPr>
          <w:p w14:paraId="4B3B9C6E">
            <w:pPr>
              <w:spacing w:line="300" w:lineRule="exact"/>
              <w:rPr>
                <w:rFonts w:eastAsia="方正书宋_GBK" w:cs="Times New Roman"/>
              </w:rPr>
            </w:pPr>
          </w:p>
        </w:tc>
        <w:tc>
          <w:tcPr>
            <w:tcW w:w="181" w:type="pct"/>
            <w:vAlign w:val="center"/>
          </w:tcPr>
          <w:p w14:paraId="65EE4A5E">
            <w:pPr>
              <w:spacing w:line="300" w:lineRule="exact"/>
              <w:rPr>
                <w:rFonts w:eastAsia="方正书宋_GBK" w:cs="Times New Roman"/>
              </w:rPr>
            </w:pPr>
          </w:p>
        </w:tc>
      </w:tr>
      <w:tr w14:paraId="54F0C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8" w:hRule="atLeast"/>
          <w:jc w:val="center"/>
        </w:trPr>
        <w:tc>
          <w:tcPr>
            <w:tcW w:w="594" w:type="pct"/>
            <w:vAlign w:val="center"/>
          </w:tcPr>
          <w:p w14:paraId="6AA44B5F">
            <w:pPr>
              <w:spacing w:line="300" w:lineRule="exact"/>
              <w:jc w:val="center"/>
              <w:rPr>
                <w:rFonts w:ascii="仿宋" w:hAnsi="仿宋" w:eastAsia="仿宋" w:cs="Times New Roman"/>
                <w:sz w:val="24"/>
                <w:szCs w:val="24"/>
              </w:rPr>
            </w:pPr>
            <w:r>
              <w:rPr>
                <w:rFonts w:hint="eastAsia" w:ascii="仿宋" w:hAnsi="仿宋" w:eastAsia="仿宋" w:cs="仿宋"/>
                <w:sz w:val="24"/>
                <w:szCs w:val="24"/>
              </w:rPr>
              <w:t>农村环卫保洁</w:t>
            </w:r>
          </w:p>
        </w:tc>
        <w:tc>
          <w:tcPr>
            <w:tcW w:w="476" w:type="pct"/>
            <w:vAlign w:val="center"/>
          </w:tcPr>
          <w:p w14:paraId="47F079BB">
            <w:pPr>
              <w:rPr>
                <w:rFonts w:ascii="仿宋" w:hAnsi="仿宋" w:eastAsia="仿宋" w:cs="Times New Roman"/>
                <w:sz w:val="24"/>
                <w:szCs w:val="24"/>
              </w:rPr>
            </w:pPr>
            <w:r>
              <w:rPr>
                <w:rFonts w:ascii="仿宋" w:hAnsi="仿宋" w:eastAsia="仿宋" w:cs="仿宋"/>
                <w:sz w:val="24"/>
                <w:szCs w:val="24"/>
              </w:rPr>
              <w:t>80.2</w:t>
            </w:r>
          </w:p>
        </w:tc>
        <w:tc>
          <w:tcPr>
            <w:tcW w:w="225" w:type="pct"/>
            <w:vAlign w:val="center"/>
          </w:tcPr>
          <w:p w14:paraId="15BD689F">
            <w:pPr>
              <w:spacing w:line="300" w:lineRule="exact"/>
              <w:rPr>
                <w:rFonts w:ascii="仿宋" w:hAnsi="仿宋" w:eastAsia="仿宋" w:cs="Times New Roman"/>
                <w:sz w:val="24"/>
                <w:szCs w:val="24"/>
              </w:rPr>
            </w:pPr>
            <w:r>
              <w:rPr>
                <w:rFonts w:hint="eastAsia" w:ascii="仿宋" w:hAnsi="仿宋" w:eastAsia="仿宋" w:cs="仿宋"/>
                <w:sz w:val="24"/>
                <w:szCs w:val="24"/>
              </w:rPr>
              <w:t>服务</w:t>
            </w:r>
          </w:p>
        </w:tc>
        <w:tc>
          <w:tcPr>
            <w:tcW w:w="240" w:type="pct"/>
            <w:vAlign w:val="center"/>
          </w:tcPr>
          <w:p w14:paraId="44EF975D">
            <w:pPr>
              <w:spacing w:line="300" w:lineRule="exact"/>
              <w:rPr>
                <w:rFonts w:ascii="仿宋" w:hAnsi="仿宋" w:eastAsia="仿宋" w:cs="Times New Roman"/>
                <w:sz w:val="24"/>
                <w:szCs w:val="24"/>
              </w:rPr>
            </w:pPr>
          </w:p>
        </w:tc>
        <w:tc>
          <w:tcPr>
            <w:tcW w:w="203" w:type="pct"/>
            <w:vAlign w:val="center"/>
          </w:tcPr>
          <w:p w14:paraId="51E7F742">
            <w:pPr>
              <w:spacing w:line="300" w:lineRule="exact"/>
              <w:rPr>
                <w:rFonts w:ascii="仿宋" w:hAnsi="仿宋" w:eastAsia="仿宋" w:cs="Times New Roman"/>
                <w:sz w:val="24"/>
                <w:szCs w:val="24"/>
              </w:rPr>
            </w:pPr>
          </w:p>
        </w:tc>
        <w:tc>
          <w:tcPr>
            <w:tcW w:w="203" w:type="pct"/>
            <w:vAlign w:val="center"/>
          </w:tcPr>
          <w:p w14:paraId="1AD31813">
            <w:pPr>
              <w:spacing w:line="300" w:lineRule="exact"/>
              <w:rPr>
                <w:rFonts w:ascii="仿宋" w:hAnsi="仿宋" w:eastAsia="仿宋" w:cs="仿宋"/>
                <w:sz w:val="24"/>
                <w:szCs w:val="24"/>
              </w:rPr>
            </w:pPr>
            <w:r>
              <w:rPr>
                <w:rFonts w:ascii="仿宋" w:hAnsi="仿宋" w:eastAsia="仿宋" w:cs="仿宋"/>
                <w:sz w:val="24"/>
                <w:szCs w:val="24"/>
              </w:rPr>
              <w:t>1</w:t>
            </w:r>
          </w:p>
        </w:tc>
        <w:tc>
          <w:tcPr>
            <w:tcW w:w="330" w:type="pct"/>
            <w:vAlign w:val="center"/>
          </w:tcPr>
          <w:p w14:paraId="481C23E9">
            <w:pPr>
              <w:spacing w:line="300" w:lineRule="exact"/>
              <w:rPr>
                <w:rFonts w:ascii="仿宋" w:hAnsi="仿宋" w:eastAsia="仿宋" w:cs="Times New Roman"/>
                <w:sz w:val="24"/>
                <w:szCs w:val="24"/>
              </w:rPr>
            </w:pPr>
            <w:r>
              <w:rPr>
                <w:rFonts w:ascii="仿宋" w:hAnsi="仿宋" w:eastAsia="仿宋" w:cs="仿宋"/>
                <w:sz w:val="24"/>
                <w:szCs w:val="24"/>
              </w:rPr>
              <w:t>80.2</w:t>
            </w:r>
          </w:p>
        </w:tc>
        <w:tc>
          <w:tcPr>
            <w:tcW w:w="669" w:type="pct"/>
            <w:vAlign w:val="center"/>
          </w:tcPr>
          <w:p w14:paraId="09CCA34D">
            <w:pPr>
              <w:ind w:right="960"/>
              <w:rPr>
                <w:rFonts w:ascii="仿宋" w:hAnsi="仿宋" w:eastAsia="仿宋" w:cs="Times New Roman"/>
                <w:sz w:val="24"/>
                <w:szCs w:val="24"/>
              </w:rPr>
            </w:pPr>
            <w:r>
              <w:rPr>
                <w:rFonts w:ascii="仿宋" w:hAnsi="仿宋" w:eastAsia="仿宋" w:cs="仿宋"/>
                <w:sz w:val="24"/>
                <w:szCs w:val="24"/>
              </w:rPr>
              <w:t>80.2</w:t>
            </w:r>
          </w:p>
        </w:tc>
        <w:tc>
          <w:tcPr>
            <w:tcW w:w="500" w:type="pct"/>
            <w:vAlign w:val="center"/>
          </w:tcPr>
          <w:p w14:paraId="0E22A2B3">
            <w:pPr>
              <w:ind w:right="480"/>
              <w:rPr>
                <w:rFonts w:ascii="仿宋" w:hAnsi="仿宋" w:eastAsia="仿宋" w:cs="Times New Roman"/>
                <w:sz w:val="24"/>
                <w:szCs w:val="24"/>
              </w:rPr>
            </w:pPr>
            <w:r>
              <w:rPr>
                <w:rFonts w:ascii="仿宋" w:hAnsi="仿宋" w:eastAsia="仿宋" w:cs="仿宋"/>
                <w:sz w:val="24"/>
                <w:szCs w:val="24"/>
              </w:rPr>
              <w:t>80.2</w:t>
            </w:r>
          </w:p>
        </w:tc>
        <w:tc>
          <w:tcPr>
            <w:tcW w:w="584" w:type="pct"/>
            <w:vAlign w:val="center"/>
          </w:tcPr>
          <w:p w14:paraId="1CF69A27">
            <w:pPr>
              <w:ind w:right="720"/>
              <w:rPr>
                <w:rFonts w:ascii="仿宋" w:hAnsi="仿宋" w:eastAsia="仿宋" w:cs="Times New Roman"/>
                <w:sz w:val="24"/>
                <w:szCs w:val="24"/>
              </w:rPr>
            </w:pPr>
            <w:r>
              <w:rPr>
                <w:rFonts w:ascii="仿宋" w:hAnsi="仿宋" w:eastAsia="仿宋" w:cs="仿宋"/>
                <w:sz w:val="24"/>
                <w:szCs w:val="24"/>
              </w:rPr>
              <w:t>80.2</w:t>
            </w:r>
          </w:p>
        </w:tc>
        <w:tc>
          <w:tcPr>
            <w:tcW w:w="350" w:type="pct"/>
            <w:vAlign w:val="center"/>
          </w:tcPr>
          <w:p w14:paraId="6D137872">
            <w:pPr>
              <w:spacing w:line="300" w:lineRule="exact"/>
              <w:rPr>
                <w:rFonts w:ascii="仿宋" w:hAnsi="仿宋" w:eastAsia="仿宋" w:cs="Times New Roman"/>
                <w:sz w:val="24"/>
                <w:szCs w:val="24"/>
              </w:rPr>
            </w:pPr>
          </w:p>
        </w:tc>
        <w:tc>
          <w:tcPr>
            <w:tcW w:w="240" w:type="pct"/>
            <w:vAlign w:val="center"/>
          </w:tcPr>
          <w:p w14:paraId="25F28DFB">
            <w:pPr>
              <w:spacing w:line="300" w:lineRule="exact"/>
              <w:rPr>
                <w:rFonts w:ascii="仿宋" w:hAnsi="仿宋" w:eastAsia="仿宋" w:cs="Times New Roman"/>
                <w:sz w:val="24"/>
                <w:szCs w:val="24"/>
              </w:rPr>
            </w:pPr>
          </w:p>
        </w:tc>
        <w:tc>
          <w:tcPr>
            <w:tcW w:w="204" w:type="pct"/>
            <w:vAlign w:val="center"/>
          </w:tcPr>
          <w:p w14:paraId="6A9D26D4">
            <w:pPr>
              <w:spacing w:line="300" w:lineRule="exact"/>
              <w:rPr>
                <w:rFonts w:ascii="仿宋" w:hAnsi="仿宋" w:eastAsia="仿宋" w:cs="Times New Roman"/>
                <w:sz w:val="24"/>
                <w:szCs w:val="24"/>
              </w:rPr>
            </w:pPr>
          </w:p>
        </w:tc>
        <w:tc>
          <w:tcPr>
            <w:tcW w:w="181" w:type="pct"/>
            <w:vAlign w:val="center"/>
          </w:tcPr>
          <w:p w14:paraId="608C87FA">
            <w:pPr>
              <w:spacing w:line="300" w:lineRule="exact"/>
              <w:rPr>
                <w:rFonts w:ascii="仿宋" w:hAnsi="仿宋" w:eastAsia="仿宋" w:cs="Times New Roman"/>
                <w:sz w:val="24"/>
                <w:szCs w:val="24"/>
              </w:rPr>
            </w:pPr>
          </w:p>
        </w:tc>
      </w:tr>
      <w:tr w14:paraId="0A389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38" w:hRule="atLeast"/>
          <w:jc w:val="center"/>
        </w:trPr>
        <w:tc>
          <w:tcPr>
            <w:tcW w:w="594" w:type="pct"/>
            <w:vAlign w:val="center"/>
          </w:tcPr>
          <w:p w14:paraId="05AB4671">
            <w:pPr>
              <w:spacing w:line="300" w:lineRule="exact"/>
              <w:rPr>
                <w:rFonts w:ascii="宋体" w:cs="Times New Roman"/>
                <w:sz w:val="18"/>
                <w:szCs w:val="18"/>
              </w:rPr>
            </w:pPr>
          </w:p>
        </w:tc>
        <w:tc>
          <w:tcPr>
            <w:tcW w:w="476" w:type="pct"/>
            <w:vAlign w:val="center"/>
          </w:tcPr>
          <w:p w14:paraId="0354C699">
            <w:pPr>
              <w:ind w:right="960"/>
              <w:rPr>
                <w:rFonts w:ascii="仿宋" w:hAnsi="仿宋" w:eastAsia="仿宋" w:cs="Times New Roman"/>
                <w:sz w:val="24"/>
                <w:szCs w:val="24"/>
              </w:rPr>
            </w:pPr>
          </w:p>
        </w:tc>
        <w:tc>
          <w:tcPr>
            <w:tcW w:w="225" w:type="pct"/>
            <w:vAlign w:val="center"/>
          </w:tcPr>
          <w:p w14:paraId="3CFD38FB">
            <w:pPr>
              <w:spacing w:line="300" w:lineRule="exact"/>
              <w:rPr>
                <w:rFonts w:ascii="仿宋" w:hAnsi="仿宋" w:eastAsia="仿宋" w:cs="Times New Roman"/>
                <w:sz w:val="24"/>
                <w:szCs w:val="24"/>
              </w:rPr>
            </w:pPr>
          </w:p>
        </w:tc>
        <w:tc>
          <w:tcPr>
            <w:tcW w:w="240" w:type="pct"/>
            <w:vAlign w:val="center"/>
          </w:tcPr>
          <w:p w14:paraId="0625B4B2">
            <w:pPr>
              <w:spacing w:line="300" w:lineRule="exact"/>
              <w:rPr>
                <w:rFonts w:ascii="仿宋" w:hAnsi="仿宋" w:eastAsia="仿宋" w:cs="Times New Roman"/>
                <w:sz w:val="24"/>
                <w:szCs w:val="24"/>
              </w:rPr>
            </w:pPr>
          </w:p>
        </w:tc>
        <w:tc>
          <w:tcPr>
            <w:tcW w:w="203" w:type="pct"/>
            <w:vAlign w:val="center"/>
          </w:tcPr>
          <w:p w14:paraId="7715EBF6">
            <w:pPr>
              <w:spacing w:line="300" w:lineRule="exact"/>
              <w:rPr>
                <w:rFonts w:ascii="仿宋" w:hAnsi="仿宋" w:eastAsia="仿宋" w:cs="Times New Roman"/>
                <w:sz w:val="24"/>
                <w:szCs w:val="24"/>
              </w:rPr>
            </w:pPr>
          </w:p>
        </w:tc>
        <w:tc>
          <w:tcPr>
            <w:tcW w:w="203" w:type="pct"/>
            <w:vAlign w:val="center"/>
          </w:tcPr>
          <w:p w14:paraId="0248F504">
            <w:pPr>
              <w:spacing w:line="300" w:lineRule="exact"/>
              <w:ind w:right="120"/>
              <w:rPr>
                <w:rFonts w:ascii="仿宋" w:hAnsi="仿宋" w:eastAsia="仿宋" w:cs="Times New Roman"/>
                <w:sz w:val="24"/>
                <w:szCs w:val="24"/>
              </w:rPr>
            </w:pPr>
          </w:p>
        </w:tc>
        <w:tc>
          <w:tcPr>
            <w:tcW w:w="330" w:type="pct"/>
            <w:vAlign w:val="center"/>
          </w:tcPr>
          <w:p w14:paraId="22BDBFC2">
            <w:pPr>
              <w:spacing w:line="300" w:lineRule="exact"/>
              <w:ind w:right="120"/>
              <w:rPr>
                <w:rFonts w:ascii="仿宋" w:hAnsi="仿宋" w:eastAsia="仿宋" w:cs="Times New Roman"/>
                <w:sz w:val="24"/>
                <w:szCs w:val="24"/>
              </w:rPr>
            </w:pPr>
          </w:p>
        </w:tc>
        <w:tc>
          <w:tcPr>
            <w:tcW w:w="669" w:type="pct"/>
            <w:vAlign w:val="center"/>
          </w:tcPr>
          <w:p w14:paraId="3C41637F">
            <w:pPr>
              <w:ind w:right="720"/>
              <w:rPr>
                <w:rFonts w:ascii="仿宋" w:hAnsi="仿宋" w:eastAsia="仿宋" w:cs="Times New Roman"/>
                <w:sz w:val="24"/>
                <w:szCs w:val="24"/>
              </w:rPr>
            </w:pPr>
          </w:p>
        </w:tc>
        <w:tc>
          <w:tcPr>
            <w:tcW w:w="500" w:type="pct"/>
            <w:vAlign w:val="center"/>
          </w:tcPr>
          <w:p w14:paraId="549A6335">
            <w:pPr>
              <w:ind w:right="960"/>
              <w:rPr>
                <w:rFonts w:ascii="仿宋" w:hAnsi="仿宋" w:eastAsia="仿宋" w:cs="Times New Roman"/>
                <w:sz w:val="24"/>
                <w:szCs w:val="24"/>
              </w:rPr>
            </w:pPr>
          </w:p>
        </w:tc>
        <w:tc>
          <w:tcPr>
            <w:tcW w:w="584" w:type="pct"/>
            <w:vAlign w:val="center"/>
          </w:tcPr>
          <w:p w14:paraId="6DC66D8C">
            <w:pPr>
              <w:ind w:right="480"/>
              <w:rPr>
                <w:rFonts w:ascii="仿宋" w:hAnsi="仿宋" w:eastAsia="仿宋" w:cs="Times New Roman"/>
                <w:sz w:val="24"/>
                <w:szCs w:val="24"/>
              </w:rPr>
            </w:pPr>
          </w:p>
        </w:tc>
        <w:tc>
          <w:tcPr>
            <w:tcW w:w="350" w:type="pct"/>
            <w:vAlign w:val="center"/>
          </w:tcPr>
          <w:p w14:paraId="2DF9D852">
            <w:pPr>
              <w:spacing w:line="300" w:lineRule="exact"/>
              <w:ind w:right="960"/>
              <w:rPr>
                <w:rFonts w:ascii="仿宋" w:hAnsi="仿宋" w:eastAsia="仿宋" w:cs="Times New Roman"/>
                <w:sz w:val="24"/>
                <w:szCs w:val="24"/>
              </w:rPr>
            </w:pPr>
          </w:p>
        </w:tc>
        <w:tc>
          <w:tcPr>
            <w:tcW w:w="240" w:type="pct"/>
            <w:vAlign w:val="center"/>
          </w:tcPr>
          <w:p w14:paraId="72F58B17">
            <w:pPr>
              <w:spacing w:line="300" w:lineRule="exact"/>
              <w:rPr>
                <w:rFonts w:ascii="仿宋" w:hAnsi="仿宋" w:eastAsia="仿宋" w:cs="Times New Roman"/>
                <w:sz w:val="24"/>
                <w:szCs w:val="24"/>
              </w:rPr>
            </w:pPr>
          </w:p>
        </w:tc>
        <w:tc>
          <w:tcPr>
            <w:tcW w:w="204" w:type="pct"/>
            <w:vAlign w:val="center"/>
          </w:tcPr>
          <w:p w14:paraId="4C658B7D">
            <w:pPr>
              <w:spacing w:line="300" w:lineRule="exact"/>
              <w:rPr>
                <w:rFonts w:ascii="仿宋" w:hAnsi="仿宋" w:eastAsia="仿宋" w:cs="Times New Roman"/>
                <w:sz w:val="24"/>
                <w:szCs w:val="24"/>
              </w:rPr>
            </w:pPr>
          </w:p>
        </w:tc>
        <w:tc>
          <w:tcPr>
            <w:tcW w:w="181" w:type="pct"/>
            <w:vAlign w:val="center"/>
          </w:tcPr>
          <w:p w14:paraId="0EBCD711">
            <w:pPr>
              <w:spacing w:line="300" w:lineRule="exact"/>
              <w:rPr>
                <w:rFonts w:ascii="仿宋" w:hAnsi="仿宋" w:eastAsia="仿宋" w:cs="Times New Roman"/>
                <w:sz w:val="24"/>
                <w:szCs w:val="24"/>
              </w:rPr>
            </w:pPr>
          </w:p>
        </w:tc>
      </w:tr>
      <w:tr w14:paraId="5898F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38" w:hRule="atLeast"/>
          <w:jc w:val="center"/>
        </w:trPr>
        <w:tc>
          <w:tcPr>
            <w:tcW w:w="594" w:type="pct"/>
            <w:vAlign w:val="center"/>
          </w:tcPr>
          <w:p w14:paraId="21F51096">
            <w:pPr>
              <w:spacing w:line="300" w:lineRule="exact"/>
              <w:rPr>
                <w:rFonts w:ascii="宋体" w:cs="Times New Roman"/>
                <w:sz w:val="18"/>
                <w:szCs w:val="18"/>
              </w:rPr>
            </w:pPr>
          </w:p>
        </w:tc>
        <w:tc>
          <w:tcPr>
            <w:tcW w:w="476" w:type="pct"/>
            <w:vAlign w:val="center"/>
          </w:tcPr>
          <w:p w14:paraId="1AC818B7">
            <w:pPr>
              <w:ind w:right="960"/>
              <w:rPr>
                <w:rFonts w:ascii="仿宋" w:hAnsi="仿宋" w:eastAsia="仿宋" w:cs="Times New Roman"/>
                <w:sz w:val="24"/>
                <w:szCs w:val="24"/>
              </w:rPr>
            </w:pPr>
          </w:p>
        </w:tc>
        <w:tc>
          <w:tcPr>
            <w:tcW w:w="225" w:type="pct"/>
            <w:vAlign w:val="center"/>
          </w:tcPr>
          <w:p w14:paraId="0BD2E00E">
            <w:pPr>
              <w:spacing w:line="300" w:lineRule="exact"/>
              <w:rPr>
                <w:rFonts w:ascii="仿宋" w:hAnsi="仿宋" w:eastAsia="仿宋" w:cs="Times New Roman"/>
                <w:sz w:val="24"/>
                <w:szCs w:val="24"/>
              </w:rPr>
            </w:pPr>
          </w:p>
        </w:tc>
        <w:tc>
          <w:tcPr>
            <w:tcW w:w="240" w:type="pct"/>
            <w:vAlign w:val="center"/>
          </w:tcPr>
          <w:p w14:paraId="4B8777EB">
            <w:pPr>
              <w:spacing w:line="300" w:lineRule="exact"/>
              <w:rPr>
                <w:rFonts w:ascii="仿宋" w:hAnsi="仿宋" w:eastAsia="仿宋" w:cs="Times New Roman"/>
                <w:sz w:val="24"/>
                <w:szCs w:val="24"/>
              </w:rPr>
            </w:pPr>
          </w:p>
        </w:tc>
        <w:tc>
          <w:tcPr>
            <w:tcW w:w="203" w:type="pct"/>
            <w:vAlign w:val="center"/>
          </w:tcPr>
          <w:p w14:paraId="1ED0E45F">
            <w:pPr>
              <w:spacing w:line="300" w:lineRule="exact"/>
              <w:rPr>
                <w:rFonts w:ascii="仿宋" w:hAnsi="仿宋" w:eastAsia="仿宋" w:cs="Times New Roman"/>
                <w:sz w:val="24"/>
                <w:szCs w:val="24"/>
              </w:rPr>
            </w:pPr>
          </w:p>
        </w:tc>
        <w:tc>
          <w:tcPr>
            <w:tcW w:w="203" w:type="pct"/>
            <w:vAlign w:val="center"/>
          </w:tcPr>
          <w:p w14:paraId="43212D6C">
            <w:pPr>
              <w:spacing w:line="300" w:lineRule="exact"/>
              <w:ind w:right="120"/>
              <w:rPr>
                <w:rFonts w:ascii="仿宋" w:hAnsi="仿宋" w:eastAsia="仿宋" w:cs="Times New Roman"/>
                <w:sz w:val="24"/>
                <w:szCs w:val="24"/>
              </w:rPr>
            </w:pPr>
          </w:p>
        </w:tc>
        <w:tc>
          <w:tcPr>
            <w:tcW w:w="330" w:type="pct"/>
            <w:vAlign w:val="center"/>
          </w:tcPr>
          <w:p w14:paraId="2A539B69">
            <w:pPr>
              <w:spacing w:line="300" w:lineRule="exact"/>
              <w:ind w:right="120"/>
              <w:rPr>
                <w:rFonts w:ascii="仿宋" w:hAnsi="仿宋" w:eastAsia="仿宋" w:cs="Times New Roman"/>
                <w:sz w:val="24"/>
                <w:szCs w:val="24"/>
              </w:rPr>
            </w:pPr>
          </w:p>
        </w:tc>
        <w:tc>
          <w:tcPr>
            <w:tcW w:w="669" w:type="pct"/>
            <w:vAlign w:val="center"/>
          </w:tcPr>
          <w:p w14:paraId="73770E99">
            <w:pPr>
              <w:ind w:right="720"/>
              <w:rPr>
                <w:rFonts w:ascii="仿宋" w:hAnsi="仿宋" w:eastAsia="仿宋" w:cs="Times New Roman"/>
                <w:sz w:val="24"/>
                <w:szCs w:val="24"/>
              </w:rPr>
            </w:pPr>
          </w:p>
        </w:tc>
        <w:tc>
          <w:tcPr>
            <w:tcW w:w="500" w:type="pct"/>
            <w:vAlign w:val="center"/>
          </w:tcPr>
          <w:p w14:paraId="797A845A">
            <w:pPr>
              <w:ind w:right="960"/>
              <w:rPr>
                <w:rFonts w:ascii="仿宋" w:hAnsi="仿宋" w:eastAsia="仿宋" w:cs="Times New Roman"/>
                <w:sz w:val="24"/>
                <w:szCs w:val="24"/>
              </w:rPr>
            </w:pPr>
          </w:p>
        </w:tc>
        <w:tc>
          <w:tcPr>
            <w:tcW w:w="584" w:type="pct"/>
            <w:vAlign w:val="center"/>
          </w:tcPr>
          <w:p w14:paraId="2ACCCFF1">
            <w:pPr>
              <w:ind w:right="480"/>
              <w:rPr>
                <w:rFonts w:ascii="仿宋" w:hAnsi="仿宋" w:eastAsia="仿宋" w:cs="Times New Roman"/>
                <w:sz w:val="24"/>
                <w:szCs w:val="24"/>
              </w:rPr>
            </w:pPr>
          </w:p>
        </w:tc>
        <w:tc>
          <w:tcPr>
            <w:tcW w:w="350" w:type="pct"/>
            <w:vAlign w:val="center"/>
          </w:tcPr>
          <w:p w14:paraId="73376393">
            <w:pPr>
              <w:spacing w:line="300" w:lineRule="exact"/>
              <w:ind w:right="960"/>
              <w:rPr>
                <w:rFonts w:ascii="仿宋" w:hAnsi="仿宋" w:eastAsia="仿宋" w:cs="Times New Roman"/>
                <w:sz w:val="24"/>
                <w:szCs w:val="24"/>
              </w:rPr>
            </w:pPr>
          </w:p>
        </w:tc>
        <w:tc>
          <w:tcPr>
            <w:tcW w:w="240" w:type="pct"/>
            <w:vAlign w:val="center"/>
          </w:tcPr>
          <w:p w14:paraId="59D8C7A3">
            <w:pPr>
              <w:spacing w:line="300" w:lineRule="exact"/>
              <w:rPr>
                <w:rFonts w:ascii="仿宋" w:hAnsi="仿宋" w:eastAsia="仿宋" w:cs="Times New Roman"/>
                <w:sz w:val="24"/>
                <w:szCs w:val="24"/>
              </w:rPr>
            </w:pPr>
          </w:p>
        </w:tc>
        <w:tc>
          <w:tcPr>
            <w:tcW w:w="204" w:type="pct"/>
            <w:vAlign w:val="center"/>
          </w:tcPr>
          <w:p w14:paraId="09F98FD3">
            <w:pPr>
              <w:spacing w:line="300" w:lineRule="exact"/>
              <w:rPr>
                <w:rFonts w:ascii="仿宋" w:hAnsi="仿宋" w:eastAsia="仿宋" w:cs="Times New Roman"/>
                <w:sz w:val="24"/>
                <w:szCs w:val="24"/>
              </w:rPr>
            </w:pPr>
          </w:p>
        </w:tc>
        <w:tc>
          <w:tcPr>
            <w:tcW w:w="181" w:type="pct"/>
            <w:vAlign w:val="center"/>
          </w:tcPr>
          <w:p w14:paraId="0976D58D">
            <w:pPr>
              <w:spacing w:line="300" w:lineRule="exact"/>
              <w:rPr>
                <w:rFonts w:ascii="仿宋" w:hAnsi="仿宋" w:eastAsia="仿宋" w:cs="Times New Roman"/>
                <w:sz w:val="24"/>
                <w:szCs w:val="24"/>
              </w:rPr>
            </w:pPr>
          </w:p>
        </w:tc>
      </w:tr>
    </w:tbl>
    <w:p w14:paraId="516D9BB3">
      <w:pPr>
        <w:autoSpaceDE w:val="0"/>
        <w:autoSpaceDN w:val="0"/>
        <w:adjustRightInd w:val="0"/>
        <w:ind w:left="198" w:firstLine="640" w:firstLineChars="200"/>
        <w:jc w:val="left"/>
        <w:rPr>
          <w:rFonts w:ascii="黑体" w:hAnsi="黑体" w:eastAsia="黑体" w:cs="Times New Roman"/>
          <w:sz w:val="32"/>
          <w:szCs w:val="32"/>
        </w:rPr>
      </w:pPr>
    </w:p>
    <w:p w14:paraId="2E93C2CC">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黑体"/>
          <w:sz w:val="32"/>
          <w:szCs w:val="32"/>
        </w:rPr>
        <w:t>七、国有资产信息</w:t>
      </w:r>
    </w:p>
    <w:p w14:paraId="4B9D15F0">
      <w:pPr>
        <w:ind w:firstLine="640"/>
        <w:rPr>
          <w:rFonts w:ascii="仿宋_GB2312" w:hAnsi="黑体" w:eastAsia="仿宋_GB2312" w:cs="Times New Roman"/>
          <w:sz w:val="32"/>
          <w:szCs w:val="32"/>
        </w:rPr>
      </w:pPr>
      <w:r>
        <w:rPr>
          <w:rFonts w:hint="eastAsia" w:ascii="仿宋_GB2312" w:hAnsi="黑体" w:eastAsia="仿宋_GB2312" w:cs="仿宋_GB2312"/>
          <w:sz w:val="32"/>
          <w:szCs w:val="32"/>
        </w:rPr>
        <w:t>上年末固定资产金额为</w:t>
      </w:r>
      <w:r>
        <w:rPr>
          <w:rFonts w:ascii="仿宋_GB2312" w:hAnsi="黑体" w:eastAsia="仿宋_GB2312" w:cs="仿宋_GB2312"/>
          <w:sz w:val="32"/>
          <w:szCs w:val="32"/>
        </w:rPr>
        <w:t>267.05</w:t>
      </w:r>
      <w:r>
        <w:rPr>
          <w:rFonts w:hint="eastAsia" w:ascii="仿宋_GB2312" w:hAnsi="黑体" w:eastAsia="仿宋_GB2312" w:cs="仿宋_GB2312"/>
          <w:sz w:val="32"/>
          <w:szCs w:val="32"/>
        </w:rPr>
        <w:t>万元（详见下表）万元。</w:t>
      </w:r>
    </w:p>
    <w:tbl>
      <w:tblPr>
        <w:tblStyle w:val="7"/>
        <w:tblW w:w="13482" w:type="dxa"/>
        <w:tblInd w:w="-106" w:type="dxa"/>
        <w:tblLayout w:type="fixed"/>
        <w:tblCellMar>
          <w:top w:w="0" w:type="dxa"/>
          <w:left w:w="108" w:type="dxa"/>
          <w:bottom w:w="0" w:type="dxa"/>
          <w:right w:w="108" w:type="dxa"/>
        </w:tblCellMar>
      </w:tblPr>
      <w:tblGrid>
        <w:gridCol w:w="5224"/>
        <w:gridCol w:w="3155"/>
        <w:gridCol w:w="5103"/>
      </w:tblGrid>
      <w:tr w14:paraId="770BAD07">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vAlign w:val="center"/>
          </w:tcPr>
          <w:p w14:paraId="15F5C8C7">
            <w:pPr>
              <w:widowControl/>
              <w:rPr>
                <w:rFonts w:ascii="宋体" w:cs="Times New Roman"/>
                <w:b/>
                <w:bCs/>
                <w:kern w:val="0"/>
                <w:sz w:val="32"/>
                <w:szCs w:val="32"/>
              </w:rPr>
            </w:pPr>
          </w:p>
          <w:p w14:paraId="5EDA3236">
            <w:pPr>
              <w:widowControl/>
              <w:jc w:val="center"/>
              <w:rPr>
                <w:rFonts w:ascii="宋体" w:cs="Times New Roman"/>
                <w:b/>
                <w:bCs/>
                <w:kern w:val="0"/>
                <w:sz w:val="32"/>
                <w:szCs w:val="32"/>
              </w:rPr>
            </w:pPr>
            <w:r>
              <w:rPr>
                <w:rFonts w:hint="eastAsia" w:ascii="宋体" w:hAnsi="宋体" w:cs="宋体"/>
                <w:b/>
                <w:bCs/>
                <w:kern w:val="0"/>
                <w:sz w:val="32"/>
                <w:szCs w:val="32"/>
              </w:rPr>
              <w:t>宁晋县纪昌庄镇固定资产占用情况表</w:t>
            </w:r>
          </w:p>
        </w:tc>
      </w:tr>
      <w:tr w14:paraId="036B7AE1">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vAlign w:val="center"/>
          </w:tcPr>
          <w:p w14:paraId="703CFA3B">
            <w:pPr>
              <w:widowControl/>
              <w:jc w:val="left"/>
              <w:rPr>
                <w:rFonts w:ascii="宋体" w:cs="Times New Roman"/>
                <w:kern w:val="0"/>
                <w:sz w:val="22"/>
                <w:szCs w:val="22"/>
              </w:rPr>
            </w:pPr>
            <w:r>
              <w:rPr>
                <w:rFonts w:hint="eastAsia" w:ascii="宋体" w:hAnsi="宋体" w:cs="宋体"/>
                <w:kern w:val="0"/>
                <w:sz w:val="22"/>
                <w:szCs w:val="22"/>
              </w:rPr>
              <w:t>编制部门：</w:t>
            </w:r>
          </w:p>
        </w:tc>
        <w:tc>
          <w:tcPr>
            <w:tcW w:w="5103" w:type="dxa"/>
            <w:tcBorders>
              <w:top w:val="nil"/>
              <w:left w:val="nil"/>
              <w:bottom w:val="nil"/>
              <w:right w:val="nil"/>
            </w:tcBorders>
            <w:vAlign w:val="center"/>
          </w:tcPr>
          <w:p w14:paraId="115556A0">
            <w:pPr>
              <w:widowControl/>
              <w:ind w:firstLine="1100" w:firstLineChars="500"/>
              <w:jc w:val="left"/>
              <w:rPr>
                <w:rFonts w:ascii="宋体" w:cs="Times New Roman"/>
                <w:kern w:val="0"/>
                <w:sz w:val="22"/>
                <w:szCs w:val="22"/>
              </w:rPr>
            </w:pPr>
            <w:r>
              <w:rPr>
                <w:rFonts w:hint="eastAsia" w:ascii="宋体" w:hAnsi="宋体" w:cs="宋体"/>
                <w:kern w:val="0"/>
                <w:sz w:val="22"/>
                <w:szCs w:val="22"/>
              </w:rPr>
              <w:t>截止时间：</w:t>
            </w:r>
            <w:r>
              <w:rPr>
                <w:rFonts w:ascii="宋体" w:hAnsi="宋体" w:cs="宋体"/>
                <w:kern w:val="0"/>
                <w:sz w:val="22"/>
                <w:szCs w:val="22"/>
              </w:rPr>
              <w:t>2021</w:t>
            </w:r>
            <w:r>
              <w:rPr>
                <w:rFonts w:hint="eastAsia" w:ascii="宋体" w:hAnsi="宋体" w:cs="宋体"/>
                <w:kern w:val="0"/>
                <w:sz w:val="22"/>
                <w:szCs w:val="22"/>
              </w:rPr>
              <w:t>年</w:t>
            </w:r>
            <w:r>
              <w:rPr>
                <w:rFonts w:ascii="宋体" w:hAnsi="宋体" w:cs="宋体"/>
                <w:kern w:val="0"/>
                <w:sz w:val="22"/>
                <w:szCs w:val="22"/>
              </w:rPr>
              <w:t>12</w:t>
            </w:r>
            <w:r>
              <w:rPr>
                <w:rFonts w:hint="eastAsia" w:ascii="宋体" w:hAnsi="宋体" w:cs="宋体"/>
                <w:kern w:val="0"/>
                <w:sz w:val="22"/>
                <w:szCs w:val="22"/>
              </w:rPr>
              <w:t>月</w:t>
            </w:r>
            <w:r>
              <w:rPr>
                <w:rFonts w:ascii="宋体" w:hAnsi="宋体" w:cs="宋体"/>
                <w:kern w:val="0"/>
                <w:sz w:val="22"/>
                <w:szCs w:val="22"/>
              </w:rPr>
              <w:t>31</w:t>
            </w:r>
            <w:r>
              <w:rPr>
                <w:rFonts w:hint="eastAsia" w:ascii="宋体" w:hAnsi="宋体" w:cs="宋体"/>
                <w:kern w:val="0"/>
                <w:sz w:val="22"/>
                <w:szCs w:val="22"/>
              </w:rPr>
              <w:t>日</w:t>
            </w:r>
            <w:r>
              <w:rPr>
                <w:rFonts w:ascii="宋体" w:hAnsi="宋体" w:cs="宋体"/>
                <w:kern w:val="0"/>
                <w:sz w:val="22"/>
                <w:szCs w:val="22"/>
              </w:rPr>
              <w:t xml:space="preserve">  </w:t>
            </w:r>
          </w:p>
        </w:tc>
      </w:tr>
      <w:tr w14:paraId="7077EA7F">
        <w:tblPrEx>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vAlign w:val="center"/>
          </w:tcPr>
          <w:p w14:paraId="5978CE9F">
            <w:pPr>
              <w:widowControl/>
              <w:jc w:val="center"/>
              <w:rPr>
                <w:rFonts w:ascii="宋体" w:cs="Times New Roman"/>
                <w:b/>
                <w:bCs/>
                <w:kern w:val="0"/>
                <w:sz w:val="22"/>
                <w:szCs w:val="22"/>
              </w:rPr>
            </w:pPr>
            <w:r>
              <w:rPr>
                <w:rFonts w:hint="eastAsia" w:ascii="宋体" w:hAnsi="宋体" w:cs="宋体"/>
                <w:b/>
                <w:bCs/>
                <w:kern w:val="0"/>
                <w:sz w:val="22"/>
                <w:szCs w:val="22"/>
              </w:rPr>
              <w:t>项</w:t>
            </w:r>
            <w:r>
              <w:rPr>
                <w:rFonts w:ascii="宋体" w:hAnsi="宋体" w:cs="宋体"/>
                <w:b/>
                <w:bCs/>
                <w:kern w:val="0"/>
                <w:sz w:val="22"/>
                <w:szCs w:val="22"/>
              </w:rPr>
              <w:t xml:space="preserve">   </w:t>
            </w:r>
            <w:r>
              <w:rPr>
                <w:rFonts w:hint="eastAsia" w:ascii="宋体" w:hAnsi="宋体" w:cs="宋体"/>
                <w:b/>
                <w:bCs/>
                <w:kern w:val="0"/>
                <w:sz w:val="22"/>
                <w:szCs w:val="22"/>
              </w:rPr>
              <w:t>目</w:t>
            </w:r>
          </w:p>
        </w:tc>
        <w:tc>
          <w:tcPr>
            <w:tcW w:w="3155" w:type="dxa"/>
            <w:tcBorders>
              <w:top w:val="single" w:color="auto" w:sz="4" w:space="0"/>
              <w:left w:val="nil"/>
              <w:bottom w:val="single" w:color="auto" w:sz="4" w:space="0"/>
              <w:right w:val="single" w:color="auto" w:sz="4" w:space="0"/>
            </w:tcBorders>
            <w:vAlign w:val="center"/>
          </w:tcPr>
          <w:p w14:paraId="05954AED">
            <w:pPr>
              <w:widowControl/>
              <w:jc w:val="center"/>
              <w:rPr>
                <w:rFonts w:ascii="宋体" w:cs="Times New Roman"/>
                <w:b/>
                <w:bCs/>
                <w:kern w:val="0"/>
                <w:sz w:val="22"/>
                <w:szCs w:val="22"/>
              </w:rPr>
            </w:pPr>
            <w:r>
              <w:rPr>
                <w:rFonts w:hint="eastAsia" w:ascii="宋体" w:hAnsi="宋体" w:cs="宋体"/>
                <w:b/>
                <w:bCs/>
                <w:kern w:val="0"/>
                <w:sz w:val="22"/>
                <w:szCs w:val="22"/>
              </w:rPr>
              <w:t>数量</w:t>
            </w:r>
          </w:p>
        </w:tc>
        <w:tc>
          <w:tcPr>
            <w:tcW w:w="5103" w:type="dxa"/>
            <w:tcBorders>
              <w:top w:val="single" w:color="auto" w:sz="4" w:space="0"/>
              <w:left w:val="nil"/>
              <w:bottom w:val="single" w:color="auto" w:sz="4" w:space="0"/>
              <w:right w:val="single" w:color="auto" w:sz="4" w:space="0"/>
            </w:tcBorders>
            <w:vAlign w:val="center"/>
          </w:tcPr>
          <w:p w14:paraId="630BFFFC">
            <w:pPr>
              <w:widowControl/>
              <w:jc w:val="center"/>
              <w:rPr>
                <w:rFonts w:ascii="宋体" w:cs="Times New Roman"/>
                <w:b/>
                <w:bCs/>
                <w:kern w:val="0"/>
                <w:sz w:val="22"/>
                <w:szCs w:val="22"/>
              </w:rPr>
            </w:pPr>
            <w:r>
              <w:rPr>
                <w:rFonts w:hint="eastAsia" w:ascii="宋体" w:hAnsi="宋体" w:cs="宋体"/>
                <w:b/>
                <w:bCs/>
                <w:kern w:val="0"/>
                <w:sz w:val="22"/>
                <w:szCs w:val="22"/>
              </w:rPr>
              <w:t>价值（金额单位：万元）</w:t>
            </w:r>
          </w:p>
        </w:tc>
      </w:tr>
      <w:tr w14:paraId="79CAD056">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24D6B8B3">
            <w:pPr>
              <w:widowControl/>
              <w:jc w:val="center"/>
              <w:rPr>
                <w:rFonts w:ascii="宋体" w:cs="Times New Roman"/>
                <w:kern w:val="0"/>
                <w:sz w:val="22"/>
                <w:szCs w:val="22"/>
              </w:rPr>
            </w:pPr>
            <w:r>
              <w:rPr>
                <w:rFonts w:hint="eastAsia" w:ascii="宋体" w:hAnsi="宋体" w:cs="宋体"/>
                <w:kern w:val="0"/>
                <w:sz w:val="22"/>
                <w:szCs w:val="22"/>
              </w:rPr>
              <w:t>资产总额</w:t>
            </w:r>
          </w:p>
        </w:tc>
        <w:tc>
          <w:tcPr>
            <w:tcW w:w="3155" w:type="dxa"/>
            <w:tcBorders>
              <w:top w:val="nil"/>
              <w:left w:val="nil"/>
              <w:bottom w:val="single" w:color="auto" w:sz="4" w:space="0"/>
              <w:right w:val="single" w:color="auto" w:sz="4" w:space="0"/>
            </w:tcBorders>
            <w:vAlign w:val="center"/>
          </w:tcPr>
          <w:p w14:paraId="2E65377E">
            <w:pPr>
              <w:widowControl/>
              <w:jc w:val="center"/>
              <w:rPr>
                <w:rFonts w:ascii="宋体" w:cs="Times New Roman"/>
                <w:kern w:val="0"/>
                <w:sz w:val="22"/>
                <w:szCs w:val="22"/>
              </w:rPr>
            </w:pPr>
            <w:r>
              <w:rPr>
                <w:rFonts w:ascii="宋体" w:hAnsi="宋体" w:cs="宋体"/>
                <w:kern w:val="0"/>
                <w:sz w:val="22"/>
                <w:szCs w:val="22"/>
              </w:rPr>
              <w:t>——</w:t>
            </w:r>
          </w:p>
        </w:tc>
        <w:tc>
          <w:tcPr>
            <w:tcW w:w="5103" w:type="dxa"/>
            <w:tcBorders>
              <w:top w:val="nil"/>
              <w:left w:val="nil"/>
              <w:bottom w:val="single" w:color="auto" w:sz="4" w:space="0"/>
              <w:right w:val="single" w:color="auto" w:sz="4" w:space="0"/>
            </w:tcBorders>
            <w:vAlign w:val="center"/>
          </w:tcPr>
          <w:p w14:paraId="63D98F4C">
            <w:pPr>
              <w:widowControl/>
              <w:jc w:val="center"/>
              <w:rPr>
                <w:rFonts w:ascii="宋体" w:cs="Times New Roman"/>
                <w:kern w:val="0"/>
                <w:sz w:val="22"/>
                <w:szCs w:val="22"/>
              </w:rPr>
            </w:pPr>
            <w:r>
              <w:rPr>
                <w:rFonts w:ascii="宋体" w:hAnsi="宋体" w:cs="宋体"/>
                <w:kern w:val="0"/>
                <w:sz w:val="22"/>
                <w:szCs w:val="22"/>
              </w:rPr>
              <w:t>267.05</w:t>
            </w:r>
          </w:p>
        </w:tc>
      </w:tr>
      <w:tr w14:paraId="4F7FD64F">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309BBE86">
            <w:pPr>
              <w:widowControl/>
              <w:jc w:val="left"/>
              <w:rPr>
                <w:rFonts w:ascii="宋体" w:cs="Times New Roman"/>
                <w:kern w:val="0"/>
                <w:sz w:val="22"/>
                <w:szCs w:val="22"/>
              </w:rPr>
            </w:pPr>
            <w:r>
              <w:rPr>
                <w:rFonts w:ascii="宋体" w:hAnsi="宋体" w:cs="宋体"/>
                <w:kern w:val="0"/>
                <w:sz w:val="22"/>
                <w:szCs w:val="22"/>
              </w:rPr>
              <w:t>1</w:t>
            </w:r>
            <w:r>
              <w:rPr>
                <w:rFonts w:hint="eastAsia" w:ascii="宋体" w:hAnsi="宋体" w:cs="宋体"/>
                <w:kern w:val="0"/>
                <w:sz w:val="22"/>
                <w:szCs w:val="22"/>
              </w:rPr>
              <w:t>、房屋（平方米）</w:t>
            </w:r>
          </w:p>
        </w:tc>
        <w:tc>
          <w:tcPr>
            <w:tcW w:w="3155" w:type="dxa"/>
            <w:tcBorders>
              <w:top w:val="nil"/>
              <w:left w:val="nil"/>
              <w:bottom w:val="single" w:color="auto" w:sz="4" w:space="0"/>
              <w:right w:val="single" w:color="auto" w:sz="4" w:space="0"/>
            </w:tcBorders>
            <w:vAlign w:val="center"/>
          </w:tcPr>
          <w:p w14:paraId="794B1781">
            <w:pPr>
              <w:widowControl/>
              <w:jc w:val="center"/>
              <w:rPr>
                <w:rFonts w:ascii="宋体" w:cs="Times New Roman"/>
                <w:kern w:val="0"/>
                <w:sz w:val="22"/>
                <w:szCs w:val="22"/>
              </w:rPr>
            </w:pPr>
            <w:r>
              <w:rPr>
                <w:rFonts w:ascii="宋体" w:hAnsi="宋体" w:cs="宋体"/>
                <w:kern w:val="0"/>
                <w:sz w:val="22"/>
                <w:szCs w:val="22"/>
              </w:rPr>
              <w:t>4210</w:t>
            </w:r>
          </w:p>
        </w:tc>
        <w:tc>
          <w:tcPr>
            <w:tcW w:w="5103" w:type="dxa"/>
            <w:tcBorders>
              <w:top w:val="nil"/>
              <w:left w:val="nil"/>
              <w:bottom w:val="single" w:color="auto" w:sz="4" w:space="0"/>
              <w:right w:val="single" w:color="auto" w:sz="4" w:space="0"/>
            </w:tcBorders>
            <w:vAlign w:val="center"/>
          </w:tcPr>
          <w:p w14:paraId="0A415C6D">
            <w:pPr>
              <w:widowControl/>
              <w:jc w:val="center"/>
              <w:rPr>
                <w:rFonts w:ascii="宋体" w:cs="Times New Roman"/>
                <w:kern w:val="0"/>
                <w:sz w:val="22"/>
                <w:szCs w:val="22"/>
              </w:rPr>
            </w:pPr>
            <w:r>
              <w:rPr>
                <w:rFonts w:ascii="宋体" w:hAnsi="宋体" w:cs="宋体"/>
                <w:kern w:val="0"/>
                <w:sz w:val="22"/>
                <w:szCs w:val="22"/>
              </w:rPr>
              <w:t>225.7</w:t>
            </w:r>
          </w:p>
        </w:tc>
      </w:tr>
      <w:tr w14:paraId="1AAF813D">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27A0F929">
            <w:pPr>
              <w:widowControl/>
              <w:jc w:val="left"/>
              <w:rPr>
                <w:rFonts w:ascii="宋体" w:cs="Times New Roman"/>
                <w:kern w:val="0"/>
                <w:sz w:val="22"/>
                <w:szCs w:val="22"/>
              </w:rPr>
            </w:pPr>
            <w:r>
              <w:rPr>
                <w:rFonts w:ascii="宋体" w:hAnsi="宋体" w:cs="宋体"/>
                <w:kern w:val="0"/>
                <w:sz w:val="22"/>
                <w:szCs w:val="22"/>
              </w:rPr>
              <w:t xml:space="preserve">  </w:t>
            </w:r>
            <w:r>
              <w:rPr>
                <w:rFonts w:hint="eastAsia" w:ascii="宋体" w:hAnsi="宋体" w:cs="宋体"/>
                <w:kern w:val="0"/>
                <w:sz w:val="22"/>
                <w:szCs w:val="22"/>
              </w:rPr>
              <w:t>其中：办公用房（平方米）</w:t>
            </w:r>
          </w:p>
        </w:tc>
        <w:tc>
          <w:tcPr>
            <w:tcW w:w="3155" w:type="dxa"/>
            <w:tcBorders>
              <w:top w:val="nil"/>
              <w:left w:val="nil"/>
              <w:bottom w:val="single" w:color="auto" w:sz="4" w:space="0"/>
              <w:right w:val="single" w:color="auto" w:sz="4" w:space="0"/>
            </w:tcBorders>
            <w:vAlign w:val="center"/>
          </w:tcPr>
          <w:p w14:paraId="47F7CBBF">
            <w:pPr>
              <w:widowControl/>
              <w:jc w:val="center"/>
              <w:rPr>
                <w:rFonts w:ascii="宋体" w:cs="Times New Roman"/>
                <w:kern w:val="0"/>
                <w:sz w:val="22"/>
                <w:szCs w:val="22"/>
              </w:rPr>
            </w:pPr>
            <w:r>
              <w:rPr>
                <w:rFonts w:ascii="宋体" w:hAnsi="宋体" w:cs="宋体"/>
                <w:kern w:val="0"/>
                <w:sz w:val="22"/>
                <w:szCs w:val="22"/>
              </w:rPr>
              <w:t>557</w:t>
            </w:r>
          </w:p>
        </w:tc>
        <w:tc>
          <w:tcPr>
            <w:tcW w:w="5103" w:type="dxa"/>
            <w:tcBorders>
              <w:top w:val="nil"/>
              <w:left w:val="nil"/>
              <w:bottom w:val="single" w:color="auto" w:sz="4" w:space="0"/>
              <w:right w:val="single" w:color="auto" w:sz="4" w:space="0"/>
            </w:tcBorders>
            <w:vAlign w:val="center"/>
          </w:tcPr>
          <w:p w14:paraId="7423C081">
            <w:pPr>
              <w:widowControl/>
              <w:jc w:val="center"/>
              <w:rPr>
                <w:rFonts w:ascii="宋体" w:cs="Times New Roman"/>
                <w:kern w:val="0"/>
                <w:sz w:val="22"/>
                <w:szCs w:val="22"/>
              </w:rPr>
            </w:pPr>
          </w:p>
        </w:tc>
      </w:tr>
      <w:tr w14:paraId="7957C80D">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2CEB6190">
            <w:pPr>
              <w:widowControl/>
              <w:jc w:val="left"/>
              <w:rPr>
                <w:rFonts w:ascii="宋体" w:cs="Times New Roman"/>
                <w:kern w:val="0"/>
                <w:sz w:val="22"/>
                <w:szCs w:val="22"/>
              </w:rPr>
            </w:pPr>
            <w:r>
              <w:rPr>
                <w:rFonts w:ascii="宋体" w:hAnsi="宋体" w:cs="宋体"/>
                <w:kern w:val="0"/>
                <w:sz w:val="22"/>
                <w:szCs w:val="22"/>
              </w:rPr>
              <w:t>2</w:t>
            </w:r>
            <w:r>
              <w:rPr>
                <w:rFonts w:hint="eastAsia" w:ascii="宋体" w:hAnsi="宋体" w:cs="宋体"/>
                <w:kern w:val="0"/>
                <w:sz w:val="22"/>
                <w:szCs w:val="22"/>
              </w:rPr>
              <w:t>、车辆（台、辆）</w:t>
            </w:r>
          </w:p>
        </w:tc>
        <w:tc>
          <w:tcPr>
            <w:tcW w:w="3155" w:type="dxa"/>
            <w:tcBorders>
              <w:top w:val="nil"/>
              <w:left w:val="nil"/>
              <w:bottom w:val="single" w:color="auto" w:sz="4" w:space="0"/>
              <w:right w:val="single" w:color="auto" w:sz="4" w:space="0"/>
            </w:tcBorders>
            <w:vAlign w:val="center"/>
          </w:tcPr>
          <w:p w14:paraId="117617FF">
            <w:pPr>
              <w:widowControl/>
              <w:jc w:val="center"/>
              <w:rPr>
                <w:rFonts w:ascii="宋体" w:cs="Times New Roman"/>
                <w:kern w:val="0"/>
                <w:sz w:val="22"/>
                <w:szCs w:val="22"/>
              </w:rPr>
            </w:pPr>
            <w:r>
              <w:rPr>
                <w:rFonts w:ascii="宋体" w:hAnsi="宋体" w:cs="宋体"/>
                <w:kern w:val="0"/>
                <w:sz w:val="22"/>
                <w:szCs w:val="22"/>
              </w:rPr>
              <w:t>1</w:t>
            </w:r>
          </w:p>
        </w:tc>
        <w:tc>
          <w:tcPr>
            <w:tcW w:w="5103" w:type="dxa"/>
            <w:tcBorders>
              <w:top w:val="nil"/>
              <w:left w:val="nil"/>
              <w:bottom w:val="single" w:color="auto" w:sz="4" w:space="0"/>
              <w:right w:val="single" w:color="auto" w:sz="4" w:space="0"/>
            </w:tcBorders>
            <w:vAlign w:val="center"/>
          </w:tcPr>
          <w:p w14:paraId="4AE0DB2D">
            <w:pPr>
              <w:widowControl/>
              <w:jc w:val="center"/>
              <w:rPr>
                <w:rFonts w:ascii="宋体" w:cs="Times New Roman"/>
                <w:kern w:val="0"/>
                <w:sz w:val="22"/>
                <w:szCs w:val="22"/>
              </w:rPr>
            </w:pPr>
            <w:r>
              <w:rPr>
                <w:rFonts w:ascii="宋体" w:hAnsi="宋体" w:cs="宋体"/>
                <w:kern w:val="0"/>
                <w:sz w:val="22"/>
                <w:szCs w:val="22"/>
              </w:rPr>
              <w:t>15</w:t>
            </w:r>
          </w:p>
        </w:tc>
      </w:tr>
      <w:tr w14:paraId="0370FE20">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0E03A8D5">
            <w:pPr>
              <w:widowControl/>
              <w:jc w:val="left"/>
              <w:rPr>
                <w:rFonts w:ascii="宋体" w:cs="Times New Roman"/>
                <w:kern w:val="0"/>
                <w:sz w:val="22"/>
                <w:szCs w:val="22"/>
              </w:rPr>
            </w:pPr>
            <w:r>
              <w:rPr>
                <w:rFonts w:ascii="宋体" w:hAnsi="宋体" w:cs="宋体"/>
                <w:kern w:val="0"/>
                <w:sz w:val="22"/>
                <w:szCs w:val="22"/>
              </w:rPr>
              <w:t>3</w:t>
            </w:r>
            <w:r>
              <w:rPr>
                <w:rFonts w:hint="eastAsia" w:ascii="宋体" w:hAnsi="宋体" w:cs="宋体"/>
                <w:kern w:val="0"/>
                <w:sz w:val="22"/>
                <w:szCs w:val="22"/>
              </w:rPr>
              <w:t>、单价在</w:t>
            </w:r>
            <w:r>
              <w:rPr>
                <w:rFonts w:ascii="宋体" w:hAnsi="宋体" w:cs="宋体"/>
                <w:kern w:val="0"/>
                <w:sz w:val="22"/>
                <w:szCs w:val="22"/>
              </w:rPr>
              <w:t>20</w:t>
            </w:r>
            <w:r>
              <w:rPr>
                <w:rFonts w:hint="eastAsia" w:ascii="宋体" w:hAnsi="宋体" w:cs="宋体"/>
                <w:kern w:val="0"/>
                <w:sz w:val="22"/>
                <w:szCs w:val="22"/>
              </w:rPr>
              <w:t>万元以上设备</w:t>
            </w:r>
          </w:p>
        </w:tc>
        <w:tc>
          <w:tcPr>
            <w:tcW w:w="3155" w:type="dxa"/>
            <w:tcBorders>
              <w:top w:val="nil"/>
              <w:left w:val="nil"/>
              <w:bottom w:val="single" w:color="auto" w:sz="4" w:space="0"/>
              <w:right w:val="single" w:color="auto" w:sz="4" w:space="0"/>
            </w:tcBorders>
            <w:vAlign w:val="center"/>
          </w:tcPr>
          <w:p w14:paraId="06BCBC39">
            <w:pPr>
              <w:widowControl/>
              <w:jc w:val="center"/>
              <w:rPr>
                <w:rFonts w:ascii="宋体" w:cs="Times New Roman"/>
                <w:kern w:val="0"/>
                <w:sz w:val="22"/>
                <w:szCs w:val="22"/>
              </w:rPr>
            </w:pPr>
            <w:r>
              <w:rPr>
                <w:rFonts w:ascii="宋体" w:hAnsi="宋体" w:cs="宋体"/>
                <w:kern w:val="0"/>
                <w:sz w:val="22"/>
                <w:szCs w:val="22"/>
              </w:rPr>
              <w:t>——</w:t>
            </w:r>
          </w:p>
        </w:tc>
        <w:tc>
          <w:tcPr>
            <w:tcW w:w="5103" w:type="dxa"/>
            <w:tcBorders>
              <w:top w:val="nil"/>
              <w:left w:val="nil"/>
              <w:bottom w:val="single" w:color="auto" w:sz="4" w:space="0"/>
              <w:right w:val="single" w:color="auto" w:sz="4" w:space="0"/>
            </w:tcBorders>
            <w:vAlign w:val="center"/>
          </w:tcPr>
          <w:p w14:paraId="1769EA93">
            <w:pPr>
              <w:widowControl/>
              <w:jc w:val="center"/>
              <w:rPr>
                <w:rFonts w:ascii="宋体" w:cs="Times New Roman"/>
                <w:kern w:val="0"/>
                <w:sz w:val="22"/>
                <w:szCs w:val="22"/>
              </w:rPr>
            </w:pPr>
          </w:p>
        </w:tc>
      </w:tr>
      <w:tr w14:paraId="142AEC2D">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310AEECE">
            <w:pPr>
              <w:widowControl/>
              <w:jc w:val="left"/>
              <w:rPr>
                <w:rFonts w:ascii="宋体" w:cs="Times New Roman"/>
                <w:kern w:val="0"/>
                <w:sz w:val="22"/>
                <w:szCs w:val="22"/>
              </w:rPr>
            </w:pPr>
            <w:r>
              <w:rPr>
                <w:rFonts w:ascii="宋体" w:hAnsi="宋体" w:cs="宋体"/>
                <w:kern w:val="0"/>
                <w:sz w:val="22"/>
                <w:szCs w:val="22"/>
              </w:rPr>
              <w:t>4</w:t>
            </w:r>
            <w:r>
              <w:rPr>
                <w:rFonts w:hint="eastAsia" w:ascii="宋体" w:hAnsi="宋体" w:cs="宋体"/>
                <w:kern w:val="0"/>
                <w:sz w:val="22"/>
                <w:szCs w:val="22"/>
              </w:rPr>
              <w:t>、其他固定资产</w:t>
            </w:r>
          </w:p>
        </w:tc>
        <w:tc>
          <w:tcPr>
            <w:tcW w:w="3155" w:type="dxa"/>
            <w:tcBorders>
              <w:top w:val="nil"/>
              <w:left w:val="nil"/>
              <w:bottom w:val="single" w:color="auto" w:sz="4" w:space="0"/>
              <w:right w:val="single" w:color="auto" w:sz="4" w:space="0"/>
            </w:tcBorders>
            <w:vAlign w:val="center"/>
          </w:tcPr>
          <w:p w14:paraId="2584B7D2">
            <w:pPr>
              <w:widowControl/>
              <w:jc w:val="center"/>
              <w:rPr>
                <w:rFonts w:ascii="宋体" w:cs="Times New Roman"/>
                <w:kern w:val="0"/>
                <w:sz w:val="22"/>
                <w:szCs w:val="22"/>
              </w:rPr>
            </w:pPr>
            <w:r>
              <w:rPr>
                <w:rFonts w:ascii="宋体" w:hAnsi="宋体" w:cs="宋体"/>
                <w:kern w:val="0"/>
                <w:sz w:val="22"/>
                <w:szCs w:val="22"/>
              </w:rPr>
              <w:t>——</w:t>
            </w:r>
          </w:p>
        </w:tc>
        <w:tc>
          <w:tcPr>
            <w:tcW w:w="5103" w:type="dxa"/>
            <w:tcBorders>
              <w:top w:val="nil"/>
              <w:left w:val="nil"/>
              <w:bottom w:val="single" w:color="auto" w:sz="4" w:space="0"/>
              <w:right w:val="single" w:color="auto" w:sz="4" w:space="0"/>
            </w:tcBorders>
            <w:vAlign w:val="center"/>
          </w:tcPr>
          <w:p w14:paraId="17198A26">
            <w:pPr>
              <w:widowControl/>
              <w:jc w:val="center"/>
              <w:rPr>
                <w:rFonts w:ascii="宋体" w:cs="Times New Roman"/>
                <w:kern w:val="0"/>
                <w:sz w:val="22"/>
                <w:szCs w:val="22"/>
              </w:rPr>
            </w:pPr>
            <w:r>
              <w:rPr>
                <w:rFonts w:ascii="宋体" w:cs="宋体"/>
                <w:kern w:val="0"/>
                <w:sz w:val="22"/>
                <w:szCs w:val="22"/>
              </w:rPr>
              <w:t>26.35</w:t>
            </w:r>
          </w:p>
        </w:tc>
      </w:tr>
    </w:tbl>
    <w:p w14:paraId="0C147062">
      <w:pPr>
        <w:autoSpaceDE w:val="0"/>
        <w:autoSpaceDN w:val="0"/>
        <w:adjustRightInd w:val="0"/>
        <w:ind w:firstLine="640" w:firstLineChars="200"/>
        <w:jc w:val="left"/>
        <w:rPr>
          <w:rFonts w:ascii="黑体" w:hAnsi="黑体" w:eastAsia="黑体" w:cs="Times New Roman"/>
          <w:sz w:val="32"/>
          <w:szCs w:val="32"/>
        </w:rPr>
      </w:pPr>
    </w:p>
    <w:p w14:paraId="7E237018">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黑体"/>
          <w:sz w:val="32"/>
          <w:szCs w:val="32"/>
        </w:rPr>
        <w:t>八、名词解释</w:t>
      </w:r>
    </w:p>
    <w:p w14:paraId="1697D9C1">
      <w:pPr>
        <w:autoSpaceDE w:val="0"/>
        <w:autoSpaceDN w:val="0"/>
        <w:adjustRightInd w:val="0"/>
        <w:ind w:left="420" w:leftChars="200" w:firstLine="640" w:firstLineChars="200"/>
        <w:jc w:val="left"/>
        <w:rPr>
          <w:rFonts w:ascii="仿宋_GB2312" w:hAnsi="仿宋_GB2312" w:eastAsia="仿宋_GB2312" w:cs="Times New Roman"/>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、一般预算收入：县级财政当年拨付的资金。</w:t>
      </w:r>
    </w:p>
    <w:p w14:paraId="4BF5FAD2">
      <w:pPr>
        <w:autoSpaceDE w:val="0"/>
        <w:autoSpaceDN w:val="0"/>
        <w:adjustRightInd w:val="0"/>
        <w:ind w:left="420" w:leftChars="200" w:firstLine="640" w:firstLineChars="200"/>
        <w:jc w:val="left"/>
        <w:rPr>
          <w:rFonts w:ascii="仿宋_GB2312" w:hAnsi="仿宋_GB2312" w:eastAsia="仿宋_GB2312" w:cs="Times New Roman"/>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、基本支出：为保障机构正常运转，完成日常工作任务，而发生的人员支出和公用支出。</w:t>
      </w:r>
    </w:p>
    <w:p w14:paraId="3EF4AF18">
      <w:pPr>
        <w:autoSpaceDE w:val="0"/>
        <w:autoSpaceDN w:val="0"/>
        <w:adjustRightInd w:val="0"/>
        <w:ind w:left="420" w:leftChars="200" w:firstLine="640" w:firstLineChars="200"/>
        <w:jc w:val="left"/>
        <w:rPr>
          <w:rFonts w:ascii="仿宋_GB2312" w:hAnsi="仿宋_GB2312" w:eastAsia="仿宋_GB2312" w:cs="Times New Roman"/>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、项目支出：是指在基本支出之外，为完成特定行政任务和事业发展目标，而发生的支出。</w:t>
      </w:r>
    </w:p>
    <w:p w14:paraId="777A591A">
      <w:pPr>
        <w:autoSpaceDE w:val="0"/>
        <w:autoSpaceDN w:val="0"/>
        <w:adjustRightInd w:val="0"/>
        <w:ind w:left="420" w:leftChars="200" w:firstLine="640" w:firstLineChars="200"/>
        <w:jc w:val="left"/>
        <w:rPr>
          <w:rFonts w:ascii="仿宋_GB2312" w:hAnsi="仿宋_GB2312" w:eastAsia="仿宋_GB2312" w:cs="Times New Roman"/>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机关运行费：是指为保证行政单位（包括参照公务员管理的事业单位）运行，用于购买货物和服务的各项资金。主要包括：办公费、印刷费，水费、电费、邮电费、福利费、日常维修费、办公取暖费、办公物业服务费、公务车运行维护费等。</w:t>
      </w:r>
    </w:p>
    <w:p w14:paraId="70BC6892">
      <w:pPr>
        <w:autoSpaceDE w:val="0"/>
        <w:autoSpaceDN w:val="0"/>
        <w:adjustRightInd w:val="0"/>
        <w:ind w:left="420" w:leftChars="200" w:firstLine="643" w:firstLineChars="200"/>
        <w:jc w:val="left"/>
        <w:rPr>
          <w:rFonts w:ascii="宋体-方正超大字符集" w:hAnsi="宋体-方正超大字符集" w:eastAsia="宋体-方正超大字符集" w:cs="Times New Roman"/>
          <w:b/>
          <w:bCs/>
          <w:sz w:val="32"/>
          <w:szCs w:val="32"/>
        </w:rPr>
      </w:pPr>
      <w:r>
        <w:rPr>
          <w:rFonts w:hint="eastAsia" w:ascii="宋体-方正超大字符集" w:hAnsi="宋体-方正超大字符集" w:eastAsia="宋体-方正超大字符集" w:cs="宋体-方正超大字符集"/>
          <w:b/>
          <w:bCs/>
          <w:sz w:val="32"/>
          <w:szCs w:val="32"/>
        </w:rPr>
        <w:t>九、其他需要说明的事项</w:t>
      </w:r>
    </w:p>
    <w:p w14:paraId="78A90B10">
      <w:pPr>
        <w:autoSpaceDE w:val="0"/>
        <w:autoSpaceDN w:val="0"/>
        <w:adjustRightInd w:val="0"/>
        <w:ind w:left="420" w:leftChars="200" w:firstLine="640" w:firstLineChars="200"/>
        <w:jc w:val="left"/>
        <w:rPr>
          <w:rFonts w:ascii="仿宋_GB2312" w:hAnsi="仿宋_GB2312" w:eastAsia="仿宋_GB2312" w:cs="Times New Roman"/>
          <w:sz w:val="32"/>
          <w:szCs w:val="32"/>
        </w:rPr>
      </w:pPr>
      <w:r>
        <w:rPr>
          <w:rFonts w:hint="eastAsia" w:ascii="仿宋_GB2312" w:hAnsi="仿宋_GB2312" w:eastAsia="仿宋_GB2312" w:cs="仿宋_GB2312"/>
          <w:sz w:val="32"/>
          <w:szCs w:val="32"/>
        </w:rPr>
        <w:t>无</w:t>
      </w:r>
    </w:p>
    <w:p w14:paraId="71166094">
      <w:pPr>
        <w:ind w:firstLine="640" w:firstLineChars="200"/>
        <w:rPr>
          <w:rFonts w:ascii="仿宋_GB2312" w:hAnsi="仿宋_GB2312" w:eastAsia="仿宋_GB2312" w:cs="Times New Roman"/>
          <w:sz w:val="32"/>
          <w:szCs w:val="32"/>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宋体-方正超大字符集">
    <w:altName w:val="宋体"/>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楷体_GBK">
    <w:altName w:val="宋体"/>
    <w:panose1 w:val="00000000000000000000"/>
    <w:charset w:val="86"/>
    <w:family w:val="roman"/>
    <w:pitch w:val="default"/>
    <w:sig w:usb0="00000000" w:usb1="00000000" w:usb2="00000010" w:usb3="00000000" w:csb0="00040000" w:csb1="00000000"/>
  </w:font>
  <w:font w:name="方正仿宋_GBK">
    <w:altName w:val="宋体"/>
    <w:panose1 w:val="00000000000000000000"/>
    <w:charset w:val="86"/>
    <w:family w:val="roman"/>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10" w:usb3="00000000" w:csb0="00040000"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818F2D"/>
    <w:multiLevelType w:val="singleLevel"/>
    <w:tmpl w:val="58818F2D"/>
    <w:lvl w:ilvl="0" w:tentative="0">
      <w:start w:val="2"/>
      <w:numFmt w:val="decimal"/>
      <w:suff w:val="nothing"/>
      <w:lvlText w:val="%1、"/>
      <w:lvlJc w:val="left"/>
    </w:lvl>
  </w:abstractNum>
  <w:abstractNum w:abstractNumId="1">
    <w:nsid w:val="589A8F38"/>
    <w:multiLevelType w:val="singleLevel"/>
    <w:tmpl w:val="589A8F38"/>
    <w:lvl w:ilvl="0" w:tentative="0">
      <w:start w:val="1"/>
      <w:numFmt w:val="decimal"/>
      <w:suff w:val="nothing"/>
      <w:lvlText w:val="%1、"/>
      <w:lvlJc w:val="left"/>
    </w:lvl>
  </w:abstractNum>
  <w:abstractNum w:abstractNumId="2">
    <w:nsid w:val="589A9132"/>
    <w:multiLevelType w:val="singleLevel"/>
    <w:tmpl w:val="589A9132"/>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6FF4"/>
    <w:rsid w:val="00012341"/>
    <w:rsid w:val="00061C24"/>
    <w:rsid w:val="000731E6"/>
    <w:rsid w:val="000B757D"/>
    <w:rsid w:val="00113F4F"/>
    <w:rsid w:val="00133E4D"/>
    <w:rsid w:val="00137841"/>
    <w:rsid w:val="00152A76"/>
    <w:rsid w:val="00187177"/>
    <w:rsid w:val="00193ACA"/>
    <w:rsid w:val="001A598C"/>
    <w:rsid w:val="001B6625"/>
    <w:rsid w:val="001B71D2"/>
    <w:rsid w:val="001E2376"/>
    <w:rsid w:val="001F0505"/>
    <w:rsid w:val="001F1F5D"/>
    <w:rsid w:val="001F424B"/>
    <w:rsid w:val="00221E5C"/>
    <w:rsid w:val="00231191"/>
    <w:rsid w:val="0023394F"/>
    <w:rsid w:val="002759EB"/>
    <w:rsid w:val="00276B7B"/>
    <w:rsid w:val="0028185D"/>
    <w:rsid w:val="002A40A4"/>
    <w:rsid w:val="002B16DC"/>
    <w:rsid w:val="002B685A"/>
    <w:rsid w:val="0034027A"/>
    <w:rsid w:val="00381BFF"/>
    <w:rsid w:val="00390A40"/>
    <w:rsid w:val="003C05A4"/>
    <w:rsid w:val="003C6105"/>
    <w:rsid w:val="003D72E4"/>
    <w:rsid w:val="004021F0"/>
    <w:rsid w:val="00416FF4"/>
    <w:rsid w:val="00424A69"/>
    <w:rsid w:val="00435989"/>
    <w:rsid w:val="00456466"/>
    <w:rsid w:val="00472D58"/>
    <w:rsid w:val="004B1502"/>
    <w:rsid w:val="004C535C"/>
    <w:rsid w:val="00531107"/>
    <w:rsid w:val="00535A57"/>
    <w:rsid w:val="0054465B"/>
    <w:rsid w:val="00560CA4"/>
    <w:rsid w:val="00573C26"/>
    <w:rsid w:val="005911C4"/>
    <w:rsid w:val="005A05E9"/>
    <w:rsid w:val="005C3AB9"/>
    <w:rsid w:val="005D724F"/>
    <w:rsid w:val="005E06B4"/>
    <w:rsid w:val="005F66A4"/>
    <w:rsid w:val="00604232"/>
    <w:rsid w:val="00634394"/>
    <w:rsid w:val="0063520D"/>
    <w:rsid w:val="00650C63"/>
    <w:rsid w:val="00681C5D"/>
    <w:rsid w:val="00697181"/>
    <w:rsid w:val="006E50DD"/>
    <w:rsid w:val="007020AC"/>
    <w:rsid w:val="00705895"/>
    <w:rsid w:val="007331DB"/>
    <w:rsid w:val="007612A1"/>
    <w:rsid w:val="00783A26"/>
    <w:rsid w:val="007C0440"/>
    <w:rsid w:val="007C24B9"/>
    <w:rsid w:val="007E2BEB"/>
    <w:rsid w:val="00804FF9"/>
    <w:rsid w:val="00826FF0"/>
    <w:rsid w:val="00835FEC"/>
    <w:rsid w:val="008B6BD1"/>
    <w:rsid w:val="008F27BB"/>
    <w:rsid w:val="00906BF8"/>
    <w:rsid w:val="00963B20"/>
    <w:rsid w:val="00992E12"/>
    <w:rsid w:val="009A1FA2"/>
    <w:rsid w:val="009A7D28"/>
    <w:rsid w:val="009C2BFA"/>
    <w:rsid w:val="00A03F02"/>
    <w:rsid w:val="00A06B6D"/>
    <w:rsid w:val="00A32EF8"/>
    <w:rsid w:val="00A545E2"/>
    <w:rsid w:val="00AB3087"/>
    <w:rsid w:val="00AC3D9F"/>
    <w:rsid w:val="00AD5308"/>
    <w:rsid w:val="00AE00EE"/>
    <w:rsid w:val="00AF2892"/>
    <w:rsid w:val="00B00A8A"/>
    <w:rsid w:val="00B05703"/>
    <w:rsid w:val="00B25506"/>
    <w:rsid w:val="00B26B3A"/>
    <w:rsid w:val="00B30473"/>
    <w:rsid w:val="00B55E58"/>
    <w:rsid w:val="00B76212"/>
    <w:rsid w:val="00B92AE1"/>
    <w:rsid w:val="00BA1A1E"/>
    <w:rsid w:val="00BC42C0"/>
    <w:rsid w:val="00C37243"/>
    <w:rsid w:val="00C85E5E"/>
    <w:rsid w:val="00C933D1"/>
    <w:rsid w:val="00CA16C9"/>
    <w:rsid w:val="00CC45F5"/>
    <w:rsid w:val="00DB618D"/>
    <w:rsid w:val="00DB7EDF"/>
    <w:rsid w:val="00DC6A51"/>
    <w:rsid w:val="00DF0C3E"/>
    <w:rsid w:val="00E73E50"/>
    <w:rsid w:val="00EC1EDB"/>
    <w:rsid w:val="00F434BE"/>
    <w:rsid w:val="00FF3E18"/>
    <w:rsid w:val="09E4116E"/>
    <w:rsid w:val="0B2B597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qFormat/>
    <w:uiPriority w:val="99"/>
    <w:rPr>
      <w:sz w:val="18"/>
      <w:szCs w:val="18"/>
    </w:rPr>
  </w:style>
  <w:style w:type="paragraph" w:styleId="3">
    <w:name w:val="footer"/>
    <w:basedOn w:val="1"/>
    <w:link w:val="9"/>
    <w:uiPriority w:val="99"/>
    <w:pPr>
      <w:tabs>
        <w:tab w:val="center" w:pos="4153"/>
        <w:tab w:val="right" w:pos="8306"/>
      </w:tabs>
      <w:snapToGrid w:val="0"/>
      <w:jc w:val="left"/>
    </w:pPr>
    <w:rPr>
      <w:rFonts w:ascii="Times New Roman" w:hAnsi="Times New Roman" w:cs="Times New Roman"/>
      <w:kern w:val="0"/>
      <w:sz w:val="18"/>
      <w:szCs w:val="18"/>
    </w:rPr>
  </w:style>
  <w:style w:type="paragraph" w:styleId="4">
    <w:name w:val="header"/>
    <w:basedOn w:val="1"/>
    <w:link w:val="10"/>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5">
    <w:name w:val="toc 1"/>
    <w:basedOn w:val="1"/>
    <w:next w:val="1"/>
    <w:autoRedefine/>
    <w:semiHidden/>
    <w:qFormat/>
    <w:uiPriority w:val="99"/>
    <w:rPr>
      <w:rFonts w:ascii="Times New Roman" w:hAnsi="Times New Roman" w:cs="Times New Roman"/>
    </w:rPr>
  </w:style>
  <w:style w:type="paragraph" w:styleId="6">
    <w:name w:val="toc 2"/>
    <w:basedOn w:val="1"/>
    <w:next w:val="1"/>
    <w:autoRedefine/>
    <w:semiHidden/>
    <w:qFormat/>
    <w:uiPriority w:val="99"/>
    <w:pPr>
      <w:ind w:left="420" w:leftChars="200"/>
    </w:pPr>
    <w:rPr>
      <w:rFonts w:ascii="Times New Roman" w:hAnsi="Times New Roman" w:cs="Times New Roman"/>
    </w:rPr>
  </w:style>
  <w:style w:type="character" w:customStyle="1" w:styleId="9">
    <w:name w:val="Footer Char"/>
    <w:basedOn w:val="8"/>
    <w:link w:val="3"/>
    <w:locked/>
    <w:uiPriority w:val="99"/>
    <w:rPr>
      <w:rFonts w:ascii="Times New Roman" w:hAnsi="Times New Roman" w:eastAsia="宋体" w:cs="Times New Roman"/>
      <w:sz w:val="18"/>
      <w:szCs w:val="18"/>
    </w:rPr>
  </w:style>
  <w:style w:type="character" w:customStyle="1" w:styleId="10">
    <w:name w:val="Header Char"/>
    <w:basedOn w:val="8"/>
    <w:link w:val="4"/>
    <w:qFormat/>
    <w:locked/>
    <w:uiPriority w:val="99"/>
    <w:rPr>
      <w:rFonts w:ascii="Times New Roman" w:hAnsi="Times New Roman" w:eastAsia="宋体" w:cs="Times New Roman"/>
      <w:sz w:val="18"/>
      <w:szCs w:val="18"/>
    </w:rPr>
  </w:style>
  <w:style w:type="character" w:customStyle="1" w:styleId="11">
    <w:name w:val="Balloon Text Char"/>
    <w:basedOn w:val="8"/>
    <w:link w:val="2"/>
    <w:semiHidden/>
    <w:qFormat/>
    <w:locked/>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Sky123.Org</Company>
  <Pages>15</Pages>
  <Words>92</Words>
  <Characters>101</Characters>
  <Lines>0</Lines>
  <Paragraphs>0</Paragraphs>
  <TotalTime>687</TotalTime>
  <ScaleCrop>false</ScaleCrop>
  <LinksUpToDate>false</LinksUpToDate>
  <CharactersWithSpaces>101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2017-01-20T01:29:00Z</dcterms:created>
  <dc:creator>guest</dc:creator>
  <cp:lastModifiedBy>你渴望力量吗？</cp:lastModifiedBy>
  <cp:lastPrinted>2021-07-09T02:54:00Z</cp:lastPrinted>
  <dcterms:modified xsi:type="dcterms:W3CDTF">2026-07-23T03:01:08Z</dcterms:modified>
  <dc:title>河北省2017年部门预算信息公开</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eyJoZGlkIjoiZDE4NWUwZWQ0ZWY4NGY5MjZkYzU3ZGI3ODMyNmNiNmIiLCJ1c2VySWQiOiI1MTM2NDE5MjQifQ==</vt:lpwstr>
  </property>
  <property fmtid="{D5CDD505-2E9C-101B-9397-08002B2CF9AE}" pid="4" name="ICV">
    <vt:lpwstr>040D49F2E6584A25AE5B3E0BFB70A575_12</vt:lpwstr>
  </property>
</Properties>
</file>