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3910C">
      <w:pPr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宁晋县换马店镇人民政府20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预算信息公开</w:t>
      </w:r>
    </w:p>
    <w:p w14:paraId="5E93C528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按照《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中华人民共和国</w:t>
      </w:r>
      <w:r>
        <w:rPr>
          <w:rFonts w:hint="eastAsia" w:ascii="仿宋" w:hAnsi="仿宋" w:eastAsia="仿宋" w:cs="仿宋"/>
          <w:sz w:val="30"/>
          <w:szCs w:val="30"/>
        </w:rPr>
        <w:t>预算法》、《地方预决算公开操作规程》和《河北省省级预算公开办法》规定，现将20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预算公开如下：</w:t>
      </w:r>
    </w:p>
    <w:p w14:paraId="3664D41B"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职责及机构设置情况</w:t>
      </w:r>
    </w:p>
    <w:p w14:paraId="09D2AFF2">
      <w:pPr>
        <w:spacing w:line="560" w:lineRule="exact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 xml:space="preserve">    </w:t>
      </w: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b/>
          <w:sz w:val="30"/>
          <w:szCs w:val="30"/>
        </w:rPr>
        <w:t>职责：</w:t>
      </w:r>
      <w:r>
        <w:rPr>
          <w:rFonts w:hint="eastAsia" w:ascii="仿宋" w:hAnsi="仿宋" w:eastAsia="仿宋" w:cs="仿宋"/>
          <w:sz w:val="30"/>
          <w:szCs w:val="30"/>
        </w:rPr>
        <w:t>镇党委的主要职责：贯彻落实党的路线、方针、政策和上级党组织的指示、决定，执行镇党党代会决议；抓好自身建设和所属党组织的指示、决定，执行镇党代</w:t>
      </w:r>
      <w:bookmarkStart w:id="3" w:name="_GoBack"/>
      <w:bookmarkEnd w:id="3"/>
      <w:r>
        <w:rPr>
          <w:rFonts w:hint="eastAsia" w:ascii="仿宋" w:hAnsi="仿宋" w:eastAsia="仿宋" w:cs="仿宋"/>
          <w:sz w:val="30"/>
          <w:szCs w:val="30"/>
        </w:rPr>
        <w:t>会决议；找好自身建设和所属党组织的思想、组织和作风建设；领导镇经济建设，制定经济和社会发展规划并组织实施；领导本镇政权机关和群众组织，支持和保证他们依照国家法律、法规及各自章程充分行使职权；领导本镇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社会主义民主法治建设</w:t>
      </w:r>
      <w:r>
        <w:rPr>
          <w:rFonts w:hint="eastAsia" w:ascii="仿宋" w:hAnsi="仿宋" w:eastAsia="仿宋" w:cs="仿宋"/>
          <w:sz w:val="30"/>
          <w:szCs w:val="30"/>
        </w:rPr>
        <w:t>和精神文明建设，做好社会治安综合治理及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卫生计生</w:t>
      </w:r>
      <w:r>
        <w:rPr>
          <w:rFonts w:hint="eastAsia" w:ascii="仿宋" w:hAnsi="仿宋" w:eastAsia="仿宋" w:cs="仿宋"/>
          <w:sz w:val="30"/>
          <w:szCs w:val="30"/>
        </w:rPr>
        <w:t>工作；负责上级有关部门派驻镇单位的党组织建设，监督、支持和协调上级有关部门派驻镇单位的工作；按照干部管理权限，负责对干部教育、培养、选拔、考核和监督工作；领导农村基层党组织建设和农村基层工作；完成上级党组织交办的其他任务。</w:t>
      </w:r>
    </w:p>
    <w:p w14:paraId="4CC62DEF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镇政府的主要职责：贯彻落实党的路线、方针和政策；执行本级人民代表大会的决议和上级国家行政机关的决定和命令，发布决定和命令；执行本行政区域内的经济和社会发展计划，组织和领导经济建设，发展农村经济；制定和组织实施乡村建设规划，加强公共设施的建设和管理，发展各项服务事业；加强水利建设、土地使用管理和环境综合整治，合理开发、利用自然资源，保护耕地，改善生态环境和生活环境；开展政务公开建设和社会主义民主与法制教育，加强社会治安综合治理，调节民事纠纷，维护社会秩序；推行计划生育，控制人口增长，保护妇女、儿童和老年人的合法权益；管理民政行政工作，发展社会福利事业，做好就业和社会保障工作，办理兵役事项；管理镇财政，执行本级预算；管理和发展教育、科学技术、文化、卫生等事业，提高公民素质；加强食品安全、安全生产管理；管理和发展本行政区域内的公共事业；保护国家、集体和公民应有的人身权利、民主权利和其他权利；指导加强村委会建设，充分发挥村委会作用，提高其服务工作水平；办理上级政府交办的其他事项。</w:t>
      </w:r>
    </w:p>
    <w:p w14:paraId="4DF86727">
      <w:pPr>
        <w:autoSpaceDE w:val="0"/>
        <w:autoSpaceDN w:val="0"/>
        <w:adjustRightInd w:val="0"/>
        <w:ind w:firstLine="602" w:firstLineChars="200"/>
        <w:jc w:val="lef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机构设置：</w:t>
      </w:r>
    </w:p>
    <w:p w14:paraId="2FA82CDB">
      <w:pPr>
        <w:jc w:val="center"/>
        <w:outlineLvl w:val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机构设置情况</w:t>
      </w:r>
    </w:p>
    <w:tbl>
      <w:tblPr>
        <w:tblStyle w:val="6"/>
        <w:tblW w:w="972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7"/>
        <w:gridCol w:w="1134"/>
        <w:gridCol w:w="1276"/>
        <w:gridCol w:w="2902"/>
      </w:tblGrid>
      <w:tr w14:paraId="44A022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4417" w:type="dxa"/>
            <w:vMerge w:val="restart"/>
            <w:vAlign w:val="center"/>
          </w:tcPr>
          <w:p w14:paraId="1BB5BD70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单位名称</w:t>
            </w:r>
          </w:p>
        </w:tc>
        <w:tc>
          <w:tcPr>
            <w:tcW w:w="1134" w:type="dxa"/>
            <w:vMerge w:val="restart"/>
            <w:vAlign w:val="center"/>
          </w:tcPr>
          <w:p w14:paraId="1D05C93D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单位性质</w:t>
            </w:r>
          </w:p>
        </w:tc>
        <w:tc>
          <w:tcPr>
            <w:tcW w:w="1276" w:type="dxa"/>
            <w:vMerge w:val="restart"/>
            <w:vAlign w:val="center"/>
          </w:tcPr>
          <w:p w14:paraId="38B453DC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单位规格</w:t>
            </w:r>
          </w:p>
        </w:tc>
        <w:tc>
          <w:tcPr>
            <w:tcW w:w="2902" w:type="dxa"/>
            <w:vMerge w:val="restart"/>
            <w:vAlign w:val="center"/>
          </w:tcPr>
          <w:p w14:paraId="485E2B40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经费保障形式</w:t>
            </w:r>
          </w:p>
        </w:tc>
      </w:tr>
      <w:tr w14:paraId="5CC1A2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4417" w:type="dxa"/>
            <w:vMerge w:val="continue"/>
            <w:vAlign w:val="center"/>
          </w:tcPr>
          <w:p w14:paraId="15FB531F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1A70827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276" w:type="dxa"/>
            <w:vMerge w:val="continue"/>
            <w:vAlign w:val="center"/>
          </w:tcPr>
          <w:p w14:paraId="063E8E1F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902" w:type="dxa"/>
            <w:vMerge w:val="continue"/>
            <w:vAlign w:val="center"/>
          </w:tcPr>
          <w:p w14:paraId="462EA7F7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A4F19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417" w:type="dxa"/>
            <w:vAlign w:val="center"/>
          </w:tcPr>
          <w:p w14:paraId="4BF0CBF3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党政办公室</w:t>
            </w:r>
          </w:p>
        </w:tc>
        <w:tc>
          <w:tcPr>
            <w:tcW w:w="1134" w:type="dxa"/>
            <w:vAlign w:val="center"/>
          </w:tcPr>
          <w:p w14:paraId="0357B3E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行政</w:t>
            </w:r>
          </w:p>
        </w:tc>
        <w:tc>
          <w:tcPr>
            <w:tcW w:w="1276" w:type="dxa"/>
            <w:vAlign w:val="center"/>
          </w:tcPr>
          <w:p w14:paraId="001CCFD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902" w:type="dxa"/>
            <w:vAlign w:val="center"/>
          </w:tcPr>
          <w:p w14:paraId="03B06DC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财政拨款</w:t>
            </w:r>
          </w:p>
        </w:tc>
      </w:tr>
      <w:tr w14:paraId="7C1C69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417" w:type="dxa"/>
            <w:vAlign w:val="center"/>
          </w:tcPr>
          <w:p w14:paraId="11548D1B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社会事务办公室</w:t>
            </w:r>
          </w:p>
        </w:tc>
        <w:tc>
          <w:tcPr>
            <w:tcW w:w="1134" w:type="dxa"/>
            <w:vAlign w:val="center"/>
          </w:tcPr>
          <w:p w14:paraId="553FDB34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行政</w:t>
            </w:r>
          </w:p>
        </w:tc>
        <w:tc>
          <w:tcPr>
            <w:tcW w:w="1276" w:type="dxa"/>
            <w:vAlign w:val="center"/>
          </w:tcPr>
          <w:p w14:paraId="66522A01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902" w:type="dxa"/>
            <w:vAlign w:val="center"/>
          </w:tcPr>
          <w:p w14:paraId="4107BA64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财政拨款</w:t>
            </w:r>
          </w:p>
        </w:tc>
      </w:tr>
      <w:tr w14:paraId="292103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417" w:type="dxa"/>
            <w:vAlign w:val="center"/>
          </w:tcPr>
          <w:p w14:paraId="790A5B1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经济发展办公室</w:t>
            </w:r>
          </w:p>
          <w:p w14:paraId="0045C0E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74AB6381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行政</w:t>
            </w:r>
          </w:p>
        </w:tc>
        <w:tc>
          <w:tcPr>
            <w:tcW w:w="1276" w:type="dxa"/>
            <w:vAlign w:val="center"/>
          </w:tcPr>
          <w:p w14:paraId="008FD455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902" w:type="dxa"/>
            <w:vAlign w:val="center"/>
          </w:tcPr>
          <w:p w14:paraId="474EC05B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财政拨款</w:t>
            </w:r>
          </w:p>
        </w:tc>
      </w:tr>
      <w:tr w14:paraId="7DAF38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417" w:type="dxa"/>
            <w:vAlign w:val="center"/>
          </w:tcPr>
          <w:p w14:paraId="5D8F748A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综合治理办公室</w:t>
            </w:r>
          </w:p>
        </w:tc>
        <w:tc>
          <w:tcPr>
            <w:tcW w:w="1134" w:type="dxa"/>
            <w:vAlign w:val="center"/>
          </w:tcPr>
          <w:p w14:paraId="1DF22CBE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行政</w:t>
            </w:r>
          </w:p>
        </w:tc>
        <w:tc>
          <w:tcPr>
            <w:tcW w:w="1276" w:type="dxa"/>
            <w:vAlign w:val="center"/>
          </w:tcPr>
          <w:p w14:paraId="0DDB363B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902" w:type="dxa"/>
            <w:vAlign w:val="center"/>
          </w:tcPr>
          <w:p w14:paraId="3DD8C3BD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财政拨款</w:t>
            </w:r>
          </w:p>
        </w:tc>
      </w:tr>
      <w:tr w14:paraId="50165F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417" w:type="dxa"/>
            <w:vAlign w:val="center"/>
          </w:tcPr>
          <w:p w14:paraId="7D5E3AE3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卫生计生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办公室</w:t>
            </w:r>
          </w:p>
        </w:tc>
        <w:tc>
          <w:tcPr>
            <w:tcW w:w="1134" w:type="dxa"/>
            <w:vAlign w:val="center"/>
          </w:tcPr>
          <w:p w14:paraId="16E041F1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行政事业</w:t>
            </w:r>
          </w:p>
        </w:tc>
        <w:tc>
          <w:tcPr>
            <w:tcW w:w="1276" w:type="dxa"/>
            <w:vAlign w:val="center"/>
          </w:tcPr>
          <w:p w14:paraId="588D943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902" w:type="dxa"/>
            <w:vAlign w:val="center"/>
          </w:tcPr>
          <w:p w14:paraId="643C3BDE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财政拨款</w:t>
            </w:r>
          </w:p>
        </w:tc>
      </w:tr>
      <w:tr w14:paraId="4BC91D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4417" w:type="dxa"/>
            <w:vAlign w:val="center"/>
          </w:tcPr>
          <w:p w14:paraId="0A028AC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村镇规划建设办公室</w:t>
            </w:r>
          </w:p>
        </w:tc>
        <w:tc>
          <w:tcPr>
            <w:tcW w:w="1134" w:type="dxa"/>
            <w:vAlign w:val="center"/>
          </w:tcPr>
          <w:p w14:paraId="545FC2D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行政</w:t>
            </w:r>
          </w:p>
        </w:tc>
        <w:tc>
          <w:tcPr>
            <w:tcW w:w="1276" w:type="dxa"/>
            <w:vAlign w:val="center"/>
          </w:tcPr>
          <w:p w14:paraId="65142FE1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902" w:type="dxa"/>
            <w:vAlign w:val="center"/>
          </w:tcPr>
          <w:p w14:paraId="498C0F0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财政拨款</w:t>
            </w:r>
          </w:p>
        </w:tc>
      </w:tr>
    </w:tbl>
    <w:p w14:paraId="20EB8962">
      <w:pPr>
        <w:jc w:val="center"/>
        <w:rPr>
          <w:rFonts w:hint="eastAsia" w:ascii="仿宋" w:hAnsi="仿宋" w:eastAsia="仿宋" w:cs="仿宋"/>
          <w:sz w:val="30"/>
          <w:szCs w:val="30"/>
        </w:rPr>
      </w:pPr>
    </w:p>
    <w:p w14:paraId="527C878F"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预算安排的总体情况</w:t>
      </w:r>
    </w:p>
    <w:p w14:paraId="0C69D680"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按照预算管理有关规定，目前我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预算的编制实行综合预算制度，即全部收入和支出都反映的预算中。</w:t>
      </w:r>
    </w:p>
    <w:p w14:paraId="28CFA6AA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1、收入说明 </w:t>
      </w:r>
    </w:p>
    <w:p w14:paraId="1D48CF1F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反应本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当年全部收入，20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sz w:val="30"/>
          <w:szCs w:val="30"/>
        </w:rPr>
        <w:t>年预算收入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1532</w:t>
      </w:r>
      <w:r>
        <w:rPr>
          <w:rFonts w:hint="eastAsia" w:ascii="仿宋" w:hAnsi="仿宋" w:eastAsia="仿宋" w:cs="仿宋"/>
          <w:sz w:val="30"/>
          <w:szCs w:val="30"/>
        </w:rPr>
        <w:t>万元，</w:t>
      </w:r>
    </w:p>
    <w:p w14:paraId="0653DCC3">
      <w:pPr>
        <w:numPr>
          <w:ilvl w:val="0"/>
          <w:numId w:val="1"/>
        </w:num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支出说明</w:t>
      </w:r>
    </w:p>
    <w:p w14:paraId="61B07655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收支预算总表支出栏、基本支出表、项目支出表按经济分类和支出功能分类科目编制，反映河北省人民代表大会常务委员会办公厅年度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预算中支出预算的总体情况。20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支出预算为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1532</w:t>
      </w:r>
      <w:r>
        <w:rPr>
          <w:rFonts w:hint="eastAsia" w:ascii="仿宋" w:hAnsi="仿宋" w:eastAsia="仿宋" w:cs="仿宋"/>
          <w:sz w:val="30"/>
          <w:szCs w:val="30"/>
        </w:rPr>
        <w:t>万元，其中基本支出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723.39</w:t>
      </w:r>
      <w:r>
        <w:rPr>
          <w:rFonts w:hint="eastAsia" w:ascii="仿宋" w:hAnsi="仿宋" w:eastAsia="仿宋" w:cs="仿宋"/>
          <w:sz w:val="30"/>
          <w:szCs w:val="30"/>
        </w:rPr>
        <w:t>元，包括人员经费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655.89</w:t>
      </w:r>
      <w:r>
        <w:rPr>
          <w:rFonts w:hint="eastAsia" w:ascii="仿宋" w:hAnsi="仿宋" w:eastAsia="仿宋" w:cs="仿宋"/>
          <w:sz w:val="30"/>
          <w:szCs w:val="30"/>
        </w:rPr>
        <w:t>万元和日常公用经费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67.5</w:t>
      </w:r>
      <w:r>
        <w:rPr>
          <w:rFonts w:hint="eastAsia" w:ascii="仿宋" w:hAnsi="仿宋" w:eastAsia="仿宋" w:cs="仿宋"/>
          <w:sz w:val="30"/>
          <w:szCs w:val="30"/>
        </w:rPr>
        <w:t>万元；项目支出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808.61</w:t>
      </w:r>
      <w:r>
        <w:rPr>
          <w:rFonts w:hint="eastAsia" w:ascii="仿宋" w:hAnsi="仿宋" w:eastAsia="仿宋" w:cs="仿宋"/>
          <w:sz w:val="30"/>
          <w:szCs w:val="30"/>
        </w:rPr>
        <w:t>万元，全部为本级支出。</w:t>
      </w:r>
    </w:p>
    <w:p w14:paraId="72B66F47">
      <w:pPr>
        <w:numPr>
          <w:ilvl w:val="0"/>
          <w:numId w:val="1"/>
        </w:num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比上年增减情况</w:t>
      </w:r>
    </w:p>
    <w:p w14:paraId="354D368D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预算较20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减少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120</w:t>
      </w:r>
      <w:r>
        <w:rPr>
          <w:rFonts w:hint="eastAsia" w:ascii="仿宋" w:hAnsi="仿宋" w:eastAsia="仿宋" w:cs="仿宋"/>
          <w:sz w:val="30"/>
          <w:szCs w:val="30"/>
        </w:rPr>
        <w:t>万元，其中：基本支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出增加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9.79</w:t>
      </w:r>
      <w:r>
        <w:rPr>
          <w:rFonts w:hint="eastAsia" w:ascii="仿宋" w:hAnsi="仿宋" w:eastAsia="仿宋" w:cs="仿宋"/>
          <w:sz w:val="30"/>
          <w:szCs w:val="30"/>
        </w:rPr>
        <w:t>万元，主要是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增加在职人员乡镇补贴支出</w:t>
      </w:r>
      <w:r>
        <w:rPr>
          <w:rFonts w:hint="eastAsia" w:ascii="仿宋" w:hAnsi="仿宋" w:eastAsia="仿宋" w:cs="仿宋"/>
          <w:sz w:val="30"/>
          <w:szCs w:val="30"/>
        </w:rPr>
        <w:t>；项目支出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减少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130.27</w:t>
      </w:r>
      <w:r>
        <w:rPr>
          <w:rFonts w:hint="eastAsia" w:ascii="仿宋" w:hAnsi="仿宋" w:eastAsia="仿宋" w:cs="仿宋"/>
          <w:sz w:val="30"/>
          <w:szCs w:val="30"/>
        </w:rPr>
        <w:t>万元，主要是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减少农林水项目</w:t>
      </w:r>
      <w:r>
        <w:rPr>
          <w:rFonts w:hint="eastAsia" w:ascii="仿宋" w:hAnsi="仿宋" w:eastAsia="仿宋" w:cs="仿宋"/>
          <w:sz w:val="30"/>
          <w:szCs w:val="30"/>
        </w:rPr>
        <w:t>支出。</w:t>
      </w:r>
    </w:p>
    <w:p w14:paraId="0C0AD5C4">
      <w:pPr>
        <w:autoSpaceDE w:val="0"/>
        <w:autoSpaceDN w:val="0"/>
        <w:adjustRightInd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三、机关运行经费安排情况</w:t>
      </w:r>
    </w:p>
    <w:p w14:paraId="22C3548C">
      <w:pPr>
        <w:autoSpaceDE w:val="0"/>
        <w:autoSpaceDN w:val="0"/>
        <w:adjustRightInd w:val="0"/>
        <w:ind w:left="198"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机关运行经费共计安排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67.5</w:t>
      </w:r>
      <w:r>
        <w:rPr>
          <w:rFonts w:hint="eastAsia" w:ascii="仿宋" w:hAnsi="仿宋" w:eastAsia="仿宋" w:cs="仿宋"/>
          <w:sz w:val="30"/>
          <w:szCs w:val="30"/>
        </w:rPr>
        <w:t>万元，主要用于保证机关正常运转的办公及印刷费、邮电费、差旅费、会议费、福利费、专用材料及一般设备购置费、办公用房水电费、办公用房取暖费、日常维修费、办公楼物业管理费、公务车运行维护费等支出。</w:t>
      </w:r>
    </w:p>
    <w:p w14:paraId="32CDA6BF">
      <w:pPr>
        <w:autoSpaceDE w:val="0"/>
        <w:autoSpaceDN w:val="0"/>
        <w:adjustRightInd w:val="0"/>
        <w:ind w:left="198"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四、财政拨款“三公”经费预算情况及增减变化原因</w:t>
      </w:r>
    </w:p>
    <w:p w14:paraId="152813F9">
      <w:pPr>
        <w:autoSpaceDE w:val="0"/>
        <w:autoSpaceDN w:val="0"/>
        <w:adjustRightInd w:val="0"/>
        <w:ind w:left="198"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sz w:val="30"/>
          <w:szCs w:val="30"/>
        </w:rPr>
        <w:t>年，财政拨款“三公”经费预算安排10.8万元，其中：因公出国（境）费0万元；公务用车购置及运维费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4.5</w:t>
      </w:r>
      <w:r>
        <w:rPr>
          <w:rFonts w:hint="eastAsia" w:ascii="仿宋" w:hAnsi="仿宋" w:eastAsia="仿宋" w:cs="仿宋"/>
          <w:sz w:val="30"/>
          <w:szCs w:val="30"/>
        </w:rPr>
        <w:t>万元（其中：公务用车购置费0万元，公务用车运行费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4.5</w:t>
      </w:r>
      <w:r>
        <w:rPr>
          <w:rFonts w:hint="eastAsia" w:ascii="仿宋" w:hAnsi="仿宋" w:eastAsia="仿宋" w:cs="仿宋"/>
          <w:sz w:val="30"/>
          <w:szCs w:val="30"/>
        </w:rPr>
        <w:t>万元)；公务接待费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0.5</w:t>
      </w:r>
      <w:r>
        <w:rPr>
          <w:rFonts w:hint="eastAsia" w:ascii="仿宋" w:hAnsi="仿宋" w:eastAsia="仿宋" w:cs="仿宋"/>
          <w:sz w:val="30"/>
          <w:szCs w:val="30"/>
        </w:rPr>
        <w:t>万元。</w:t>
      </w:r>
    </w:p>
    <w:p w14:paraId="53C5A7AC">
      <w:pPr>
        <w:autoSpaceDE w:val="0"/>
        <w:autoSpaceDN w:val="0"/>
        <w:adjustRightInd w:val="0"/>
        <w:ind w:left="198"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五、绩效预算信息</w:t>
      </w:r>
    </w:p>
    <w:p w14:paraId="1A3D5588">
      <w:pPr>
        <w:ind w:firstLine="602" w:firstLineChars="200"/>
        <w:jc w:val="left"/>
        <w:rPr>
          <w:rFonts w:hint="eastAsia" w:ascii="仿宋" w:hAnsi="仿宋" w:eastAsia="仿宋" w:cs="仿宋"/>
          <w:b/>
          <w:sz w:val="30"/>
          <w:szCs w:val="30"/>
        </w:rPr>
      </w:pPr>
      <w:bookmarkStart w:id="0" w:name="_Toc471398463"/>
      <w:r>
        <w:rPr>
          <w:rFonts w:hint="eastAsia" w:ascii="仿宋" w:hAnsi="仿宋" w:eastAsia="仿宋" w:cs="仿宋"/>
          <w:b/>
          <w:sz w:val="30"/>
          <w:szCs w:val="30"/>
        </w:rPr>
        <w:t>总体绩效目标：</w:t>
      </w:r>
    </w:p>
    <w:p w14:paraId="12A759FD"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全面贯彻党的十九大，全面建成小康社会决胜阶段，夺取新时代中国特色社会主义伟大胜利。认真落实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《中华人民共和国预算法》</w:t>
      </w:r>
      <w:r>
        <w:rPr>
          <w:rFonts w:hint="eastAsia" w:ascii="仿宋" w:hAnsi="仿宋" w:eastAsia="仿宋" w:cs="仿宋"/>
          <w:sz w:val="30"/>
          <w:szCs w:val="30"/>
        </w:rPr>
        <w:t>等相关法规，紧紧围绕省市和县委、县政府决策部署，唱响“堂堂正正做人、扎扎实实干事”主旋律，继续实施积极的财政政策并加力增效，坚持协同发展、转型升级、又好又快的工作主基调，继续落实积极财政政策，充分发挥财政资源配置与调控职能，坚持依法理财、规范理财，积极推进财税改革，优化支出结构，创新投入方式，强化绩效导向，精准有效发力，着力促进稳增长、调结构、惠民生、促改革、防风险各项政策落实，为建设经济强县、美丽宁晋提供有力的财力支撑。</w:t>
      </w:r>
    </w:p>
    <w:p w14:paraId="3955631C">
      <w:pPr>
        <w:jc w:val="left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 xml:space="preserve">    职责分类绩效目标：</w:t>
      </w:r>
    </w:p>
    <w:p w14:paraId="1F8B754D">
      <w:pPr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宁晋县换马店镇人民政府按职责分类绩效目标情况说明</w:t>
      </w:r>
    </w:p>
    <w:p w14:paraId="618F2A56">
      <w:pPr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主要包括：依法行使重大决议权和人事任免权；对“一府两院”进行法律监督和工作监督；加强和改进代表工作；加强常委会及机关自身建设；完成县委招商引资、党建、涉法涉诉来信来访、计生、精神文明及县委交办的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其他各项工作</w:t>
      </w:r>
      <w:r>
        <w:rPr>
          <w:rFonts w:hint="eastAsia" w:ascii="仿宋" w:hAnsi="仿宋" w:eastAsia="仿宋" w:cs="仿宋"/>
          <w:sz w:val="30"/>
          <w:szCs w:val="30"/>
        </w:rPr>
        <w:t>；实现职责目标的主要措施：依法组织召开“三会”；适时组织开展调研、视察和执法检查，听取并审议专项工作、询问等。</w:t>
      </w:r>
    </w:p>
    <w:p w14:paraId="56C7B302">
      <w:pPr>
        <w:ind w:firstLine="56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实现本年度规划目标的保障措施</w:t>
      </w:r>
    </w:p>
    <w:p w14:paraId="78E38C74">
      <w:pPr>
        <w:ind w:firstLine="600" w:firstLineChars="200"/>
        <w:jc w:val="left"/>
        <w:outlineLvl w:val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实现年度发展规划主要规划主要依照宪法和监督法、代表法、组织法等法律法规，围绕县委重大决策战略部署和人民代表大会决议决策为依据和保障。其资金配置全部为县财政拨款方式。</w:t>
      </w:r>
    </w:p>
    <w:p w14:paraId="1AAE751E">
      <w:pPr>
        <w:ind w:firstLine="602" w:firstLineChars="200"/>
        <w:jc w:val="left"/>
        <w:outlineLvl w:val="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b/>
          <w:sz w:val="30"/>
          <w:szCs w:val="30"/>
        </w:rPr>
        <w:t>职责及工作活动绩效目标指标：</w:t>
      </w:r>
    </w:p>
    <w:p w14:paraId="61D7420D">
      <w:pPr>
        <w:jc w:val="center"/>
        <w:outlineLvl w:val="0"/>
        <w:rPr>
          <w:rFonts w:hint="eastAsia" w:ascii="仿宋" w:hAnsi="仿宋" w:eastAsia="仿宋" w:cs="仿宋"/>
          <w:sz w:val="30"/>
          <w:szCs w:val="30"/>
        </w:rPr>
      </w:pPr>
    </w:p>
    <w:bookmarkEnd w:id="0"/>
    <w:p w14:paraId="5D92728C">
      <w:pPr>
        <w:jc w:val="center"/>
        <w:outlineLvl w:val="0"/>
        <w:rPr>
          <w:rFonts w:hint="eastAsia" w:ascii="仿宋" w:hAnsi="仿宋" w:eastAsia="仿宋" w:cs="仿宋"/>
          <w:sz w:val="30"/>
          <w:szCs w:val="30"/>
        </w:rPr>
      </w:pPr>
      <w:bookmarkStart w:id="1" w:name="_Toc471233074"/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职责-工作活动绩效目标</w:t>
      </w:r>
      <w:bookmarkEnd w:id="1"/>
    </w:p>
    <w:tbl>
      <w:tblPr>
        <w:tblStyle w:val="6"/>
        <w:tblW w:w="1393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536"/>
        <w:gridCol w:w="2459"/>
        <w:gridCol w:w="2459"/>
        <w:gridCol w:w="1321"/>
        <w:gridCol w:w="1096"/>
        <w:gridCol w:w="876"/>
        <w:gridCol w:w="1096"/>
        <w:gridCol w:w="1096"/>
      </w:tblGrid>
      <w:tr w14:paraId="202348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tblHeader/>
          <w:jc w:val="center"/>
        </w:trPr>
        <w:tc>
          <w:tcPr>
            <w:tcW w:w="9770" w:type="dxa"/>
            <w:gridSpan w:val="5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11CB5872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964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001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宁晋县换马店镇人民政府</w:t>
            </w:r>
          </w:p>
        </w:tc>
        <w:tc>
          <w:tcPr>
            <w:tcW w:w="4164" w:type="dxa"/>
            <w:gridSpan w:val="4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3915003C">
            <w:pPr>
              <w:spacing w:line="300" w:lineRule="exact"/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单位：万元</w:t>
            </w:r>
          </w:p>
        </w:tc>
      </w:tr>
      <w:tr w14:paraId="20CE1C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tblHeader/>
          <w:jc w:val="center"/>
        </w:trPr>
        <w:tc>
          <w:tcPr>
            <w:tcW w:w="1995" w:type="dxa"/>
            <w:vMerge w:val="restart"/>
            <w:vAlign w:val="center"/>
          </w:tcPr>
          <w:p w14:paraId="1CE8ACA0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职责活动</w:t>
            </w:r>
          </w:p>
        </w:tc>
        <w:tc>
          <w:tcPr>
            <w:tcW w:w="1536" w:type="dxa"/>
            <w:vMerge w:val="restart"/>
            <w:vAlign w:val="center"/>
          </w:tcPr>
          <w:p w14:paraId="2A017072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年度预算数</w:t>
            </w:r>
          </w:p>
        </w:tc>
        <w:tc>
          <w:tcPr>
            <w:tcW w:w="2459" w:type="dxa"/>
            <w:vMerge w:val="restart"/>
            <w:vAlign w:val="center"/>
          </w:tcPr>
          <w:p w14:paraId="52748A78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内容描述</w:t>
            </w:r>
          </w:p>
        </w:tc>
        <w:tc>
          <w:tcPr>
            <w:tcW w:w="2459" w:type="dxa"/>
            <w:vMerge w:val="restart"/>
            <w:vAlign w:val="center"/>
          </w:tcPr>
          <w:p w14:paraId="56AC0634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绩效目标</w:t>
            </w:r>
          </w:p>
        </w:tc>
        <w:tc>
          <w:tcPr>
            <w:tcW w:w="1321" w:type="dxa"/>
            <w:vMerge w:val="restart"/>
            <w:vAlign w:val="center"/>
          </w:tcPr>
          <w:p w14:paraId="70A6D564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绩效指标</w:t>
            </w:r>
          </w:p>
        </w:tc>
        <w:tc>
          <w:tcPr>
            <w:tcW w:w="4164" w:type="dxa"/>
            <w:gridSpan w:val="4"/>
            <w:vAlign w:val="center"/>
          </w:tcPr>
          <w:p w14:paraId="664A1CD0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评价标准</w:t>
            </w:r>
          </w:p>
        </w:tc>
      </w:tr>
      <w:tr w14:paraId="529C7C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tblHeader/>
          <w:jc w:val="center"/>
        </w:trPr>
        <w:tc>
          <w:tcPr>
            <w:tcW w:w="1995" w:type="dxa"/>
            <w:vMerge w:val="continue"/>
            <w:vAlign w:val="center"/>
          </w:tcPr>
          <w:p w14:paraId="309BF3A1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36" w:type="dxa"/>
            <w:vMerge w:val="continue"/>
            <w:vAlign w:val="center"/>
          </w:tcPr>
          <w:p w14:paraId="1E8F7985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459" w:type="dxa"/>
            <w:vMerge w:val="continue"/>
            <w:vAlign w:val="center"/>
          </w:tcPr>
          <w:p w14:paraId="250A0685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459" w:type="dxa"/>
            <w:vMerge w:val="continue"/>
            <w:vAlign w:val="center"/>
          </w:tcPr>
          <w:p w14:paraId="3F99F0DC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321" w:type="dxa"/>
            <w:vMerge w:val="continue"/>
            <w:vAlign w:val="center"/>
          </w:tcPr>
          <w:p w14:paraId="79B64E98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13576889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优</w:t>
            </w:r>
          </w:p>
        </w:tc>
        <w:tc>
          <w:tcPr>
            <w:tcW w:w="876" w:type="dxa"/>
            <w:vAlign w:val="center"/>
          </w:tcPr>
          <w:p w14:paraId="0345E2F3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良</w:t>
            </w:r>
          </w:p>
        </w:tc>
        <w:tc>
          <w:tcPr>
            <w:tcW w:w="1096" w:type="dxa"/>
            <w:vAlign w:val="center"/>
          </w:tcPr>
          <w:p w14:paraId="451E2620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中</w:t>
            </w:r>
          </w:p>
        </w:tc>
        <w:tc>
          <w:tcPr>
            <w:tcW w:w="1096" w:type="dxa"/>
            <w:vAlign w:val="center"/>
          </w:tcPr>
          <w:p w14:paraId="45E50EA8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差</w:t>
            </w:r>
          </w:p>
        </w:tc>
      </w:tr>
      <w:tr w14:paraId="443646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vAlign w:val="center"/>
          </w:tcPr>
          <w:p w14:paraId="1B983EC4">
            <w:pPr>
              <w:spacing w:line="300" w:lineRule="exact"/>
              <w:jc w:val="lef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党政办公室</w:t>
            </w:r>
          </w:p>
        </w:tc>
        <w:tc>
          <w:tcPr>
            <w:tcW w:w="1536" w:type="dxa"/>
            <w:vAlign w:val="center"/>
          </w:tcPr>
          <w:p w14:paraId="76C93B6C">
            <w:pPr>
              <w:spacing w:line="300" w:lineRule="exact"/>
              <w:jc w:val="left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517</w:t>
            </w:r>
          </w:p>
        </w:tc>
        <w:tc>
          <w:tcPr>
            <w:tcW w:w="2459" w:type="dxa"/>
            <w:vAlign w:val="center"/>
          </w:tcPr>
          <w:p w14:paraId="111289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协助党委、政府处理日常工作，负责政治学习，政务活动宣传工作和精神文明建设，做好组织、干部机构编制、认识、档案管理、政务公开工作；负责农村党组织建设工作；负责农村干部、党员教育、培训管理负责人大主席团日常事务工作</w:t>
            </w:r>
          </w:p>
        </w:tc>
        <w:tc>
          <w:tcPr>
            <w:tcW w:w="2459" w:type="dxa"/>
            <w:vAlign w:val="center"/>
          </w:tcPr>
          <w:p w14:paraId="5C12E7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321" w:type="dxa"/>
            <w:vAlign w:val="center"/>
          </w:tcPr>
          <w:p w14:paraId="1D696F2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0A35155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76" w:type="dxa"/>
            <w:vAlign w:val="center"/>
          </w:tcPr>
          <w:p w14:paraId="752CE9B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210251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2A81722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23811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vAlign w:val="center"/>
          </w:tcPr>
          <w:p w14:paraId="5448A6A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综合事务管理</w:t>
            </w:r>
          </w:p>
        </w:tc>
        <w:tc>
          <w:tcPr>
            <w:tcW w:w="1536" w:type="dxa"/>
            <w:vAlign w:val="center"/>
          </w:tcPr>
          <w:p w14:paraId="66E56A92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512.5</w:t>
            </w:r>
          </w:p>
        </w:tc>
        <w:tc>
          <w:tcPr>
            <w:tcW w:w="2459" w:type="dxa"/>
            <w:vAlign w:val="center"/>
          </w:tcPr>
          <w:p w14:paraId="0DAB605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协助党委、政府处理日常工作，负责政治学习，政务活动宣传工作和精神文明建设，做好组织、干部机构编制、认识、档案管理、政务公开工作；负责农村党组织建设工作；负责农村干部、党员教育、培训管理负责人大主席团日常事务工作</w:t>
            </w:r>
          </w:p>
        </w:tc>
        <w:tc>
          <w:tcPr>
            <w:tcW w:w="2459" w:type="dxa"/>
            <w:vAlign w:val="center"/>
          </w:tcPr>
          <w:p w14:paraId="003A5A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保障机关工作正常高效运转。</w:t>
            </w:r>
          </w:p>
        </w:tc>
        <w:tc>
          <w:tcPr>
            <w:tcW w:w="1321" w:type="dxa"/>
            <w:vAlign w:val="center"/>
          </w:tcPr>
          <w:p w14:paraId="18BB38E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综合事务工作完成率</w:t>
            </w:r>
          </w:p>
        </w:tc>
        <w:tc>
          <w:tcPr>
            <w:tcW w:w="1096" w:type="dxa"/>
            <w:vAlign w:val="center"/>
          </w:tcPr>
          <w:p w14:paraId="3525375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98%</w:t>
            </w:r>
          </w:p>
        </w:tc>
        <w:tc>
          <w:tcPr>
            <w:tcW w:w="876" w:type="dxa"/>
            <w:vAlign w:val="center"/>
          </w:tcPr>
          <w:p w14:paraId="3EB305D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≥95%</w:t>
            </w:r>
          </w:p>
        </w:tc>
        <w:tc>
          <w:tcPr>
            <w:tcW w:w="1096" w:type="dxa"/>
            <w:vAlign w:val="center"/>
          </w:tcPr>
          <w:p w14:paraId="3D859E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≥90%</w:t>
            </w:r>
          </w:p>
        </w:tc>
        <w:tc>
          <w:tcPr>
            <w:tcW w:w="1096" w:type="dxa"/>
            <w:vAlign w:val="center"/>
          </w:tcPr>
          <w:p w14:paraId="4CCC014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&lt;90%</w:t>
            </w:r>
          </w:p>
        </w:tc>
      </w:tr>
      <w:tr w14:paraId="37A958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vAlign w:val="center"/>
          </w:tcPr>
          <w:p w14:paraId="13A6B74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人大会议</w:t>
            </w:r>
          </w:p>
        </w:tc>
        <w:tc>
          <w:tcPr>
            <w:tcW w:w="1536" w:type="dxa"/>
            <w:vAlign w:val="center"/>
          </w:tcPr>
          <w:p w14:paraId="73F1770B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4.5</w:t>
            </w:r>
          </w:p>
        </w:tc>
        <w:tc>
          <w:tcPr>
            <w:tcW w:w="2459" w:type="dxa"/>
            <w:vAlign w:val="center"/>
          </w:tcPr>
          <w:p w14:paraId="0C140A8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协助党委、政府处理日常工作，负责政治学习，政务活动宣传工作和精神文明建设，做好组织、干部机构编制、认识、档案管理、政务公开工作；负责农村党组织建设工作；负责农村干部、党员教育、培训管理负责人大主席团日常事务工作</w:t>
            </w:r>
          </w:p>
        </w:tc>
        <w:tc>
          <w:tcPr>
            <w:tcW w:w="2459" w:type="dxa"/>
            <w:vAlign w:val="center"/>
          </w:tcPr>
          <w:p w14:paraId="2E7276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完善各项会议制度，规范会议程序，提高会议质量，提高人大代表及常委会审议水平。</w:t>
            </w:r>
          </w:p>
        </w:tc>
        <w:tc>
          <w:tcPr>
            <w:tcW w:w="1321" w:type="dxa"/>
            <w:vAlign w:val="center"/>
          </w:tcPr>
          <w:p w14:paraId="05FAD22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会议筹备及会务工作的完成率</w:t>
            </w:r>
          </w:p>
        </w:tc>
        <w:tc>
          <w:tcPr>
            <w:tcW w:w="1096" w:type="dxa"/>
            <w:vAlign w:val="center"/>
          </w:tcPr>
          <w:p w14:paraId="31FB309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≥95%</w:t>
            </w:r>
          </w:p>
        </w:tc>
        <w:tc>
          <w:tcPr>
            <w:tcW w:w="876" w:type="dxa"/>
            <w:vAlign w:val="center"/>
          </w:tcPr>
          <w:p w14:paraId="692CDC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≥90%</w:t>
            </w:r>
          </w:p>
        </w:tc>
        <w:tc>
          <w:tcPr>
            <w:tcW w:w="1096" w:type="dxa"/>
            <w:vAlign w:val="center"/>
          </w:tcPr>
          <w:p w14:paraId="5C61876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&lt;90%</w:t>
            </w:r>
          </w:p>
        </w:tc>
        <w:tc>
          <w:tcPr>
            <w:tcW w:w="1096" w:type="dxa"/>
            <w:vAlign w:val="center"/>
          </w:tcPr>
          <w:p w14:paraId="1E6B5830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</w:tr>
      <w:tr w14:paraId="583776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vAlign w:val="center"/>
          </w:tcPr>
          <w:p w14:paraId="192A52C0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</w:rPr>
              <w:t>社会事务办公室</w:t>
            </w:r>
          </w:p>
        </w:tc>
        <w:tc>
          <w:tcPr>
            <w:tcW w:w="1536" w:type="dxa"/>
            <w:vAlign w:val="center"/>
          </w:tcPr>
          <w:p w14:paraId="1C49340D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8.6</w:t>
            </w:r>
          </w:p>
        </w:tc>
        <w:tc>
          <w:tcPr>
            <w:tcW w:w="2459" w:type="dxa"/>
            <w:vAlign w:val="center"/>
          </w:tcPr>
          <w:p w14:paraId="526DF58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主管拥军优属、救灾救济、“五保”低保等社会福利事业工作，主管劳动力资源管理，就业服务，社会养老保险，农村合作医疗等社会保障工作，主管婚姻登记，殡葬改革和妇女儿童权益保护，负责民族、宗教、残疾人工作。负责教育、文化、卫生、食品药品、广播电视工作、推进基层政权建设和基层群众性自治组织建设和村民自治活动。</w:t>
            </w:r>
          </w:p>
        </w:tc>
        <w:tc>
          <w:tcPr>
            <w:tcW w:w="2459" w:type="dxa"/>
            <w:vAlign w:val="center"/>
          </w:tcPr>
          <w:p w14:paraId="4D0D45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  <w:p w14:paraId="0421F3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21" w:type="dxa"/>
            <w:vAlign w:val="center"/>
          </w:tcPr>
          <w:p w14:paraId="2BF98B5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7D323B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6" w:type="dxa"/>
            <w:vAlign w:val="center"/>
          </w:tcPr>
          <w:p w14:paraId="18879B8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0FD97FD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76F8146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</w:tr>
      <w:tr w14:paraId="3440E3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3" w:hRule="atLeast"/>
          <w:jc w:val="center"/>
        </w:trPr>
        <w:tc>
          <w:tcPr>
            <w:tcW w:w="1995" w:type="dxa"/>
            <w:vAlign w:val="center"/>
          </w:tcPr>
          <w:p w14:paraId="2CF0A6D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安全生产监管</w:t>
            </w:r>
          </w:p>
        </w:tc>
        <w:tc>
          <w:tcPr>
            <w:tcW w:w="1536" w:type="dxa"/>
            <w:vAlign w:val="center"/>
          </w:tcPr>
          <w:p w14:paraId="6315A9D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8.6</w:t>
            </w:r>
          </w:p>
        </w:tc>
        <w:tc>
          <w:tcPr>
            <w:tcW w:w="2459" w:type="dxa"/>
            <w:vAlign w:val="center"/>
          </w:tcPr>
          <w:p w14:paraId="6258CA8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主管拥军优属、救灾救济、“五保”低保等社会福利事业工作，主管劳动力资源管理，就业服务，社会养老保险，农村合作医疗等社会保障工作，主管婚姻登记，殡葬改革和妇女儿童权益保护，负责民族、宗教、残疾人工作。负责教育、文化、卫生、食品药品、广播电视工作、推进基层政权建设和基层群众性自治</w:t>
            </w:r>
          </w:p>
        </w:tc>
        <w:tc>
          <w:tcPr>
            <w:tcW w:w="2459" w:type="dxa"/>
            <w:vAlign w:val="center"/>
          </w:tcPr>
          <w:p w14:paraId="1AD4D61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确保生产、流通、消费环节和保健食品不出现重大事故</w:t>
            </w:r>
          </w:p>
        </w:tc>
        <w:tc>
          <w:tcPr>
            <w:tcW w:w="1321" w:type="dxa"/>
            <w:vAlign w:val="center"/>
          </w:tcPr>
          <w:p w14:paraId="3B1C5F8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餐饮业、食堂、企业等费安全信息监测覆盖面</w:t>
            </w:r>
          </w:p>
        </w:tc>
        <w:tc>
          <w:tcPr>
            <w:tcW w:w="1096" w:type="dxa"/>
            <w:vAlign w:val="center"/>
          </w:tcPr>
          <w:p w14:paraId="7EA37A8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≥90%</w:t>
            </w:r>
          </w:p>
        </w:tc>
        <w:tc>
          <w:tcPr>
            <w:tcW w:w="876" w:type="dxa"/>
            <w:vAlign w:val="center"/>
          </w:tcPr>
          <w:p w14:paraId="4712A6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≥85%</w:t>
            </w:r>
          </w:p>
        </w:tc>
        <w:tc>
          <w:tcPr>
            <w:tcW w:w="1096" w:type="dxa"/>
            <w:vAlign w:val="center"/>
          </w:tcPr>
          <w:p w14:paraId="3BCF2A2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≥80%</w:t>
            </w:r>
          </w:p>
        </w:tc>
        <w:tc>
          <w:tcPr>
            <w:tcW w:w="1096" w:type="dxa"/>
            <w:vAlign w:val="center"/>
          </w:tcPr>
          <w:p w14:paraId="6494375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＜80%</w:t>
            </w:r>
          </w:p>
        </w:tc>
      </w:tr>
      <w:tr w14:paraId="2936A6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1995" w:type="dxa"/>
            <w:shd w:val="clear" w:color="auto" w:fill="auto"/>
            <w:vAlign w:val="center"/>
          </w:tcPr>
          <w:p w14:paraId="0FBDE0D2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</w:rPr>
              <w:t>经济发展办公室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8914654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8.03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19CD16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综合管理财政收支、编制财政计划、制定财政预算草案和审编年度决算；负责农村财政财务管理、审计、监督及农村财会人员的指导培训工作。承担经济发展的协调服务和村集体经济建设等工作；负责对外招商引资工作，引进人才、技术、项目工作；负责组织各项经济统计和相关经济普查工作。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398BAB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21" w:type="dxa"/>
            <w:shd w:val="clear" w:color="auto" w:fill="FFFFFF"/>
            <w:vAlign w:val="center"/>
          </w:tcPr>
          <w:p w14:paraId="4836B3C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0CB9BF9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6" w:type="dxa"/>
            <w:vAlign w:val="center"/>
          </w:tcPr>
          <w:p w14:paraId="450D5C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6E8924D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5D4462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</w:tr>
      <w:tr w14:paraId="45B83A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vAlign w:val="center"/>
          </w:tcPr>
          <w:p w14:paraId="63569C6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农村财务管理</w:t>
            </w:r>
          </w:p>
        </w:tc>
        <w:tc>
          <w:tcPr>
            <w:tcW w:w="1536" w:type="dxa"/>
            <w:vAlign w:val="center"/>
          </w:tcPr>
          <w:p w14:paraId="61746D2E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7.53</w:t>
            </w:r>
          </w:p>
        </w:tc>
        <w:tc>
          <w:tcPr>
            <w:tcW w:w="2459" w:type="dxa"/>
            <w:vAlign w:val="center"/>
          </w:tcPr>
          <w:p w14:paraId="7870708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综合管理财政收支、编制财政计划、制定财政预算草案和审编年度决算；负责农村财政财务管理、审计、监督及农村财会人员的指导培训工作。承担经济发展的协调服务和村集体经济建设等工作；负责对外招商引资工作，引进人才、技术、项目工作；负责组织各项经济统计和相关经济普查工作。</w:t>
            </w:r>
          </w:p>
        </w:tc>
        <w:tc>
          <w:tcPr>
            <w:tcW w:w="2459" w:type="dxa"/>
            <w:vAlign w:val="center"/>
          </w:tcPr>
          <w:p w14:paraId="4B30C0F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负责农村财务管理工作。通过对农村财务审计监督及农村会计人员的指导培训，维护国家财政经济秩序，促进廉政建设，保障国民经济的健康运行。</w:t>
            </w:r>
          </w:p>
        </w:tc>
        <w:tc>
          <w:tcPr>
            <w:tcW w:w="1321" w:type="dxa"/>
            <w:vAlign w:val="center"/>
          </w:tcPr>
          <w:p w14:paraId="76C7C86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审计、监督落实率和培训覆盖率</w:t>
            </w:r>
          </w:p>
        </w:tc>
        <w:tc>
          <w:tcPr>
            <w:tcW w:w="1096" w:type="dxa"/>
            <w:vAlign w:val="center"/>
          </w:tcPr>
          <w:p w14:paraId="3419D11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≥90%</w:t>
            </w:r>
          </w:p>
        </w:tc>
        <w:tc>
          <w:tcPr>
            <w:tcW w:w="876" w:type="dxa"/>
            <w:vAlign w:val="center"/>
          </w:tcPr>
          <w:p w14:paraId="755F57B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≥80%</w:t>
            </w:r>
          </w:p>
        </w:tc>
        <w:tc>
          <w:tcPr>
            <w:tcW w:w="1096" w:type="dxa"/>
            <w:vAlign w:val="center"/>
          </w:tcPr>
          <w:p w14:paraId="4E3432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≥70%</w:t>
            </w:r>
          </w:p>
        </w:tc>
        <w:tc>
          <w:tcPr>
            <w:tcW w:w="1096" w:type="dxa"/>
            <w:vAlign w:val="center"/>
          </w:tcPr>
          <w:p w14:paraId="022416C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&lt;70%</w:t>
            </w:r>
          </w:p>
        </w:tc>
      </w:tr>
      <w:tr w14:paraId="69CF97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vAlign w:val="center"/>
          </w:tcPr>
          <w:p w14:paraId="1673169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财政所事务</w:t>
            </w:r>
          </w:p>
        </w:tc>
        <w:tc>
          <w:tcPr>
            <w:tcW w:w="1536" w:type="dxa"/>
            <w:vAlign w:val="center"/>
          </w:tcPr>
          <w:p w14:paraId="50A4A3C0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0.5</w:t>
            </w:r>
          </w:p>
        </w:tc>
        <w:tc>
          <w:tcPr>
            <w:tcW w:w="2459" w:type="dxa"/>
            <w:vAlign w:val="center"/>
          </w:tcPr>
          <w:p w14:paraId="7B1A92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综合管理财政收支、编制财政计划、制定财政预算草案和审编年度决算；负责农村财政财务管理、审计、监督及农村财会人员的指导培训工作。承担经济发展的协调服务和村集体经济建设等工作；负责对外招商引资工作，引进人才、技术、项目工作；负责组织各项经济统计和相关经济普查工作。</w:t>
            </w:r>
          </w:p>
        </w:tc>
        <w:tc>
          <w:tcPr>
            <w:tcW w:w="2459" w:type="dxa"/>
            <w:vAlign w:val="center"/>
          </w:tcPr>
          <w:p w14:paraId="3D480A3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落实国家、省财税改革和上级县委县政府重大决策部署,加强税收征管；提高纳税人遵从度，提升地税系统形象。</w:t>
            </w:r>
          </w:p>
        </w:tc>
        <w:tc>
          <w:tcPr>
            <w:tcW w:w="1321" w:type="dxa"/>
            <w:vAlign w:val="center"/>
          </w:tcPr>
          <w:p w14:paraId="6F3911E1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宣传任务完成率</w:t>
            </w:r>
          </w:p>
        </w:tc>
        <w:tc>
          <w:tcPr>
            <w:tcW w:w="1096" w:type="dxa"/>
            <w:vAlign w:val="center"/>
          </w:tcPr>
          <w:p w14:paraId="1244C3F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100%</w:t>
            </w:r>
          </w:p>
        </w:tc>
        <w:tc>
          <w:tcPr>
            <w:tcW w:w="876" w:type="dxa"/>
            <w:vAlign w:val="center"/>
          </w:tcPr>
          <w:p w14:paraId="3D3B28C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≥95%</w:t>
            </w:r>
          </w:p>
        </w:tc>
        <w:tc>
          <w:tcPr>
            <w:tcW w:w="1096" w:type="dxa"/>
            <w:vAlign w:val="center"/>
          </w:tcPr>
          <w:p w14:paraId="739DB4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≥90%</w:t>
            </w:r>
          </w:p>
        </w:tc>
        <w:tc>
          <w:tcPr>
            <w:tcW w:w="1096" w:type="dxa"/>
            <w:vAlign w:val="center"/>
          </w:tcPr>
          <w:p w14:paraId="708D7E5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＜90%</w:t>
            </w:r>
          </w:p>
        </w:tc>
      </w:tr>
      <w:tr w14:paraId="247977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shd w:val="clear" w:color="auto" w:fill="FFFFFF"/>
            <w:vAlign w:val="center"/>
          </w:tcPr>
          <w:p w14:paraId="17B4FEF8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</w:rPr>
              <w:t>综合治理办公室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AEAB6C3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7.7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6B09D1F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组织、支持、协调公安派出所、人民法庭、司法所等政法基层住址开展综合治理工作，充分发挥其职能作用；指导、检查、监督基层党支部、村委会和辖区内的企事业单位开展社会治安综合治理工作；搞好普法教育、民事调解、民间纠纷排查；做好来人信访工作。</w:t>
            </w:r>
          </w:p>
        </w:tc>
        <w:tc>
          <w:tcPr>
            <w:tcW w:w="2459" w:type="dxa"/>
            <w:shd w:val="clear" w:color="auto" w:fill="FFFFFF"/>
            <w:vAlign w:val="center"/>
          </w:tcPr>
          <w:p w14:paraId="0143B7A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21" w:type="dxa"/>
            <w:shd w:val="clear" w:color="auto" w:fill="FFFFFF"/>
            <w:vAlign w:val="center"/>
          </w:tcPr>
          <w:p w14:paraId="3C7D505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47815218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6" w:type="dxa"/>
            <w:vAlign w:val="center"/>
          </w:tcPr>
          <w:p w14:paraId="218ECDA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0CC8473B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3D13409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</w:tr>
      <w:tr w14:paraId="268FF2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shd w:val="clear" w:color="auto" w:fill="FFFFFF"/>
            <w:vAlign w:val="center"/>
          </w:tcPr>
          <w:p w14:paraId="6A09AE6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综合治理（武装活动）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FC541C6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5.7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6ADEB6E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组织、支持、协调公安派出所、人民法庭、司法所等政法基层住址开展综合治理工作，充分发挥其职能作用；指导、检查、监督基层党支部、村委会和辖区内的企事业单位开展社会治安综合治理工作；搞好普法教育、民事调解、民间纠纷排查；做好来人信访工作。</w:t>
            </w:r>
          </w:p>
        </w:tc>
        <w:tc>
          <w:tcPr>
            <w:tcW w:w="2459" w:type="dxa"/>
            <w:shd w:val="clear" w:color="auto" w:fill="FFFFFF"/>
            <w:vAlign w:val="center"/>
          </w:tcPr>
          <w:p w14:paraId="68D559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实现政治安定、社会稳定和人民生活和谐有序。</w:t>
            </w:r>
          </w:p>
        </w:tc>
        <w:tc>
          <w:tcPr>
            <w:tcW w:w="1321" w:type="dxa"/>
            <w:shd w:val="clear" w:color="auto" w:fill="FFFFFF"/>
            <w:vAlign w:val="center"/>
          </w:tcPr>
          <w:p w14:paraId="33C909B1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4D45C7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≥95%</w:t>
            </w:r>
          </w:p>
        </w:tc>
        <w:tc>
          <w:tcPr>
            <w:tcW w:w="876" w:type="dxa"/>
            <w:vAlign w:val="center"/>
          </w:tcPr>
          <w:p w14:paraId="2C681CAF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588FB31A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42FBDCC5"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</w:tr>
      <w:tr w14:paraId="443F8E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vAlign w:val="center"/>
          </w:tcPr>
          <w:p w14:paraId="480C015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信访业务办理</w:t>
            </w:r>
          </w:p>
        </w:tc>
        <w:tc>
          <w:tcPr>
            <w:tcW w:w="1536" w:type="dxa"/>
            <w:vAlign w:val="center"/>
          </w:tcPr>
          <w:p w14:paraId="3B1D88D4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2459" w:type="dxa"/>
            <w:vAlign w:val="center"/>
          </w:tcPr>
          <w:p w14:paraId="6DFBBA9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组织、支持、协调公安派出所、人民法庭、司法所等政法基层住址开展综合治理工作，充分发挥其职能作用；指导、检查、监督基层党支部、村委会和辖区内的企事业单位开展社会治安综合治理工作；搞好普法教育、民事调解、民间纠纷排查；做好来人信访工作。</w:t>
            </w:r>
          </w:p>
        </w:tc>
        <w:tc>
          <w:tcPr>
            <w:tcW w:w="2459" w:type="dxa"/>
            <w:vAlign w:val="center"/>
          </w:tcPr>
          <w:p w14:paraId="74AC169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畅通信访渠道，提高信访事项办理质量和效率。</w:t>
            </w:r>
          </w:p>
        </w:tc>
        <w:tc>
          <w:tcPr>
            <w:tcW w:w="1321" w:type="dxa"/>
            <w:vAlign w:val="center"/>
          </w:tcPr>
          <w:p w14:paraId="2C7068E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信访事项按期结案率</w:t>
            </w:r>
          </w:p>
        </w:tc>
        <w:tc>
          <w:tcPr>
            <w:tcW w:w="1096" w:type="dxa"/>
            <w:vAlign w:val="center"/>
          </w:tcPr>
          <w:p w14:paraId="512A2D9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≥80%</w:t>
            </w:r>
          </w:p>
        </w:tc>
        <w:tc>
          <w:tcPr>
            <w:tcW w:w="876" w:type="dxa"/>
            <w:vAlign w:val="center"/>
          </w:tcPr>
          <w:p w14:paraId="4D8D5BA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≥75%</w:t>
            </w:r>
          </w:p>
        </w:tc>
        <w:tc>
          <w:tcPr>
            <w:tcW w:w="1096" w:type="dxa"/>
            <w:vAlign w:val="center"/>
          </w:tcPr>
          <w:p w14:paraId="0F0437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≥70%</w:t>
            </w:r>
          </w:p>
        </w:tc>
        <w:tc>
          <w:tcPr>
            <w:tcW w:w="1096" w:type="dxa"/>
            <w:vAlign w:val="center"/>
          </w:tcPr>
          <w:p w14:paraId="3291F7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&lt;70%</w:t>
            </w:r>
          </w:p>
        </w:tc>
      </w:tr>
      <w:tr w14:paraId="3AA547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vAlign w:val="center"/>
          </w:tcPr>
          <w:p w14:paraId="5BFFAD6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  <w:lang w:eastAsia="zh-CN"/>
              </w:rPr>
              <w:t>卫生计生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</w:rPr>
              <w:t>办公室</w:t>
            </w:r>
          </w:p>
        </w:tc>
        <w:tc>
          <w:tcPr>
            <w:tcW w:w="1536" w:type="dxa"/>
            <w:vAlign w:val="center"/>
          </w:tcPr>
          <w:p w14:paraId="1B3410C5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100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.03</w:t>
            </w:r>
          </w:p>
        </w:tc>
        <w:tc>
          <w:tcPr>
            <w:tcW w:w="2459" w:type="dxa"/>
            <w:vAlign w:val="center"/>
          </w:tcPr>
          <w:p w14:paraId="54D2094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贯彻执行党和国家计划生育政策、法规、制定有关管理办法和实施细则，并组织实施；负责编制人口发展长期和年度计划，完成上级下达的人口计划和目标；负责本级与村级计划生育组织建设和计划生育服务的综合管理；负责指导、监督各村、社区基层计划生育组织的工作；归口管理计划生育服务中心、计划生育协会等机构；对违法生育情况进行立案并征收社会抚养费；协调有关部门对计划生育工作实行综合治理等</w:t>
            </w:r>
          </w:p>
        </w:tc>
        <w:tc>
          <w:tcPr>
            <w:tcW w:w="2459" w:type="dxa"/>
            <w:vAlign w:val="center"/>
          </w:tcPr>
          <w:p w14:paraId="3297E27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21" w:type="dxa"/>
            <w:vAlign w:val="center"/>
          </w:tcPr>
          <w:p w14:paraId="5E43913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0E1F46F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6" w:type="dxa"/>
            <w:vAlign w:val="center"/>
          </w:tcPr>
          <w:p w14:paraId="571655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4F364B3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6493555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</w:tr>
      <w:tr w14:paraId="06768D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8" w:hRule="atLeast"/>
          <w:jc w:val="center"/>
        </w:trPr>
        <w:tc>
          <w:tcPr>
            <w:tcW w:w="1995" w:type="dxa"/>
            <w:vAlign w:val="center"/>
          </w:tcPr>
          <w:p w14:paraId="49BB085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  <w:lang w:eastAsia="zh-CN"/>
              </w:rPr>
              <w:t>卫生计生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指导与管理</w:t>
            </w:r>
          </w:p>
        </w:tc>
        <w:tc>
          <w:tcPr>
            <w:tcW w:w="1536" w:type="dxa"/>
            <w:vAlign w:val="center"/>
          </w:tcPr>
          <w:p w14:paraId="3341A67D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100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.03</w:t>
            </w:r>
          </w:p>
        </w:tc>
        <w:tc>
          <w:tcPr>
            <w:tcW w:w="2459" w:type="dxa"/>
            <w:vAlign w:val="center"/>
          </w:tcPr>
          <w:p w14:paraId="07C3F3B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贯彻执行党和国家计划生育政策、法规、制定有关管理办法和实施细则，并组织实施；负责编制人口发展长期和年度计划，完成上级下达的人口计划和目标；负责本级与村级计划生育组织建设和计划生育服务的综合管理；负责指导、监督各村、社区基层计划生育组织的工作；归口管理计划生育服务中心、计划生育协会等机构；对违法生育情况进行立案并征收社会抚养费；协调有关部门对计划生育工作实行综合治理等</w:t>
            </w:r>
          </w:p>
        </w:tc>
        <w:tc>
          <w:tcPr>
            <w:tcW w:w="2459" w:type="dxa"/>
            <w:vAlign w:val="center"/>
          </w:tcPr>
          <w:p w14:paraId="3C50E3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计生合同制临时人员、村计生专人员工资。</w:t>
            </w:r>
          </w:p>
        </w:tc>
        <w:tc>
          <w:tcPr>
            <w:tcW w:w="1321" w:type="dxa"/>
            <w:vAlign w:val="center"/>
          </w:tcPr>
          <w:p w14:paraId="234389B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改工资发放率</w:t>
            </w:r>
          </w:p>
        </w:tc>
        <w:tc>
          <w:tcPr>
            <w:tcW w:w="1096" w:type="dxa"/>
            <w:vAlign w:val="center"/>
          </w:tcPr>
          <w:p w14:paraId="5729D80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≥90%</w:t>
            </w:r>
          </w:p>
        </w:tc>
        <w:tc>
          <w:tcPr>
            <w:tcW w:w="876" w:type="dxa"/>
            <w:vAlign w:val="center"/>
          </w:tcPr>
          <w:p w14:paraId="518E083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≥80%</w:t>
            </w:r>
          </w:p>
        </w:tc>
        <w:tc>
          <w:tcPr>
            <w:tcW w:w="1096" w:type="dxa"/>
            <w:vAlign w:val="center"/>
          </w:tcPr>
          <w:p w14:paraId="4644262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≥70%</w:t>
            </w:r>
          </w:p>
        </w:tc>
        <w:tc>
          <w:tcPr>
            <w:tcW w:w="1096" w:type="dxa"/>
            <w:vAlign w:val="center"/>
          </w:tcPr>
          <w:p w14:paraId="3D231DC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</w:tr>
      <w:tr w14:paraId="221350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7" w:hRule="atLeast"/>
          <w:jc w:val="center"/>
        </w:trPr>
        <w:tc>
          <w:tcPr>
            <w:tcW w:w="1995" w:type="dxa"/>
            <w:vAlign w:val="center"/>
          </w:tcPr>
          <w:p w14:paraId="07BB4C4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30"/>
                <w:szCs w:val="30"/>
              </w:rPr>
              <w:t>村镇规划建设办公室</w:t>
            </w:r>
          </w:p>
        </w:tc>
        <w:tc>
          <w:tcPr>
            <w:tcW w:w="1536" w:type="dxa"/>
            <w:vAlign w:val="center"/>
          </w:tcPr>
          <w:p w14:paraId="115031D0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890.64</w:t>
            </w:r>
          </w:p>
        </w:tc>
        <w:tc>
          <w:tcPr>
            <w:tcW w:w="2459" w:type="dxa"/>
            <w:vAlign w:val="center"/>
          </w:tcPr>
          <w:p w14:paraId="3D5AEE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宣传、贯彻城乡规划、建设、环境保护、国土管理等方面的方针、政策、法规。负责制定村镇建设和环境保护的规划，建立并实施建设用地指标和建设计划制度；负责村镇环境综合整治；抓好环境卫生，环境保护，镇村绿化工作，负责落实有关土地的法规；管理农村土地使用和宅基地，协助有关部门做好土地税费的征收管理工作，负责村街道和公路硬化建设等工作。</w:t>
            </w:r>
          </w:p>
        </w:tc>
        <w:tc>
          <w:tcPr>
            <w:tcW w:w="2459" w:type="dxa"/>
            <w:vAlign w:val="center"/>
          </w:tcPr>
          <w:p w14:paraId="7F485E4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提升机关及行业信息化水平，保障各类业务系统安全稳定运行；加大信息宣传力度，创造良好舆论氛围。组织文娱活动，提高干部职工文化和身体素质</w:t>
            </w:r>
          </w:p>
        </w:tc>
        <w:tc>
          <w:tcPr>
            <w:tcW w:w="1321" w:type="dxa"/>
            <w:vAlign w:val="center"/>
          </w:tcPr>
          <w:p w14:paraId="26B546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24A6534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876" w:type="dxa"/>
            <w:vAlign w:val="center"/>
          </w:tcPr>
          <w:p w14:paraId="2CC82FA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5B40703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096" w:type="dxa"/>
            <w:vAlign w:val="center"/>
          </w:tcPr>
          <w:p w14:paraId="0926A39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</w:tr>
      <w:tr w14:paraId="38DE092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shd w:val="clear" w:color="auto" w:fill="FFFFFF"/>
            <w:vAlign w:val="center"/>
          </w:tcPr>
          <w:p w14:paraId="4D2AD72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美丽乡村建设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FEFBD95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602.09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55CE59F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宣传、贯彻城乡规划、建设、环境保护、国土管理等方面的方针、政策、法规。负责制定村镇建设和环境保护的规划，建立并实施建设用地指标和建设计划制度；负责村镇环境综合整治；抓好环境卫生，环境保护，镇村绿化工作，负责落实有关土地的法规；管理农村土地使用和宅基地，协助有关部门做好土地税费的征收管理工作，负责村街道和公路硬化建设等工作。</w:t>
            </w:r>
          </w:p>
        </w:tc>
        <w:tc>
          <w:tcPr>
            <w:tcW w:w="2459" w:type="dxa"/>
            <w:shd w:val="clear" w:color="auto" w:fill="FFFFFF"/>
            <w:vAlign w:val="center"/>
          </w:tcPr>
          <w:p w14:paraId="7581E81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围绕农村改造工作要点，突出重点，因地制宜，按照分期分批推进的要求，每年选定一重点村实施改造提升。</w:t>
            </w:r>
          </w:p>
        </w:tc>
        <w:tc>
          <w:tcPr>
            <w:tcW w:w="1321" w:type="dxa"/>
            <w:shd w:val="clear" w:color="auto" w:fill="FFFFFF"/>
            <w:vAlign w:val="center"/>
          </w:tcPr>
          <w:p w14:paraId="4ECE410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重点村改造提升任务完成率</w:t>
            </w:r>
          </w:p>
        </w:tc>
        <w:tc>
          <w:tcPr>
            <w:tcW w:w="1096" w:type="dxa"/>
            <w:shd w:val="clear" w:color="auto" w:fill="FFFFFF"/>
            <w:vAlign w:val="center"/>
          </w:tcPr>
          <w:p w14:paraId="442A89F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100%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6C466A1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≥95%</w:t>
            </w:r>
          </w:p>
        </w:tc>
        <w:tc>
          <w:tcPr>
            <w:tcW w:w="1096" w:type="dxa"/>
            <w:shd w:val="clear" w:color="auto" w:fill="FFFFFF"/>
            <w:vAlign w:val="center"/>
          </w:tcPr>
          <w:p w14:paraId="122F3A5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≥90%</w:t>
            </w:r>
          </w:p>
        </w:tc>
        <w:tc>
          <w:tcPr>
            <w:tcW w:w="1096" w:type="dxa"/>
            <w:shd w:val="clear" w:color="auto" w:fill="FFFFFF"/>
            <w:vAlign w:val="center"/>
          </w:tcPr>
          <w:p w14:paraId="3E78E8B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&lt;90%</w:t>
            </w:r>
          </w:p>
        </w:tc>
      </w:tr>
      <w:tr w14:paraId="420DEE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shd w:val="clear" w:color="auto" w:fill="FFFFFF"/>
            <w:vAlign w:val="center"/>
          </w:tcPr>
          <w:p w14:paraId="674925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土地确权登记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2CAF016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3.5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47216BD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459" w:type="dxa"/>
            <w:shd w:val="clear" w:color="auto" w:fill="FFFFFF"/>
            <w:vAlign w:val="center"/>
          </w:tcPr>
          <w:p w14:paraId="6C2B9217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进一步完善农村土地承包关系，保护农民利益，促进规模化经营。</w:t>
            </w:r>
          </w:p>
        </w:tc>
        <w:tc>
          <w:tcPr>
            <w:tcW w:w="1321" w:type="dxa"/>
            <w:shd w:val="clear" w:color="auto" w:fill="FFFFFF"/>
            <w:vAlign w:val="center"/>
          </w:tcPr>
          <w:p w14:paraId="50A13FDD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全镇耕地确权登记颁证完成率</w:t>
            </w:r>
          </w:p>
        </w:tc>
        <w:tc>
          <w:tcPr>
            <w:tcW w:w="1096" w:type="dxa"/>
            <w:shd w:val="clear" w:color="auto" w:fill="FFFFFF"/>
            <w:vAlign w:val="center"/>
          </w:tcPr>
          <w:p w14:paraId="37612F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100%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4D9568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≥95%</w:t>
            </w:r>
          </w:p>
        </w:tc>
        <w:tc>
          <w:tcPr>
            <w:tcW w:w="1096" w:type="dxa"/>
            <w:shd w:val="clear" w:color="auto" w:fill="FFFFFF"/>
            <w:vAlign w:val="center"/>
          </w:tcPr>
          <w:p w14:paraId="095BC16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≥90%</w:t>
            </w:r>
          </w:p>
        </w:tc>
        <w:tc>
          <w:tcPr>
            <w:tcW w:w="1096" w:type="dxa"/>
            <w:shd w:val="clear" w:color="auto" w:fill="FFFFFF"/>
            <w:vAlign w:val="center"/>
          </w:tcPr>
          <w:p w14:paraId="200527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&lt;90%</w:t>
            </w:r>
          </w:p>
        </w:tc>
      </w:tr>
      <w:tr w14:paraId="3E8022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5" w:type="dxa"/>
            <w:shd w:val="clear" w:color="auto" w:fill="auto"/>
            <w:vAlign w:val="center"/>
          </w:tcPr>
          <w:p w14:paraId="2798B1F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推进城镇化建设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D33048A"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285.05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6635F7A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宣传、贯彻城乡规划、建设、环境保护、国土管理等方面的方针、政策、法规。负责制定村镇建设和环境保护的规划，建立并实施建设用地指标和建设计划制度；负责村镇环境综合整治；抓好环境卫生，环境保护，镇村绿化工作，负责落实有关土地的法规；管理农村土地使用和宅基地，协助有关部门做好土地税费的征收管理工作，负责村街道和公路硬化建设等工作</w:t>
            </w:r>
          </w:p>
        </w:tc>
        <w:tc>
          <w:tcPr>
            <w:tcW w:w="2459" w:type="dxa"/>
            <w:shd w:val="clear" w:color="auto" w:fill="FFFFFF"/>
            <w:vAlign w:val="center"/>
          </w:tcPr>
          <w:p w14:paraId="5AD5CDF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加强村镇建设，改善农村人居环境，实现城乡统筹发展</w:t>
            </w:r>
          </w:p>
        </w:tc>
        <w:tc>
          <w:tcPr>
            <w:tcW w:w="1321" w:type="dxa"/>
            <w:shd w:val="clear" w:color="auto" w:fill="FFFFFF"/>
            <w:vAlign w:val="center"/>
          </w:tcPr>
          <w:p w14:paraId="6693589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垃圾清运率</w:t>
            </w:r>
          </w:p>
        </w:tc>
        <w:tc>
          <w:tcPr>
            <w:tcW w:w="1096" w:type="dxa"/>
            <w:shd w:val="clear" w:color="auto" w:fill="FFFFFF"/>
            <w:vAlign w:val="center"/>
          </w:tcPr>
          <w:p w14:paraId="7E14F44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≥98%</w:t>
            </w:r>
          </w:p>
        </w:tc>
        <w:tc>
          <w:tcPr>
            <w:tcW w:w="876" w:type="dxa"/>
            <w:shd w:val="clear" w:color="auto" w:fill="FFFFFF"/>
            <w:vAlign w:val="center"/>
          </w:tcPr>
          <w:p w14:paraId="0677488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≥90%</w:t>
            </w:r>
          </w:p>
        </w:tc>
        <w:tc>
          <w:tcPr>
            <w:tcW w:w="1096" w:type="dxa"/>
            <w:shd w:val="clear" w:color="auto" w:fill="FFFFFF"/>
            <w:vAlign w:val="center"/>
          </w:tcPr>
          <w:p w14:paraId="4CF550F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≥70%</w:t>
            </w:r>
          </w:p>
        </w:tc>
        <w:tc>
          <w:tcPr>
            <w:tcW w:w="1096" w:type="dxa"/>
            <w:shd w:val="clear" w:color="auto" w:fill="FFFFFF"/>
            <w:vAlign w:val="center"/>
          </w:tcPr>
          <w:p w14:paraId="0A640C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＜70%</w:t>
            </w:r>
          </w:p>
        </w:tc>
      </w:tr>
    </w:tbl>
    <w:p w14:paraId="41593C16">
      <w:pPr>
        <w:autoSpaceDE w:val="0"/>
        <w:autoSpaceDN w:val="0"/>
        <w:adjustRightInd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六、政府采购预算情况</w:t>
      </w:r>
    </w:p>
    <w:p w14:paraId="50648FAB">
      <w:pPr>
        <w:outlineLvl w:val="0"/>
        <w:rPr>
          <w:rFonts w:hint="eastAsia" w:ascii="仿宋" w:hAnsi="仿宋" w:eastAsia="仿宋" w:cs="仿宋"/>
          <w:sz w:val="30"/>
          <w:szCs w:val="30"/>
        </w:rPr>
      </w:pPr>
      <w:bookmarkStart w:id="2" w:name="_Toc471398468"/>
      <w:r>
        <w:rPr>
          <w:rFonts w:hint="eastAsia" w:ascii="仿宋" w:hAnsi="仿宋" w:eastAsia="仿宋" w:cs="仿宋"/>
          <w:sz w:val="30"/>
          <w:szCs w:val="30"/>
        </w:rPr>
        <w:t xml:space="preserve">   20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sz w:val="30"/>
          <w:szCs w:val="30"/>
        </w:rPr>
        <w:t>年，安排政府采购预算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87.17</w:t>
      </w:r>
      <w:r>
        <w:rPr>
          <w:rFonts w:hint="eastAsia" w:ascii="仿宋" w:hAnsi="仿宋" w:eastAsia="仿宋" w:cs="仿宋"/>
          <w:sz w:val="30"/>
          <w:szCs w:val="30"/>
        </w:rPr>
        <w:t>万元万元。具体内容见下表。</w:t>
      </w:r>
    </w:p>
    <w:p w14:paraId="1AC804E2">
      <w:pPr>
        <w:jc w:val="center"/>
        <w:outlineLvl w:val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 w:cs="仿宋"/>
          <w:sz w:val="30"/>
          <w:szCs w:val="30"/>
        </w:rPr>
        <w:t>政府采购预算</w:t>
      </w:r>
      <w:bookmarkEnd w:id="2"/>
    </w:p>
    <w:tbl>
      <w:tblPr>
        <w:tblStyle w:val="6"/>
        <w:tblW w:w="1535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33"/>
        <w:gridCol w:w="935"/>
        <w:gridCol w:w="1394"/>
        <w:gridCol w:w="936"/>
        <w:gridCol w:w="936"/>
        <w:gridCol w:w="958"/>
        <w:gridCol w:w="936"/>
        <w:gridCol w:w="936"/>
        <w:gridCol w:w="972"/>
        <w:gridCol w:w="936"/>
        <w:gridCol w:w="936"/>
        <w:gridCol w:w="936"/>
        <w:gridCol w:w="882"/>
      </w:tblGrid>
      <w:tr w14:paraId="2273ED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823" w:type="dxa"/>
            <w:gridSpan w:val="7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73346EA2">
            <w:pPr>
              <w:spacing w:line="300" w:lineRule="exact"/>
              <w:jc w:val="lef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964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001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宁晋县换马店镇人民政府</w:t>
            </w:r>
          </w:p>
        </w:tc>
        <w:tc>
          <w:tcPr>
            <w:tcW w:w="6534" w:type="dxa"/>
            <w:gridSpan w:val="7"/>
            <w:tcBorders>
              <w:top w:val="single" w:color="FFFFFF" w:sz="6" w:space="0"/>
              <w:left w:val="single" w:color="FFFFFF" w:sz="6" w:space="0"/>
              <w:right w:val="single" w:color="FFFFFF" w:sz="6" w:space="0"/>
            </w:tcBorders>
            <w:vAlign w:val="center"/>
          </w:tcPr>
          <w:p w14:paraId="500E7645">
            <w:pPr>
              <w:spacing w:line="300" w:lineRule="exact"/>
              <w:jc w:val="right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单位：万元</w:t>
            </w:r>
          </w:p>
        </w:tc>
      </w:tr>
      <w:tr w14:paraId="4AB753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664" w:type="dxa"/>
            <w:gridSpan w:val="2"/>
            <w:vAlign w:val="center"/>
          </w:tcPr>
          <w:p w14:paraId="3C3449C5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政府采购项目来源</w:t>
            </w:r>
          </w:p>
        </w:tc>
        <w:tc>
          <w:tcPr>
            <w:tcW w:w="935" w:type="dxa"/>
            <w:vMerge w:val="restart"/>
            <w:vAlign w:val="center"/>
          </w:tcPr>
          <w:p w14:paraId="3749BB09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采购物品名称</w:t>
            </w:r>
          </w:p>
        </w:tc>
        <w:tc>
          <w:tcPr>
            <w:tcW w:w="1394" w:type="dxa"/>
            <w:vMerge w:val="restart"/>
            <w:vAlign w:val="center"/>
          </w:tcPr>
          <w:p w14:paraId="739B0E5E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政府采购目录序号</w:t>
            </w:r>
          </w:p>
        </w:tc>
        <w:tc>
          <w:tcPr>
            <w:tcW w:w="936" w:type="dxa"/>
            <w:vMerge w:val="restart"/>
            <w:vAlign w:val="center"/>
          </w:tcPr>
          <w:p w14:paraId="25E490D3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数量  单位</w:t>
            </w:r>
          </w:p>
        </w:tc>
        <w:tc>
          <w:tcPr>
            <w:tcW w:w="936" w:type="dxa"/>
            <w:vMerge w:val="restart"/>
            <w:vAlign w:val="center"/>
          </w:tcPr>
          <w:p w14:paraId="2EFF7D79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数量</w:t>
            </w:r>
          </w:p>
        </w:tc>
        <w:tc>
          <w:tcPr>
            <w:tcW w:w="958" w:type="dxa"/>
            <w:vMerge w:val="restart"/>
            <w:vAlign w:val="center"/>
          </w:tcPr>
          <w:p w14:paraId="3011B15F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单价</w:t>
            </w:r>
          </w:p>
        </w:tc>
        <w:tc>
          <w:tcPr>
            <w:tcW w:w="6534" w:type="dxa"/>
            <w:gridSpan w:val="7"/>
            <w:vAlign w:val="center"/>
          </w:tcPr>
          <w:p w14:paraId="3466785F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政府采购金额</w:t>
            </w:r>
          </w:p>
        </w:tc>
      </w:tr>
      <w:tr w14:paraId="07F957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531" w:type="dxa"/>
            <w:vMerge w:val="restart"/>
            <w:vAlign w:val="center"/>
          </w:tcPr>
          <w:p w14:paraId="21848794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项目名称</w:t>
            </w:r>
          </w:p>
        </w:tc>
        <w:tc>
          <w:tcPr>
            <w:tcW w:w="1133" w:type="dxa"/>
            <w:vMerge w:val="restart"/>
            <w:vAlign w:val="center"/>
          </w:tcPr>
          <w:p w14:paraId="07F25CC0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预算资金</w:t>
            </w:r>
          </w:p>
        </w:tc>
        <w:tc>
          <w:tcPr>
            <w:tcW w:w="935" w:type="dxa"/>
            <w:vMerge w:val="continue"/>
            <w:vAlign w:val="center"/>
          </w:tcPr>
          <w:p w14:paraId="26AA7E7C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394" w:type="dxa"/>
            <w:vMerge w:val="continue"/>
            <w:vAlign w:val="center"/>
          </w:tcPr>
          <w:p w14:paraId="21F9E821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768BAF4F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2AE5D2E0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58" w:type="dxa"/>
            <w:vMerge w:val="continue"/>
            <w:vAlign w:val="center"/>
          </w:tcPr>
          <w:p w14:paraId="1CB1D10E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6" w:type="dxa"/>
            <w:vMerge w:val="restart"/>
            <w:vAlign w:val="center"/>
          </w:tcPr>
          <w:p w14:paraId="72F6CEE7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总计</w:t>
            </w:r>
          </w:p>
        </w:tc>
        <w:tc>
          <w:tcPr>
            <w:tcW w:w="4716" w:type="dxa"/>
            <w:gridSpan w:val="5"/>
            <w:vAlign w:val="center"/>
          </w:tcPr>
          <w:p w14:paraId="13863B85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当年部门预算安排资金</w:t>
            </w:r>
          </w:p>
        </w:tc>
        <w:tc>
          <w:tcPr>
            <w:tcW w:w="882" w:type="dxa"/>
            <w:vMerge w:val="restart"/>
            <w:vAlign w:val="center"/>
          </w:tcPr>
          <w:p w14:paraId="62E5F187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其他渠道资金</w:t>
            </w:r>
          </w:p>
        </w:tc>
      </w:tr>
      <w:tr w14:paraId="266C39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531" w:type="dxa"/>
            <w:vMerge w:val="continue"/>
            <w:vAlign w:val="center"/>
          </w:tcPr>
          <w:p w14:paraId="0E7E38FE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33" w:type="dxa"/>
            <w:vMerge w:val="continue"/>
            <w:vAlign w:val="center"/>
          </w:tcPr>
          <w:p w14:paraId="42A82175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5" w:type="dxa"/>
            <w:vMerge w:val="continue"/>
            <w:vAlign w:val="center"/>
          </w:tcPr>
          <w:p w14:paraId="3F04BC29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394" w:type="dxa"/>
            <w:vMerge w:val="continue"/>
            <w:vAlign w:val="center"/>
          </w:tcPr>
          <w:p w14:paraId="66389097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23156728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73F3179F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58" w:type="dxa"/>
            <w:vMerge w:val="continue"/>
            <w:vAlign w:val="center"/>
          </w:tcPr>
          <w:p w14:paraId="23593A62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538414EA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0D7E542E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合计</w:t>
            </w:r>
          </w:p>
        </w:tc>
        <w:tc>
          <w:tcPr>
            <w:tcW w:w="972" w:type="dxa"/>
            <w:vAlign w:val="center"/>
          </w:tcPr>
          <w:p w14:paraId="6D914DB7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一般公共预算拨款</w:t>
            </w:r>
          </w:p>
        </w:tc>
        <w:tc>
          <w:tcPr>
            <w:tcW w:w="936" w:type="dxa"/>
            <w:vAlign w:val="center"/>
          </w:tcPr>
          <w:p w14:paraId="44DA60F3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基金预算拨款</w:t>
            </w:r>
          </w:p>
        </w:tc>
        <w:tc>
          <w:tcPr>
            <w:tcW w:w="936" w:type="dxa"/>
            <w:vAlign w:val="center"/>
          </w:tcPr>
          <w:p w14:paraId="6A65C95E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财政专户核拨</w:t>
            </w:r>
          </w:p>
        </w:tc>
        <w:tc>
          <w:tcPr>
            <w:tcW w:w="936" w:type="dxa"/>
            <w:vAlign w:val="center"/>
          </w:tcPr>
          <w:p w14:paraId="247830DB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其他来源收入</w:t>
            </w:r>
          </w:p>
        </w:tc>
        <w:tc>
          <w:tcPr>
            <w:tcW w:w="882" w:type="dxa"/>
            <w:vMerge w:val="continue"/>
            <w:vAlign w:val="center"/>
          </w:tcPr>
          <w:p w14:paraId="580966B7">
            <w:pPr>
              <w:spacing w:line="300" w:lineRule="exact"/>
              <w:jc w:val="left"/>
              <w:outlineLvl w:val="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6E170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1" w:type="dxa"/>
            <w:vAlign w:val="center"/>
          </w:tcPr>
          <w:p w14:paraId="2EE54CF4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合　计</w:t>
            </w:r>
          </w:p>
        </w:tc>
        <w:tc>
          <w:tcPr>
            <w:tcW w:w="1133" w:type="dxa"/>
            <w:vAlign w:val="center"/>
          </w:tcPr>
          <w:p w14:paraId="2DD0C014">
            <w:pPr>
              <w:tabs>
                <w:tab w:val="left" w:pos="440"/>
              </w:tabs>
              <w:spacing w:line="300" w:lineRule="exact"/>
              <w:jc w:val="left"/>
              <w:rPr>
                <w:rFonts w:hint="default" w:ascii="仿宋" w:hAnsi="仿宋" w:eastAsia="仿宋" w:cs="仿宋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lang w:eastAsia="zh-CN"/>
              </w:rPr>
              <w:tab/>
            </w:r>
          </w:p>
        </w:tc>
        <w:tc>
          <w:tcPr>
            <w:tcW w:w="935" w:type="dxa"/>
            <w:vAlign w:val="center"/>
          </w:tcPr>
          <w:p w14:paraId="23BD1CEC">
            <w:pPr>
              <w:spacing w:line="300" w:lineRule="exact"/>
              <w:jc w:val="lef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1394" w:type="dxa"/>
            <w:vAlign w:val="center"/>
          </w:tcPr>
          <w:p w14:paraId="499C9D61">
            <w:pPr>
              <w:spacing w:line="300" w:lineRule="exact"/>
              <w:jc w:val="lef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0A81A502">
            <w:pPr>
              <w:spacing w:line="300" w:lineRule="exact"/>
              <w:jc w:val="lef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34215209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58" w:type="dxa"/>
            <w:vAlign w:val="center"/>
          </w:tcPr>
          <w:p w14:paraId="245656B9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0B24554E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39828BA4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72" w:type="dxa"/>
            <w:vAlign w:val="center"/>
          </w:tcPr>
          <w:p w14:paraId="3ACCBB0A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06CA24C8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51BE153F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0AD7FCCE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882" w:type="dxa"/>
            <w:vAlign w:val="center"/>
          </w:tcPr>
          <w:p w14:paraId="41DEB8A4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</w:tr>
      <w:tr w14:paraId="65BA14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2531" w:type="dxa"/>
            <w:vAlign w:val="center"/>
          </w:tcPr>
          <w:p w14:paraId="341F6EC6"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lang w:eastAsia="zh-CN"/>
              </w:rPr>
              <w:t>宁晋县换马店镇农村环卫保洁工作外包项目</w:t>
            </w:r>
          </w:p>
        </w:tc>
        <w:tc>
          <w:tcPr>
            <w:tcW w:w="1133" w:type="dxa"/>
            <w:vAlign w:val="center"/>
          </w:tcPr>
          <w:p w14:paraId="189EE462">
            <w:pPr>
              <w:spacing w:line="300" w:lineRule="exact"/>
              <w:jc w:val="right"/>
              <w:rPr>
                <w:rFonts w:hint="default" w:ascii="仿宋" w:hAnsi="仿宋" w:eastAsia="仿宋" w:cs="仿宋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lang w:val="en-US" w:eastAsia="zh-CN"/>
              </w:rPr>
              <w:t>87.17</w:t>
            </w:r>
          </w:p>
        </w:tc>
        <w:tc>
          <w:tcPr>
            <w:tcW w:w="935" w:type="dxa"/>
            <w:vAlign w:val="center"/>
          </w:tcPr>
          <w:p w14:paraId="1B78F25E">
            <w:pPr>
              <w:spacing w:line="300" w:lineRule="exact"/>
              <w:jc w:val="left"/>
              <w:rPr>
                <w:rFonts w:hint="eastAsia" w:ascii="仿宋" w:hAnsi="仿宋" w:eastAsia="仿宋" w:cs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lang w:eastAsia="zh-CN"/>
              </w:rPr>
              <w:t>服务</w:t>
            </w:r>
          </w:p>
        </w:tc>
        <w:tc>
          <w:tcPr>
            <w:tcW w:w="1394" w:type="dxa"/>
            <w:vAlign w:val="center"/>
          </w:tcPr>
          <w:p w14:paraId="476EC7EB">
            <w:pPr>
              <w:spacing w:line="300" w:lineRule="exact"/>
              <w:jc w:val="lef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4ACD1AC7">
            <w:pPr>
              <w:spacing w:line="300" w:lineRule="exact"/>
              <w:jc w:val="lef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3278334C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958" w:type="dxa"/>
            <w:vAlign w:val="center"/>
          </w:tcPr>
          <w:p w14:paraId="50CA201A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7F203EFB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5F3CEB5C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72" w:type="dxa"/>
            <w:vAlign w:val="center"/>
          </w:tcPr>
          <w:p w14:paraId="46912CA8">
            <w:pPr>
              <w:spacing w:line="300" w:lineRule="exact"/>
              <w:jc w:val="right"/>
              <w:rPr>
                <w:rFonts w:hint="default" w:ascii="仿宋" w:hAnsi="仿宋" w:eastAsia="仿宋" w:cs="仿宋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  <w:lang w:val="en-US" w:eastAsia="zh-CN"/>
              </w:rPr>
              <w:t>87.17</w:t>
            </w:r>
          </w:p>
        </w:tc>
        <w:tc>
          <w:tcPr>
            <w:tcW w:w="936" w:type="dxa"/>
            <w:vAlign w:val="center"/>
          </w:tcPr>
          <w:p w14:paraId="02911792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7B9CB0B8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13DC7D2F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  <w:tc>
          <w:tcPr>
            <w:tcW w:w="882" w:type="dxa"/>
            <w:vAlign w:val="center"/>
          </w:tcPr>
          <w:p w14:paraId="1FFD6B1E">
            <w:pPr>
              <w:spacing w:line="300" w:lineRule="exact"/>
              <w:jc w:val="right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</w:p>
        </w:tc>
      </w:tr>
    </w:tbl>
    <w:p w14:paraId="66469605"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sz w:val="30"/>
          <w:szCs w:val="30"/>
        </w:rPr>
      </w:pPr>
    </w:p>
    <w:p w14:paraId="2C67B2A6">
      <w:pPr>
        <w:autoSpaceDE w:val="0"/>
        <w:autoSpaceDN w:val="0"/>
        <w:adjustRightInd w:val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七、国有资产信息</w:t>
      </w:r>
    </w:p>
    <w:p w14:paraId="6B4B7F22">
      <w:pPr>
        <w:ind w:firstLine="64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上年末固定资产金额287.17万元（详见下表），本年度预算拟购置的固定资产为0。已列入政府采购预算表。</w:t>
      </w:r>
    </w:p>
    <w:p w14:paraId="78AC65EC">
      <w:pPr>
        <w:ind w:firstLine="640"/>
        <w:rPr>
          <w:rFonts w:hint="eastAsia" w:ascii="仿宋" w:hAnsi="仿宋" w:eastAsia="仿宋" w:cs="仿宋"/>
          <w:color w:val="FF0000"/>
          <w:sz w:val="30"/>
          <w:szCs w:val="30"/>
        </w:rPr>
      </w:pPr>
    </w:p>
    <w:tbl>
      <w:tblPr>
        <w:tblStyle w:val="6"/>
        <w:tblW w:w="134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4"/>
        <w:gridCol w:w="3155"/>
        <w:gridCol w:w="5103"/>
      </w:tblGrid>
      <w:tr w14:paraId="0E18188A">
        <w:trPr>
          <w:trHeight w:val="705" w:hRule="atLeast"/>
        </w:trPr>
        <w:tc>
          <w:tcPr>
            <w:tcW w:w="134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51D1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  <w:lang w:eastAsia="zh-CN"/>
              </w:rPr>
              <w:t>宁晋县换马店镇人民政府单位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固定资产占用情况表</w:t>
            </w:r>
          </w:p>
        </w:tc>
      </w:tr>
      <w:tr w14:paraId="7F46F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F625F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编制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：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964001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88506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 xml:space="preserve">截止时间：2017年12月31日  </w:t>
            </w:r>
          </w:p>
        </w:tc>
      </w:tr>
      <w:tr w14:paraId="614BA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1074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项   目</w:t>
            </w:r>
          </w:p>
        </w:tc>
        <w:tc>
          <w:tcPr>
            <w:tcW w:w="3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9437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数量</w:t>
            </w:r>
          </w:p>
        </w:tc>
        <w:tc>
          <w:tcPr>
            <w:tcW w:w="5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FDEC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30"/>
                <w:szCs w:val="30"/>
              </w:rPr>
              <w:t>价值（金额单位：万元）</w:t>
            </w:r>
          </w:p>
        </w:tc>
      </w:tr>
      <w:tr w14:paraId="29528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3BD2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资产总额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69425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——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1EC26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287.17</w:t>
            </w:r>
          </w:p>
        </w:tc>
      </w:tr>
      <w:tr w14:paraId="6C5D6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EA131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1、房屋（平方米）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D993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6100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67FA6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140.6</w:t>
            </w:r>
          </w:p>
        </w:tc>
      </w:tr>
      <w:tr w14:paraId="47779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EC6CF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 xml:space="preserve">  其中：办公用房（平方米）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300C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6100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2B1CF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140.6</w:t>
            </w:r>
          </w:p>
        </w:tc>
      </w:tr>
      <w:tr w14:paraId="4E85E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9B164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2、车辆（台、辆）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286F2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055C5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40</w:t>
            </w:r>
          </w:p>
        </w:tc>
      </w:tr>
      <w:tr w14:paraId="0EBA0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2760E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3、单价在20万元以上设备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CC538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——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F75C7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</w:p>
        </w:tc>
      </w:tr>
      <w:tr w14:paraId="796E8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5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98A8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4、其他固定资产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1DEF1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——</w:t>
            </w:r>
          </w:p>
        </w:tc>
        <w:tc>
          <w:tcPr>
            <w:tcW w:w="51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0B5D0"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106.57</w:t>
            </w:r>
          </w:p>
        </w:tc>
      </w:tr>
    </w:tbl>
    <w:p w14:paraId="213F2787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说明：1、实有车辆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辆，其余为公车改革按规定封存待上缴未办理处置手续的车辆。</w:t>
      </w:r>
    </w:p>
    <w:p w14:paraId="3263E05C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</w:t>
      </w:r>
    </w:p>
    <w:p w14:paraId="4CA7F4FB">
      <w:pPr>
        <w:rPr>
          <w:rFonts w:hint="eastAsia" w:ascii="仿宋" w:hAnsi="仿宋" w:eastAsia="仿宋" w:cs="仿宋"/>
          <w:sz w:val="30"/>
          <w:szCs w:val="30"/>
        </w:rPr>
      </w:pPr>
    </w:p>
    <w:p w14:paraId="45AF0427">
      <w:pPr>
        <w:numPr>
          <w:ilvl w:val="0"/>
          <w:numId w:val="2"/>
        </w:numPr>
        <w:autoSpaceDE w:val="0"/>
        <w:autoSpaceDN w:val="0"/>
        <w:adjustRightInd w:val="0"/>
        <w:ind w:left="198"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名词解释</w:t>
      </w:r>
    </w:p>
    <w:p w14:paraId="5C965BA0">
      <w:pPr>
        <w:autoSpaceDE w:val="0"/>
        <w:autoSpaceDN w:val="0"/>
        <w:adjustRightInd w:val="0"/>
        <w:ind w:left="420" w:leftChars="200"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1、一般预算收入：省级财政当年拨付的资金。</w:t>
      </w:r>
    </w:p>
    <w:p w14:paraId="37A600A5">
      <w:pPr>
        <w:autoSpaceDE w:val="0"/>
        <w:autoSpaceDN w:val="0"/>
        <w:adjustRightInd w:val="0"/>
        <w:ind w:left="420" w:leftChars="200"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2、基本支出：为保障机构正常运转，完成日常工作任务，而发生的人员支出和公用支出。</w:t>
      </w:r>
    </w:p>
    <w:p w14:paraId="31DA004F">
      <w:pPr>
        <w:autoSpaceDE w:val="0"/>
        <w:autoSpaceDN w:val="0"/>
        <w:adjustRightInd w:val="0"/>
        <w:ind w:left="420" w:leftChars="200"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3、项目支出：是指在基本支出之外，为完成特定行政任务和事业发展目标，而发生的支出。</w:t>
      </w:r>
    </w:p>
    <w:p w14:paraId="5B159E41">
      <w:pPr>
        <w:autoSpaceDE w:val="0"/>
        <w:autoSpaceDN w:val="0"/>
        <w:adjustRightInd w:val="0"/>
        <w:ind w:left="420" w:leftChars="200"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、机关运行费：是指为保证行政单位（包括参照公务员管理的事业单位）运行，用于购买货物和服务的各项资金。主要包括：办公费、印刷费，水费、电费、邮电费、福利费、日常维修费、办公取暖费、办公物业服务费、公务车运行维护费等。</w:t>
      </w:r>
    </w:p>
    <w:p w14:paraId="73E7A7A0">
      <w:pPr>
        <w:autoSpaceDE w:val="0"/>
        <w:autoSpaceDN w:val="0"/>
        <w:adjustRightInd w:val="0"/>
        <w:ind w:left="420" w:leftChars="200" w:firstLine="602" w:firstLineChars="200"/>
        <w:jc w:val="lef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九、其他需要说明的事项</w:t>
      </w:r>
    </w:p>
    <w:p w14:paraId="1B856F7A">
      <w:pPr>
        <w:autoSpaceDE w:val="0"/>
        <w:autoSpaceDN w:val="0"/>
        <w:adjustRightInd w:val="0"/>
        <w:ind w:left="420" w:leftChars="200"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无</w:t>
      </w:r>
    </w:p>
    <w:p w14:paraId="240FE8FD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818F2D"/>
    <w:multiLevelType w:val="singleLevel"/>
    <w:tmpl w:val="58818F2D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881B3F2"/>
    <w:multiLevelType w:val="singleLevel"/>
    <w:tmpl w:val="5881B3F2"/>
    <w:lvl w:ilvl="0" w:tentative="0">
      <w:start w:val="8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documentProtection w:enforcement="0"/>
  <w:defaultTabStop w:val="420"/>
  <w:drawingGridHorizontalSpacing w:val="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docVars>
    <w:docVar w:name="commondata" w:val="eyJoZGlkIjoiN2M5MjQwYmE4MTZiNTY0YmJiZjY1MDE2NWFmYWYzNDIifQ=="/>
  </w:docVars>
  <w:rsids>
    <w:rsidRoot w:val="00E3054B"/>
    <w:rsid w:val="005938C4"/>
    <w:rsid w:val="00C22C2A"/>
    <w:rsid w:val="00E3054B"/>
    <w:rsid w:val="014E6F8A"/>
    <w:rsid w:val="026979F7"/>
    <w:rsid w:val="05CA39EF"/>
    <w:rsid w:val="05F23A44"/>
    <w:rsid w:val="063E4E73"/>
    <w:rsid w:val="06921E02"/>
    <w:rsid w:val="073F31A7"/>
    <w:rsid w:val="07773D24"/>
    <w:rsid w:val="0AD34DD8"/>
    <w:rsid w:val="0BBC247C"/>
    <w:rsid w:val="0C65512F"/>
    <w:rsid w:val="0DF8567E"/>
    <w:rsid w:val="10DE4F8E"/>
    <w:rsid w:val="110F3146"/>
    <w:rsid w:val="115B30C4"/>
    <w:rsid w:val="11E64458"/>
    <w:rsid w:val="13227483"/>
    <w:rsid w:val="135149E4"/>
    <w:rsid w:val="13B77135"/>
    <w:rsid w:val="15245F8B"/>
    <w:rsid w:val="163E6784"/>
    <w:rsid w:val="16674602"/>
    <w:rsid w:val="18DB4A76"/>
    <w:rsid w:val="19902620"/>
    <w:rsid w:val="1AE12A2A"/>
    <w:rsid w:val="1F424713"/>
    <w:rsid w:val="1F6859E2"/>
    <w:rsid w:val="20210D51"/>
    <w:rsid w:val="207B1DBC"/>
    <w:rsid w:val="243F6A56"/>
    <w:rsid w:val="249A0264"/>
    <w:rsid w:val="24C167D4"/>
    <w:rsid w:val="295A5696"/>
    <w:rsid w:val="29E13510"/>
    <w:rsid w:val="2AA55415"/>
    <w:rsid w:val="2CDC5845"/>
    <w:rsid w:val="2E461639"/>
    <w:rsid w:val="2EFE72B8"/>
    <w:rsid w:val="32091089"/>
    <w:rsid w:val="33202D8F"/>
    <w:rsid w:val="334D729D"/>
    <w:rsid w:val="336F44DD"/>
    <w:rsid w:val="33AF3005"/>
    <w:rsid w:val="34C0099F"/>
    <w:rsid w:val="39C80ED0"/>
    <w:rsid w:val="3B271D7E"/>
    <w:rsid w:val="3CE876AD"/>
    <w:rsid w:val="41886D9F"/>
    <w:rsid w:val="422350FC"/>
    <w:rsid w:val="43312D5B"/>
    <w:rsid w:val="444D288C"/>
    <w:rsid w:val="484D7C10"/>
    <w:rsid w:val="4A163E58"/>
    <w:rsid w:val="4A7A2D1D"/>
    <w:rsid w:val="4B003614"/>
    <w:rsid w:val="4C9108C5"/>
    <w:rsid w:val="4CC633CC"/>
    <w:rsid w:val="4D310C0B"/>
    <w:rsid w:val="51755157"/>
    <w:rsid w:val="52FC70EE"/>
    <w:rsid w:val="539A3F28"/>
    <w:rsid w:val="541D4D3F"/>
    <w:rsid w:val="546972DB"/>
    <w:rsid w:val="57406DCD"/>
    <w:rsid w:val="577A68E3"/>
    <w:rsid w:val="59DC7897"/>
    <w:rsid w:val="5B7C3308"/>
    <w:rsid w:val="5FBD0305"/>
    <w:rsid w:val="66026A8D"/>
    <w:rsid w:val="670E5C28"/>
    <w:rsid w:val="671724CF"/>
    <w:rsid w:val="672F1649"/>
    <w:rsid w:val="68140D9E"/>
    <w:rsid w:val="6A90499F"/>
    <w:rsid w:val="6F854425"/>
    <w:rsid w:val="6FA33F27"/>
    <w:rsid w:val="70E578B1"/>
    <w:rsid w:val="70EE4D9C"/>
    <w:rsid w:val="71DC7119"/>
    <w:rsid w:val="72E338BB"/>
    <w:rsid w:val="75FB4537"/>
    <w:rsid w:val="7B521FC3"/>
    <w:rsid w:val="7BB503D6"/>
    <w:rsid w:val="7D227959"/>
    <w:rsid w:val="7D323676"/>
    <w:rsid w:val="7E297246"/>
    <w:rsid w:val="7ECA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4">
    <w:name w:val="toc 1"/>
    <w:basedOn w:val="1"/>
    <w:next w:val="1"/>
    <w:qFormat/>
    <w:uiPriority w:val="0"/>
    <w:rPr>
      <w:rFonts w:ascii="Times New Roman" w:hAnsi="Times New Roman" w:cs="Times New Roman"/>
      <w:szCs w:val="24"/>
    </w:rPr>
  </w:style>
  <w:style w:type="paragraph" w:styleId="5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cs="Times New Roman"/>
      <w:szCs w:val="24"/>
    </w:rPr>
  </w:style>
  <w:style w:type="character" w:styleId="8">
    <w:name w:val="page number"/>
    <w:basedOn w:val="7"/>
    <w:unhideWhenUsed/>
    <w:qFormat/>
    <w:uiPriority w:val="0"/>
  </w:style>
  <w:style w:type="character" w:customStyle="1" w:styleId="9">
    <w:name w:val="页脚 Char"/>
    <w:basedOn w:val="7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4086</Words>
  <Characters>4240</Characters>
  <Lines>45</Lines>
  <Paragraphs>12</Paragraphs>
  <TotalTime>186</TotalTime>
  <ScaleCrop>false</ScaleCrop>
  <LinksUpToDate>false</LinksUpToDate>
  <CharactersWithSpaces>4258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2017-01-20T01:29:00Z</dcterms:created>
  <dc:creator>guest</dc:creator>
  <cp:lastModifiedBy>你渴望力量吗？</cp:lastModifiedBy>
  <cp:lastPrinted>2019-06-24T08:22:00Z</cp:lastPrinted>
  <dcterms:modified xsi:type="dcterms:W3CDTF">2026-07-28T08:06:54Z</dcterms:modified>
  <dc:title>河北省2017年部门预算信息公开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B6A0FC289B8F437CB6CF064584D13675</vt:lpwstr>
  </property>
  <property fmtid="{D5CDD505-2E9C-101B-9397-08002B2CF9AE}" pid="4" name="KSOTemplateDocerSaveRecord">
    <vt:lpwstr>eyJoZGlkIjoiZDE4NWUwZWQ0ZWY4NGY5MjZkYzU3ZGI3ODMyNmNiNmIiLCJ1c2VySWQiOiI1MTM2NDE5MjQifQ==</vt:lpwstr>
  </property>
</Properties>
</file>